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
      </w:pPr>
    </w:p>
    <w:p>
      <w:pPr>
        <w:spacing w:after="60" w:before="0" w:line="276"/>
        <w:ind/>
        <w:jc w:val="center"/>
      </w:pPr>
      <w:r>
        <w:rPr>
          <w:rFonts w:ascii="Courier New" w:cs="Courier New" w:eastAsia="Courier New" w:hAnsi="Courier New"/>
          <w:color w:val="888888"/>
          <w:sz w:val="16"/>
          <w:szCs w:val="16"/>
        </w:rPr>
        <w:t xml:space="preserve">IMPLEMENTATION MANUAL · APRIL 2026 · v2.0 (POST RED-TEAM)</w:t>
      </w:r>
    </w:p>
    <w:p>
      <w:pPr>
        <w:spacing w:before="110"/>
      </w:pPr>
    </w:p>
    <w:p>
      <w:pPr>
        <w:spacing w:after="40" w:before="0" w:line="276"/>
        <w:ind/>
        <w:jc w:val="center"/>
      </w:pPr>
      <w:r>
        <w:rPr>
          <w:rFonts w:ascii="Calibri" w:cs="Calibri" w:eastAsia="Calibri" w:hAnsi="Calibri"/>
          <w:b/>
          <w:bCs/>
          <w:color w:val="0A0A1E"/>
          <w:sz w:val="48"/>
          <w:szCs w:val="48"/>
        </w:rPr>
        <w:t xml:space="preserve">SPECTRUM PROTOCOL (SPCM)</w:t>
      </w:r>
    </w:p>
    <w:p>
      <w:pPr>
        <w:spacing w:after="60" w:before="0" w:line="276"/>
        <w:ind/>
        <w:jc w:val="center"/>
      </w:pPr>
      <w:r>
        <w:rPr>
          <w:rFonts w:ascii="Calibri" w:cs="Calibri" w:eastAsia="Calibri" w:hAnsi="Calibri"/>
          <w:i/>
          <w:iCs/>
          <w:color w:val="444444"/>
          <w:sz w:val="26"/>
          <w:szCs w:val="26"/>
        </w:rPr>
        <w:t xml:space="preserve">Implementation &amp; Deployment Manual</w:t>
      </w:r>
    </w:p>
    <w:p>
      <w:pPr>
        <w:spacing w:after="120" w:before="0" w:line="276"/>
        <w:ind/>
        <w:jc w:val="center"/>
      </w:pPr>
      <w:r>
        <w:rPr>
          <w:rFonts w:ascii="Calibri" w:cs="Calibri" w:eastAsia="Calibri" w:hAnsi="Calibri"/>
          <w:i/>
          <w:iCs/>
          <w:color w:val="666666"/>
          <w:sz w:val="20"/>
          <w:szCs w:val="20"/>
        </w:rPr>
        <w:t xml:space="preserve">From Zero to Tradable Asset on Base</w:t>
      </w:r>
    </w:p>
    <w:p>
      <w:pPr>
        <w:pBdr>
          <w:bottom w:val="single" w:color="1A1A2E" w:sz="3" w:space="6"/>
        </w:pBdr>
        <w:spacing w:after="0" w:before="0"/>
      </w:pPr>
    </w:p>
    <w:p>
      <w:pPr>
        <w:spacing w:before="55"/>
      </w:pPr>
    </w:p>
    <w:p>
      <w:pPr>
        <w:spacing w:after="40" w:before="0" w:line="276"/>
        <w:ind/>
        <w:jc w:val="center"/>
      </w:pPr>
      <w:r>
        <w:rPr>
          <w:rFonts w:ascii="Georgia" w:cs="Georgia" w:eastAsia="Georgia" w:hAnsi="Georgia"/>
          <w:i/>
          <w:iCs/>
          <w:color w:val="111111"/>
          <w:sz w:val="22"/>
          <w:szCs w:val="22"/>
        </w:rPr>
        <w:t xml:space="preserve">William A. Ashioya · Nairobi, Kenya</w:t>
      </w:r>
    </w:p>
    <w:p>
      <w:pPr>
        <w:spacing w:after="120" w:before="0" w:line="276"/>
        <w:ind/>
        <w:jc w:val="center"/>
      </w:pPr>
      <w:r>
        <w:rPr>
          <w:rFonts w:ascii="Courier New" w:cs="Courier New" w:eastAsia="Courier New" w:hAnsi="Courier New"/>
          <w:color w:val="888888"/>
          <w:sz w:val="18"/>
          <w:szCs w:val="18"/>
        </w:rPr>
        <w:t xml:space="preserve">April 2026 · Red-team patched</w:t>
      </w:r>
    </w:p>
    <w:p>
      <w:pPr>
        <w:spacing w:before="220"/>
      </w:pPr>
    </w:p>
    <w:p>
      <w:pPr>
        <w:pBdr>
          <w:left w:val="thick" w:color="8B0000" w:sz="16" w:space="8"/>
        </w:pBdr>
        <w:shd w:fill="FFF0F0" w:val="clear"/>
        <w:spacing w:after="100" w:before="100"/>
        <w:ind w:left="360"/>
      </w:pPr>
      <w:r>
        <w:rPr>
          <w:rFonts w:ascii="Georgia" w:cs="Georgia" w:eastAsia="Georgia" w:hAnsi="Georgia"/>
          <w:color w:val="8B0000"/>
          <w:sz w:val="21"/>
          <w:szCs w:val="21"/>
        </w:rPr>
        <w:t xml:space="preserve">IMPORTANT: SPCM is NOT a stablecoin. It is an entropy-governed elastic token. Supply adjusts to maintain H_WHT ≈ 2.3 nats. Price floats freely. Do not market this as a stablecoin.</w:t>
      </w:r>
    </w:p>
    <w:p>
      <w:pPr>
        <w:spacing w:before="220"/>
      </w:pPr>
    </w:p>
    <w:p>
      <w:pPr>
        <w:spacing w:after="100" w:before="80" w:line="276"/>
        <w:ind w:firstLine="360"/>
        <w:jc w:val="both"/>
      </w:pPr>
      <w:r>
        <w:rPr>
          <w:rFonts w:ascii="Georgia" w:cs="Georgia" w:eastAsia="Georgia" w:hAnsi="Georgia"/>
          <w:i/>
          <w:iCs/>
          <w:color w:val="555555"/>
          <w:sz w:val="22"/>
          <w:szCs w:val="22"/>
        </w:rPr>
        <w:t xml:space="preserve">This manual covers: architecture, all 25 patched vulnerabilities, complete deployment instructions, post-deploy wiring, monitoring, and launch checklist.</w:t>
      </w:r>
    </w:p>
    <w:p>
      <w:r>
        <w:br w:type="page"/>
      </w:r>
    </w:p>
    <w:p>
      <w:pPr>
        <w:pStyle w:val="Heading1"/>
        <w:pBdr>
          <w:bottom w:val="single" w:color="1A1A2E" w:sz="4" w:space="6"/>
        </w:pBdr>
        <w:spacing w:after="160" w:before="440"/>
      </w:pPr>
      <w:r>
        <w:rPr>
          <w:rFonts w:ascii="Calibri" w:cs="Calibri" w:eastAsia="Calibri" w:hAnsi="Calibri"/>
          <w:b/>
          <w:bCs/>
          <w:color w:val="0A0A1E"/>
          <w:sz w:val="32"/>
          <w:szCs w:val="32"/>
        </w:rPr>
        <w:t xml:space="preserve">I. What SPCM Is (and Is Not)</w:t>
      </w:r>
    </w:p>
    <w:p>
      <w:pPr>
        <w:pStyle w:val="Heading2"/>
        <w:spacing w:after="110" w:before="280"/>
      </w:pPr>
      <w:r>
        <w:rPr>
          <w:rFonts w:ascii="Calibri" w:cs="Calibri" w:eastAsia="Calibri" w:hAnsi="Calibri"/>
          <w:b/>
          <w:bCs/>
          <w:color w:val="1A1A2E"/>
          <w:sz w:val="26"/>
          <w:szCs w:val="26"/>
        </w:rPr>
        <w:t xml:space="preserve">The Honest Description</w:t>
      </w:r>
    </w:p>
    <w:p>
      <w:pPr>
        <w:spacing w:after="100" w:before="80" w:line="276"/>
        <w:ind w:firstLine="360"/>
        <w:jc w:val="both"/>
      </w:pPr>
      <w:r>
        <w:rPr>
          <w:rFonts w:ascii="Georgia" w:cs="Georgia" w:eastAsia="Georgia" w:hAnsi="Georgia"/>
          <w:color w:val="111111"/>
          <w:sz w:val="22"/>
          <w:szCs w:val="22"/>
        </w:rPr>
        <w:t xml:space="preserve">SPCM is an elastic-supply ERC-20 token deployed on Base. Its supply is governed by a real-time measurement of the swap market's information-theoretic complexity — specifically, the Walsh-Hadamard Transform (WHT) spectral entropy of recent swap amount distributions.</w:t>
      </w:r>
    </w:p>
    <w:p>
      <w:pPr>
        <w:spacing w:after="100" w:before="80" w:line="276"/>
        <w:ind w:firstLine="360"/>
        <w:jc w:val="both"/>
      </w:pPr>
      <w:r>
        <w:rPr>
          <w:rFonts w:ascii="Georgia" w:cs="Georgia" w:eastAsia="Georgia" w:hAnsi="Georgia"/>
          <w:color w:val="111111"/>
          <w:sz w:val="22"/>
          <w:szCs w:val="22"/>
        </w:rPr>
        <w:t xml:space="preserve">One sentence: SPCM supply expands when the market is too ordered (bot-dominated) and contracts when it is too chaotic (crash/noise). Price floats with demand.</w:t>
      </w:r>
    </w:p>
    <w:p>
      <w:pPr>
        <w:spacing w:before="33"/>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Property</w:t>
            </w:r>
          </w:p>
        </w:tc>
        <w:tc>
          <w:tcPr>
            <w:tcW w:type="dxa" w:w="24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SPCM</w:t>
            </w:r>
          </w:p>
        </w:tc>
        <w:tc>
          <w:tcPr>
            <w:tcW w:type="dxa" w:w="24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Stablecoin (USDC)</w:t>
            </w:r>
          </w:p>
        </w:tc>
        <w:tc>
          <w:tcPr>
            <w:tcW w:type="dxa" w:w="256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Ampleforth (AMPL)</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Price target</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None — floats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≈$1.00</w:t>
            </w:r>
          </w:p>
        </w:tc>
        <w:tc>
          <w:tcPr>
            <w:tcW w:type="dxa" w:w="25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None — floats</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Supply target</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H_WHT ≈ 2.3 nats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Backed 1:1</w:t>
            </w:r>
          </w:p>
        </w:tc>
        <w:tc>
          <w:tcPr>
            <w:tcW w:type="dxa" w:w="25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CPI-indexed</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Supply signal</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Shannon entropy of swap data</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Custodial backing</w:t>
            </w:r>
          </w:p>
        </w:tc>
        <w:tc>
          <w:tcPr>
            <w:tcW w:type="dxa" w:w="25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Price oracle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Circular dependency</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None</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Custodian risk</w:t>
            </w:r>
          </w:p>
        </w:tc>
        <w:tc>
          <w:tcPr>
            <w:tcW w:type="dxa" w:w="25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None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Hard cap</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21,000,000 SPCM</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Unlimited</w:t>
            </w:r>
          </w:p>
        </w:tc>
        <w:tc>
          <w:tcPr>
            <w:tcW w:type="dxa" w:w="25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None</w:t>
            </w:r>
          </w:p>
        </w:tc>
      </w:tr>
    </w:tbl>
    <w:p>
      <w:pPr>
        <w:spacing w:before="55"/>
      </w:pPr>
    </w:p>
    <w:p>
      <w:pPr>
        <w:pStyle w:val="Heading2"/>
        <w:spacing w:after="110" w:before="280"/>
      </w:pPr>
      <w:r>
        <w:rPr>
          <w:rFonts w:ascii="Calibri" w:cs="Calibri" w:eastAsia="Calibri" w:hAnsi="Calibri"/>
          <w:b/>
          <w:bCs/>
          <w:color w:val="1A1A2E"/>
          <w:sz w:val="26"/>
          <w:szCs w:val="26"/>
        </w:rPr>
        <w:t xml:space="preserve">The Value Proposition</w:t>
      </w:r>
    </w:p>
    <w:p>
      <w:pPr>
        <w:spacing w:after="100" w:before="80" w:line="276"/>
        <w:ind w:firstLine="360"/>
        <w:jc w:val="both"/>
      </w:pPr>
      <w:r>
        <w:rPr>
          <w:rFonts w:ascii="Georgia" w:cs="Georgia" w:eastAsia="Georgia" w:hAnsi="Georgia"/>
          <w:color w:val="111111"/>
          <w:sz w:val="22"/>
          <w:szCs w:val="22"/>
        </w:rPr>
        <w:t xml:space="preserve">Every existing elastic token targets a price (Ampleforth → $1.00 CPI, RAI → floating target). SPCM targets something different: the information-theoretic health of the market that holds it.</w:t>
      </w:r>
    </w:p>
    <w:p>
      <w:pPr>
        <w:spacing w:after="100" w:before="80" w:line="276"/>
        <w:ind w:firstLine="360"/>
        <w:jc w:val="both"/>
      </w:pPr>
      <w:r>
        <w:rPr>
          <w:rFonts w:ascii="Georgia" w:cs="Georgia" w:eastAsia="Georgia" w:hAnsi="Georgia"/>
          <w:color w:val="111111"/>
          <w:sz w:val="22"/>
          <w:szCs w:val="22"/>
        </w:rPr>
        <w:t xml:space="preserve">At H_WHT = 2.3 nats (Edge-of-chaos): the market is maximally efficient — not bot-dominated, not crashing, not manipulated. The supply is stable. Fees are at minimum (0.05%). This is the information-theoretic optimum from Wilson's renormalization group theory.</w:t>
      </w:r>
    </w:p>
    <w:p>
      <w:pPr>
        <w:spacing w:after="100" w:before="80" w:line="276"/>
        <w:ind w:firstLine="360"/>
        <w:jc w:val="both"/>
      </w:pPr>
      <w:r>
        <w:rPr>
          <w:rFonts w:ascii="Georgia" w:cs="Georgia" w:eastAsia="Georgia" w:hAnsi="Georgia"/>
          <w:color w:val="111111"/>
          <w:sz w:val="22"/>
          <w:szCs w:val="22"/>
        </w:rPr>
        <w:t xml:space="preserve">When bots or wash-traders dominate: H_WHT drops below 1.8 nats (Periodic). Supply expands. Fee rises to 3%. Both forces push entropy back up. The mechanism self-heals.</w:t>
      </w:r>
    </w:p>
    <w:p>
      <w:r>
        <w:br w:type="page"/>
      </w:r>
    </w:p>
    <w:p>
      <w:pPr>
        <w:pStyle w:val="Heading1"/>
        <w:pBdr>
          <w:bottom w:val="single" w:color="1A1A2E" w:sz="4" w:space="6"/>
        </w:pBdr>
        <w:spacing w:after="160" w:before="440"/>
      </w:pPr>
      <w:r>
        <w:rPr>
          <w:rFonts w:ascii="Calibri" w:cs="Calibri" w:eastAsia="Calibri" w:hAnsi="Calibri"/>
          <w:b/>
          <w:bCs/>
          <w:color w:val="0A0A1E"/>
          <w:sz w:val="32"/>
          <w:szCs w:val="32"/>
        </w:rPr>
        <w:t xml:space="preserve">II. Architecture</w:t>
      </w:r>
    </w:p>
    <w:p>
      <w:pPr>
        <w:pStyle w:val="Heading2"/>
        <w:spacing w:after="110" w:before="280"/>
      </w:pPr>
      <w:r>
        <w:rPr>
          <w:rFonts w:ascii="Calibri" w:cs="Calibri" w:eastAsia="Calibri" w:hAnsi="Calibri"/>
          <w:b/>
          <w:bCs/>
          <w:color w:val="1A1A2E"/>
          <w:sz w:val="26"/>
          <w:szCs w:val="26"/>
        </w:rPr>
        <w:t xml:space="preserve">Five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3200"/>
        <w:gridCol w:w="2960"/>
      </w:tblGrid>
      <w:tr>
        <w:trPr>
          <w:tblHeader/>
        </w:trPr>
        <w:tc>
          <w:tcPr>
            <w:tcW w:type="dxa" w:w="21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Contract</w:t>
            </w:r>
          </w:p>
        </w:tc>
        <w:tc>
          <w:tcPr>
            <w:tcW w:type="dxa" w:w="11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Size</w:t>
            </w:r>
          </w:p>
        </w:tc>
        <w:tc>
          <w:tcPr>
            <w:tcW w:type="dxa" w:w="32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96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Key invariant</w:t>
            </w:r>
          </w:p>
        </w:tc>
      </w:tr>
      <w:tr>
        <w:trPr>
          <w:tblHeader w:val="false"/>
        </w:trPr>
        <w:tc>
          <w:tcPr>
            <w:tcW w:type="dxa" w:w="2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SpectralToken</w:t>
            </w:r>
          </w:p>
        </w:tc>
        <w:tc>
          <w:tcPr>
            <w:tcW w:type="dxa" w:w="1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135 lines</w:t>
            </w:r>
          </w:p>
        </w:tc>
        <w:tc>
          <w:tcPr>
            <w:tcW w:type="dxa" w:w="3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ERC-20, mint/burn by stabilizer only</w:t>
            </w:r>
          </w:p>
        </w:tc>
        <w:tc>
          <w:tcPr>
            <w:tcW w:type="dxa" w:w="29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totalSupply ≤ 21M SPCM always</w:t>
            </w:r>
          </w:p>
        </w:tc>
      </w:tr>
      <w:tr>
        <w:trPr>
          <w:tblHeader w:val="false"/>
        </w:trPr>
        <w:tc>
          <w:tcPr>
            <w:tcW w:type="dxa" w:w="2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SpectralEntropyOracle</w:t>
            </w:r>
          </w:p>
        </w:tc>
        <w:tc>
          <w:tcPr>
            <w:tcW w:type="dxa" w:w="1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220 lines</w:t>
            </w:r>
          </w:p>
        </w:tc>
        <w:tc>
          <w:tcPr>
            <w:tcW w:type="dxa" w:w="3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WHT entropy from swap data, dynamic fee</w:t>
            </w:r>
          </w:p>
        </w:tc>
        <w:tc>
          <w:tcPr>
            <w:tcW w:type="dxa" w:w="29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Only hook can call observe()</w:t>
            </w:r>
          </w:p>
        </w:tc>
      </w:tr>
      <w:tr>
        <w:trPr>
          <w:tblHeader w:val="false"/>
        </w:trPr>
        <w:tc>
          <w:tcPr>
            <w:tcW w:type="dxa" w:w="2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AutonomousTreasury</w:t>
            </w:r>
          </w:p>
        </w:tc>
        <w:tc>
          <w:tcPr>
            <w:tcW w:type="dxa" w:w="1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190 lines</w:t>
            </w:r>
          </w:p>
        </w:tc>
        <w:tc>
          <w:tcPr>
            <w:tcW w:type="dxa" w:w="3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Receives mint, distributes 80% to LPs, returns 20%</w:t>
            </w:r>
          </w:p>
        </w:tc>
        <w:tc>
          <w:tcPr>
            <w:tcW w:type="dxa" w:w="29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Only stabilizer can distribute()</w:t>
            </w:r>
          </w:p>
        </w:tc>
      </w:tr>
      <w:tr>
        <w:trPr>
          <w:tblHeader w:val="false"/>
        </w:trPr>
        <w:tc>
          <w:tcPr>
            <w:tcW w:type="dxa" w:w="2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SpectralStabilizer</w:t>
            </w:r>
          </w:p>
        </w:tc>
        <w:tc>
          <w:tcPr>
            <w:tcW w:type="dxa" w:w="1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180 lines</w:t>
            </w:r>
          </w:p>
        </w:tc>
        <w:tc>
          <w:tcPr>
            <w:tcW w:type="dxa" w:w="3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Calls adjust(), mints or burns based on entropy</w:t>
            </w:r>
          </w:p>
        </w:tc>
        <w:tc>
          <w:tcPr>
            <w:tcW w:type="dxa" w:w="29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Requires 3 consecutive OOW readings</w:t>
            </w:r>
          </w:p>
        </w:tc>
      </w:tr>
      <w:tr>
        <w:trPr>
          <w:tblHeader w:val="false"/>
        </w:trPr>
        <w:tc>
          <w:tcPr>
            <w:tcW w:type="dxa" w:w="2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SpectralHook</w:t>
            </w:r>
          </w:p>
        </w:tc>
        <w:tc>
          <w:tcPr>
            <w:tcW w:type="dxa" w:w="11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200 lines</w:t>
            </w:r>
          </w:p>
        </w:tc>
        <w:tc>
          <w:tcPr>
            <w:tcW w:type="dxa" w:w="3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Uniswap V4 hook, overrides fee, feeds oracle</w:t>
            </w:r>
          </w:p>
        </w:tc>
        <w:tc>
          <w:tcPr>
            <w:tcW w:type="dxa" w:w="29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BEFORE_SWAP + AFTER_SWAP flags</w:t>
            </w:r>
          </w:p>
        </w:tc>
      </w:tr>
    </w:tbl>
    <w:p>
      <w:pPr>
        <w:spacing w:before="55"/>
      </w:pPr>
    </w:p>
    <w:p>
      <w:pPr>
        <w:pStyle w:val="Heading2"/>
        <w:spacing w:after="110" w:before="280"/>
      </w:pPr>
      <w:r>
        <w:rPr>
          <w:rFonts w:ascii="Calibri" w:cs="Calibri" w:eastAsia="Calibri" w:hAnsi="Calibri"/>
          <w:b/>
          <w:bCs/>
          <w:color w:val="1A1A2E"/>
          <w:sz w:val="26"/>
          <w:szCs w:val="26"/>
        </w:rPr>
        <w:t xml:space="preserve">Data Flow</w:t>
      </w:r>
    </w:p>
    <w:p>
      <w:pPr>
        <w:spacing w:after="100" w:before="80" w:line="276"/>
        <w:ind w:left="360"/>
        <w:jc w:val="both"/>
      </w:pPr>
      <w:r>
        <w:rPr>
          <w:rFonts w:ascii="Georgia" w:cs="Georgia" w:eastAsia="Georgia" w:hAnsi="Georgia"/>
          <w:color w:val="111111"/>
          <w:sz w:val="22"/>
          <w:szCs w:val="22"/>
        </w:rPr>
        <w:t xml:space="preserve">1. Swap occurs → SpectralHook.beforeSwap() reads oracle → overrides pool fee with getDynamicFee()</w:t>
      </w:r>
    </w:p>
    <w:p>
      <w:pPr>
        <w:spacing w:after="100" w:before="80" w:line="276"/>
        <w:ind w:left="360"/>
        <w:jc w:val="both"/>
      </w:pPr>
      <w:r>
        <w:rPr>
          <w:rFonts w:ascii="Georgia" w:cs="Georgia" w:eastAsia="Georgia" w:hAnsi="Georgia"/>
          <w:color w:val="111111"/>
          <w:sz w:val="22"/>
          <w:szCs w:val="22"/>
        </w:rPr>
        <w:t xml:space="preserve">2. Swap executes → SpectralHook.afterSwap() calls oracle.observe(rawAmount) → oracle updates H_WHT via WHT butterfly</w:t>
      </w:r>
    </w:p>
    <w:p>
      <w:pPr>
        <w:spacing w:after="100" w:before="80" w:line="276"/>
        <w:ind w:left="360"/>
        <w:jc w:val="both"/>
      </w:pPr>
      <w:r>
        <w:rPr>
          <w:rFonts w:ascii="Georgia" w:cs="Georgia" w:eastAsia="Georgia" w:hAnsi="Georgia"/>
          <w:color w:val="111111"/>
          <w:sz w:val="22"/>
          <w:szCs w:val="22"/>
        </w:rPr>
        <w:t xml:space="preserve">3. afterSwap calls treasury.recordActivity(swapper, volume) → participant slot updated</w:t>
      </w:r>
    </w:p>
    <w:p>
      <w:pPr>
        <w:spacing w:after="100" w:before="80" w:line="276"/>
        <w:ind w:left="360"/>
        <w:jc w:val="both"/>
      </w:pPr>
      <w:r>
        <w:rPr>
          <w:rFonts w:ascii="Georgia" w:cs="Georgia" w:eastAsia="Georgia" w:hAnsi="Georgia"/>
          <w:color w:val="111111"/>
          <w:sz w:val="22"/>
          <w:szCs w:val="22"/>
        </w:rPr>
        <w:t xml:space="preserve">4. After 1 hour: anyone calls stabilizer.adjust() → reads 16-point TWAP from oracle</w:t>
      </w:r>
    </w:p>
    <w:p>
      <w:pPr>
        <w:spacing w:after="100" w:before="80" w:line="276"/>
        <w:ind w:left="360"/>
        <w:jc w:val="both"/>
      </w:pPr>
      <w:r>
        <w:rPr>
          <w:rFonts w:ascii="Georgia" w:cs="Georgia" w:eastAsia="Georgia" w:hAnsi="Georgia"/>
          <w:color w:val="111111"/>
          <w:sz w:val="22"/>
          <w:szCs w:val="22"/>
        </w:rPr>
        <w:t xml:space="preserve">5. If 3+ consecutive out-of-window readings: stabilizer mints or burns → treasury.distribute() splits 80% to LPs</w:t>
      </w:r>
    </w:p>
    <w:p>
      <w:pPr>
        <w:spacing w:after="100" w:before="80" w:line="276"/>
        <w:ind w:left="360"/>
        <w:jc w:val="both"/>
      </w:pPr>
      <w:r>
        <w:rPr>
          <w:rFonts w:ascii="Georgia" w:cs="Georgia" w:eastAsia="Georgia" w:hAnsi="Georgia"/>
          <w:color w:val="111111"/>
          <w:sz w:val="22"/>
          <w:szCs w:val="22"/>
        </w:rPr>
        <w:t xml:space="preserve">6. Stabilizer burns the 20% remainder returned by treasury</w:t>
      </w:r>
    </w:p>
    <w:p>
      <w:r>
        <w:br w:type="page"/>
      </w:r>
    </w:p>
    <w:p>
      <w:pPr>
        <w:pStyle w:val="Heading1"/>
        <w:pBdr>
          <w:bottom w:val="single" w:color="1A1A2E" w:sz="4" w:space="6"/>
        </w:pBdr>
        <w:spacing w:after="160" w:before="440"/>
      </w:pPr>
      <w:r>
        <w:rPr>
          <w:rFonts w:ascii="Calibri" w:cs="Calibri" w:eastAsia="Calibri" w:hAnsi="Calibri"/>
          <w:b/>
          <w:bCs/>
          <w:color w:val="0A0A1E"/>
          <w:sz w:val="32"/>
          <w:szCs w:val="32"/>
        </w:rPr>
        <w:t xml:space="preserve">III. Red-Team Analysis — All 25 Issues</w:t>
      </w:r>
    </w:p>
    <w:p>
      <w:pPr>
        <w:pStyle w:val="Heading2"/>
        <w:spacing w:after="110" w:before="280"/>
      </w:pPr>
      <w:r>
        <w:rPr>
          <w:rFonts w:ascii="Calibri" w:cs="Calibri" w:eastAsia="Calibri" w:hAnsi="Calibri"/>
          <w:b/>
          <w:bCs/>
          <w:color w:val="1A1A2E"/>
          <w:sz w:val="26"/>
          <w:szCs w:val="26"/>
        </w:rPr>
        <w:t xml:space="preserve">Critical Issues (3) — All Patched</w:t>
      </w:r>
    </w:p>
    <w:p>
      <w:pPr>
        <w:spacing w:before="33"/>
      </w:pPr>
    </w:p>
    <w:p>
      <w:pPr>
        <w:pStyle w:val="Heading3"/>
        <w:spacing w:after="80" w:before="220"/>
      </w:pPr>
      <w:r>
        <w:rPr>
          <w:rFonts w:ascii="Calibri" w:cs="Calibri" w:eastAsia="Calibri" w:hAnsi="Calibri"/>
          <w:b/>
          <w:bCs/>
          <w:i/>
          <w:iCs/>
          <w:color w:val="8B0000"/>
          <w:sz w:val="22"/>
          <w:szCs w:val="22"/>
        </w:rPr>
        <w:t xml:space="preserve">[CRITICAL-1] Oracle: Owner could spoof entropy</w:t>
      </w:r>
    </w:p>
    <w:p>
      <w:pPr>
        <w:pBdr>
          <w:left w:val="thick" w:color="8B0000" w:sz="16" w:space="8"/>
        </w:pBdr>
        <w:shd w:fill="FFF0F0" w:val="clear"/>
        <w:spacing w:after="100" w:before="100"/>
        <w:ind w:left="360"/>
      </w:pPr>
      <w:r>
        <w:rPr>
          <w:rFonts w:ascii="Georgia" w:cs="Georgia" w:eastAsia="Georgia" w:hAnsi="Georgia"/>
          <w:color w:val="8B0000"/>
          <w:sz w:val="21"/>
          <w:szCs w:val="21"/>
        </w:rPr>
        <w:t xml:space="preserve">Attack: onlyHook previously included msg.sender == owner. Owner could call observe() directly, injecting arbitrary values into the frequency table and forcing H_WHT to any target. This would trigger fraudulent supply adjustments.</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owner removed from onlyHook. Only the deployed hook address may call observe(). setHook() is now one-time-only — cannot be changed after first call.</w:t>
      </w:r>
    </w:p>
    <w:p>
      <w:pPr>
        <w:spacing w:before="33"/>
      </w:pPr>
    </w:p>
    <w:p>
      <w:pPr>
        <w:pStyle w:val="Heading3"/>
        <w:spacing w:after="80" w:before="220"/>
      </w:pPr>
      <w:r>
        <w:rPr>
          <w:rFonts w:ascii="Calibri" w:cs="Calibri" w:eastAsia="Calibri" w:hAnsi="Calibri"/>
          <w:b/>
          <w:bCs/>
          <w:i/>
          <w:iCs/>
          <w:color w:val="8B0000"/>
          <w:sz w:val="22"/>
          <w:szCs w:val="22"/>
        </w:rPr>
        <w:t xml:space="preserve">[CRITICAL-2] Treasury: Owner could inject fake volume</w:t>
      </w:r>
    </w:p>
    <w:p>
      <w:pPr>
        <w:pBdr>
          <w:left w:val="thick" w:color="8B0000" w:sz="16" w:space="8"/>
        </w:pBdr>
        <w:shd w:fill="FFF0F0" w:val="clear"/>
        <w:spacing w:after="100" w:before="100"/>
        <w:ind w:left="360"/>
      </w:pPr>
      <w:r>
        <w:rPr>
          <w:rFonts w:ascii="Georgia" w:cs="Georgia" w:eastAsia="Georgia" w:hAnsi="Georgia"/>
          <w:color w:val="8B0000"/>
          <w:sz w:val="21"/>
          <w:szCs w:val="21"/>
        </w:rPr>
        <w:t xml:space="preserve">Attack: recordActivity() allowed owner to call directly. Owner could record whale_address → huge_volume, then call distribute(), draining all minted SPCM to themselves. Complete rug vector.</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onlyHook on recordActivity — owner removed entirely. setHook() in treasury is also one-time-only.</w:t>
      </w:r>
    </w:p>
    <w:p>
      <w:pPr>
        <w:spacing w:before="33"/>
      </w:pPr>
    </w:p>
    <w:p>
      <w:pPr>
        <w:pStyle w:val="Heading3"/>
        <w:spacing w:after="80" w:before="220"/>
      </w:pPr>
      <w:r>
        <w:rPr>
          <w:rFonts w:ascii="Calibri" w:cs="Calibri" w:eastAsia="Calibri" w:hAnsi="Calibri"/>
          <w:b/>
          <w:bCs/>
          <w:i/>
          <w:iCs/>
          <w:color w:val="8B0000"/>
          <w:sz w:val="22"/>
          <w:szCs w:val="22"/>
        </w:rPr>
        <w:t xml:space="preserve">[CRITICAL-3] Hook: beforeSwap returned wrong selector</w:t>
      </w:r>
    </w:p>
    <w:p>
      <w:pPr>
        <w:pBdr>
          <w:left w:val="thick" w:color="8B0000" w:sz="16" w:space="8"/>
        </w:pBdr>
        <w:shd w:fill="FFF0F0" w:val="clear"/>
        <w:spacing w:after="100" w:before="100"/>
        <w:ind w:left="360"/>
      </w:pPr>
      <w:r>
        <w:rPr>
          <w:rFonts w:ascii="Georgia" w:cs="Georgia" w:eastAsia="Georgia" w:hAnsi="Georgia"/>
          <w:color w:val="8B0000"/>
          <w:sz w:val="21"/>
          <w:szCs w:val="21"/>
        </w:rPr>
        <w:t xml:space="preserve">Attack: beforeSwap returned hardcoded 0x00544c07. This is not the correct Solidity selector for the beforeSwap function signature. Every single swap through the pool would revert. The pool would be permanently unusable.</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return (BaseHook.beforeSwap.selector, ...). Let Solidity compute the correct selector at compile time.</w:t>
      </w:r>
    </w:p>
    <w:p>
      <w:pPr>
        <w:spacing w:before="55"/>
      </w:pPr>
    </w:p>
    <w:p>
      <w:pPr>
        <w:pStyle w:val="Heading2"/>
        <w:spacing w:after="110" w:before="280"/>
      </w:pPr>
      <w:r>
        <w:rPr>
          <w:rFonts w:ascii="Calibri" w:cs="Calibri" w:eastAsia="Calibri" w:hAnsi="Calibri"/>
          <w:b/>
          <w:bCs/>
          <w:color w:val="1A1A2E"/>
          <w:sz w:val="26"/>
          <w:szCs w:val="26"/>
        </w:rPr>
        <w:t xml:space="preserve">High Issues (8) — All Patched</w:t>
      </w:r>
    </w:p>
    <w:p>
      <w:pPr>
        <w:pStyle w:val="Heading3"/>
        <w:spacing w:after="80" w:before="220"/>
      </w:pPr>
      <w:r>
        <w:rPr>
          <w:rFonts w:ascii="Calibri" w:cs="Calibri" w:eastAsia="Calibri" w:hAnsi="Calibri"/>
          <w:b/>
          <w:bCs/>
          <w:i/>
          <w:iCs/>
          <w:color w:val="444444"/>
          <w:sz w:val="22"/>
          <w:szCs w:val="22"/>
        </w:rPr>
        <w:t xml:space="preserve">[HIGH-1] Oracle: Frequency table decay was wrong</w:t>
      </w:r>
    </w:p>
    <w:p>
      <w:pPr>
        <w:spacing w:after="100" w:before="80" w:line="276"/>
        <w:ind w:left="360"/>
        <w:jc w:val="both"/>
      </w:pPr>
      <w:r>
        <w:rPr>
          <w:rFonts w:ascii="Georgia" w:cs="Georgia" w:eastAsia="Georgia" w:hAnsi="Georgia"/>
          <w:color w:val="111111"/>
          <w:sz w:val="22"/>
          <w:szCs w:val="22"/>
        </w:rPr>
        <w:t xml:space="preserve">_updateFreq decremented the incoming bin, not the oldest observation. A bot spamming one bin would prevent that bin from growing while other bins accumulated indefinitely — producing a biased frequency table.</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FIFO circular buffer (obsBuffer[1024]). bufHead/bufTail pointers track oldest observation. Eviction always removes the oldest bin entry.</w:t>
      </w:r>
    </w:p>
    <w:p>
      <w:pPr>
        <w:pStyle w:val="Heading3"/>
        <w:spacing w:after="80" w:before="220"/>
      </w:pPr>
      <w:r>
        <w:rPr>
          <w:rFonts w:ascii="Calibri" w:cs="Calibri" w:eastAsia="Calibri" w:hAnsi="Calibri"/>
          <w:b/>
          <w:bCs/>
          <w:i/>
          <w:iCs/>
          <w:color w:val="444444"/>
          <w:sz w:val="22"/>
          <w:szCs w:val="22"/>
        </w:rPr>
        <w:t xml:space="preserve">[HIGH-2] Oracle: _log2Fixed underflow</w:t>
      </w:r>
    </w:p>
    <w:p>
      <w:pPr>
        <w:spacing w:after="100" w:before="80" w:line="276"/>
        <w:ind w:left="360"/>
        <w:jc w:val="both"/>
      </w:pPr>
      <w:r>
        <w:rPr>
          <w:rFonts w:ascii="Georgia" w:cs="Georgia" w:eastAsia="Georgia" w:hAnsi="Georgia"/>
          <w:color w:val="111111"/>
          <w:sz w:val="22"/>
          <w:szCs w:val="22"/>
        </w:rPr>
        <w:t xml:space="preserve">Quadratic correction term could exceed the linear term for small inputs, causing uint256 subtraction underflow and wildly wrong log2 values — corrupting every entropy reading.</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Clamp: if (corr &gt; logZ) corr = logZ before subtraction. Added final safety clamp on intScaled - logZ.</w:t>
      </w:r>
    </w:p>
    <w:p>
      <w:pPr>
        <w:pStyle w:val="Heading3"/>
        <w:spacing w:after="80" w:before="220"/>
      </w:pPr>
      <w:r>
        <w:rPr>
          <w:rFonts w:ascii="Calibri" w:cs="Calibri" w:eastAsia="Calibri" w:hAnsi="Calibri"/>
          <w:b/>
          <w:bCs/>
          <w:i/>
          <w:iCs/>
          <w:color w:val="444444"/>
          <w:sz w:val="22"/>
          <w:szCs w:val="22"/>
        </w:rPr>
        <w:t xml:space="preserve">[HIGH-3] Treasury: No reentrancy guard on distribute()</w:t>
      </w:r>
    </w:p>
    <w:p>
      <w:pPr>
        <w:spacing w:after="100" w:before="80" w:line="276"/>
        <w:ind w:left="360"/>
        <w:jc w:val="both"/>
      </w:pPr>
      <w:r>
        <w:rPr>
          <w:rFonts w:ascii="Georgia" w:cs="Georgia" w:eastAsia="Georgia" w:hAnsi="Georgia"/>
          <w:color w:val="111111"/>
          <w:sz w:val="22"/>
          <w:szCs w:val="22"/>
        </w:rPr>
        <w:t xml:space="preserve">token.transfer() inside a loop with no state cleared first. A malicious ERC-777/callback contract receiving SPCM could reenter distribute() before the loop completes, draining treasury multiple times.</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Checks-effects-interactions: compute all shares into memory array, zero out participant state, then transfer. Plus explicit noReentrant modifier.</w:t>
      </w:r>
    </w:p>
    <w:p>
      <w:pPr>
        <w:pStyle w:val="Heading3"/>
        <w:spacing w:after="80" w:before="220"/>
      </w:pPr>
      <w:r>
        <w:rPr>
          <w:rFonts w:ascii="Calibri" w:cs="Calibri" w:eastAsia="Calibri" w:hAnsi="Calibri"/>
          <w:b/>
          <w:bCs/>
          <w:i/>
          <w:iCs/>
          <w:color w:val="444444"/>
          <w:sz w:val="22"/>
          <w:szCs w:val="22"/>
        </w:rPr>
        <w:t xml:space="preserve">[HIGH-4] Treasury: Wash-trading fills all 32 participant slots</w:t>
      </w:r>
    </w:p>
    <w:p>
      <w:pPr>
        <w:spacing w:after="100" w:before="80" w:line="276"/>
        <w:ind w:left="360"/>
        <w:jc w:val="both"/>
      </w:pPr>
      <w:r>
        <w:rPr>
          <w:rFonts w:ascii="Georgia" w:cs="Georgia" w:eastAsia="Georgia" w:hAnsi="Georgia"/>
          <w:color w:val="111111"/>
          <w:sz w:val="22"/>
          <w:szCs w:val="22"/>
        </w:rPr>
        <w:t xml:space="preserve">Attacker makes 32 tiny swaps with their own address, filling all participant slots. On next mint+distribute, they receive 100% of distribution.</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Address deduplication (one slot per address). minVolumeThreshold filters dust swaps. Replace-weakest eviction: new participant only takes a slot if their volume exceeds the current minimum.</w:t>
      </w:r>
    </w:p>
    <w:p>
      <w:pPr>
        <w:pStyle w:val="Heading3"/>
        <w:spacing w:after="80" w:before="220"/>
      </w:pPr>
      <w:r>
        <w:rPr>
          <w:rFonts w:ascii="Calibri" w:cs="Calibri" w:eastAsia="Calibri" w:hAnsi="Calibri"/>
          <w:b/>
          <w:bCs/>
          <w:i/>
          <w:iCs/>
          <w:color w:val="444444"/>
          <w:sz w:val="22"/>
          <w:szCs w:val="22"/>
        </w:rPr>
        <w:t xml:space="preserve">[HIGH-5] Treasury: burn() would always revert</w:t>
      </w:r>
    </w:p>
    <w:p>
      <w:pPr>
        <w:spacing w:after="100" w:before="80" w:line="276"/>
        <w:ind w:left="360"/>
        <w:jc w:val="both"/>
      </w:pPr>
      <w:r>
        <w:rPr>
          <w:rFonts w:ascii="Georgia" w:cs="Georgia" w:eastAsia="Georgia" w:hAnsi="Georgia"/>
          <w:color w:val="111111"/>
          <w:sz w:val="22"/>
          <w:szCs w:val="22"/>
        </w:rPr>
        <w:t xml:space="preserve">Treasury called token.burn(address(this), amount) but token.burn() is onlyStabilizer. Treasury is not the stabilizer. Every distribute() call would revert on the burn step.</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Treasury returns remainder to stabilizer via token.transfer(msg.sender, remainder). Stabilizer then calls token.burn(address(this), toBurn).</w:t>
      </w:r>
    </w:p>
    <w:p>
      <w:pPr>
        <w:pStyle w:val="Heading3"/>
        <w:spacing w:after="80" w:before="220"/>
      </w:pPr>
      <w:r>
        <w:rPr>
          <w:rFonts w:ascii="Calibri" w:cs="Calibri" w:eastAsia="Calibri" w:hAnsi="Calibri"/>
          <w:b/>
          <w:bCs/>
          <w:i/>
          <w:iCs/>
          <w:color w:val="444444"/>
          <w:sz w:val="22"/>
          <w:szCs w:val="22"/>
        </w:rPr>
        <w:t xml:space="preserve">[HIGH-6] Stabilizer: Permissionless adjust() exploitable by MEV</w:t>
      </w:r>
    </w:p>
    <w:p>
      <w:pPr>
        <w:spacing w:after="100" w:before="80" w:line="276"/>
        <w:ind w:left="360"/>
        <w:jc w:val="both"/>
      </w:pPr>
      <w:r>
        <w:rPr>
          <w:rFonts w:ascii="Georgia" w:cs="Georgia" w:eastAsia="Georgia" w:hAnsi="Georgia"/>
          <w:color w:val="111111"/>
          <w:sz w:val="22"/>
          <w:szCs w:val="22"/>
        </w:rPr>
        <w:t xml:space="preserve">Any bot can call adjust() exactly at cooldown expiry. One large swap can briefly push entropy outside the window. Bot triggers max 2% supply change before market recovers.</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MIN_CONSECUTIVE_OOW = 3. adjust() increments a counter when entropy is out-of-window; resets when in-window. Only acts after 3 consecutive readings. Also uses 16-point TWAP (was 8).</w:t>
      </w:r>
    </w:p>
    <w:p>
      <w:pPr>
        <w:pStyle w:val="Heading3"/>
        <w:spacing w:after="80" w:before="220"/>
      </w:pPr>
      <w:r>
        <w:rPr>
          <w:rFonts w:ascii="Calibri" w:cs="Calibri" w:eastAsia="Calibri" w:hAnsi="Calibri"/>
          <w:b/>
          <w:bCs/>
          <w:i/>
          <w:iCs/>
          <w:color w:val="444444"/>
          <w:sz w:val="22"/>
          <w:szCs w:val="22"/>
        </w:rPr>
        <w:t xml:space="preserve">[HIGH-7] Hook: afterSwap divided amount before oracle</w:t>
      </w:r>
    </w:p>
    <w:p>
      <w:pPr>
        <w:spacing w:after="100" w:before="80" w:line="276"/>
        <w:ind w:left="360"/>
        <w:jc w:val="both"/>
      </w:pPr>
      <w:r>
        <w:rPr>
          <w:rFonts w:ascii="Georgia" w:cs="Georgia" w:eastAsia="Georgia" w:hAnsi="Georgia"/>
          <w:color w:val="111111"/>
          <w:sz w:val="22"/>
          <w:szCs w:val="22"/>
        </w:rPr>
        <w:t xml:space="preserve">feedAmount = rawAmount / 1e15 then oracle applies _log2 internally. For USDC (1e6 decimals), a 1000 USDC swap: rawAmount = 1000 * 1e6 = 1e9. After /1e15: feedAmount = 0. All USDC swaps mapped to bin 0.</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Pass rawAmount directly to oracle.observe(). Oracle's integer _log2() correctly handles all scales from 1e6 to 1e30.</w:t>
      </w:r>
    </w:p>
    <w:p>
      <w:pPr>
        <w:pStyle w:val="Heading3"/>
        <w:spacing w:after="80" w:before="220"/>
      </w:pPr>
      <w:r>
        <w:rPr>
          <w:rFonts w:ascii="Calibri" w:cs="Calibri" w:eastAsia="Calibri" w:hAnsi="Calibri"/>
          <w:b/>
          <w:bCs/>
          <w:i/>
          <w:iCs/>
          <w:color w:val="444444"/>
          <w:sz w:val="22"/>
          <w:szCs w:val="22"/>
        </w:rPr>
        <w:t xml:space="preserve">[HIGH-8] Hook: Drift detection threshold too sensitive</w:t>
      </w:r>
    </w:p>
    <w:p>
      <w:pPr>
        <w:spacing w:after="100" w:before="80" w:line="276"/>
        <w:ind w:left="360"/>
        <w:jc w:val="both"/>
      </w:pPr>
      <w:r>
        <w:rPr>
          <w:rFonts w:ascii="Georgia" w:cs="Georgia" w:eastAsia="Georgia" w:hAnsi="Georgia"/>
          <w:color w:val="111111"/>
          <w:sz w:val="22"/>
          <w:szCs w:val="22"/>
        </w:rPr>
        <w:t xml:space="preserve">3 consecutive readings with &gt;0.5 nat entropy shift flagged as attack. Legitimate high-volatility markets produce 0.3–0.5 nat swings naturally. System would charge 3% fees constantly on healthy volatile days.</w:t>
      </w:r>
    </w:p>
    <w:p>
      <w:pPr>
        <w:spacing w:after="100" w:before="80" w:line="276"/>
        <w:ind/>
        <w:jc w:val="both"/>
      </w:pPr>
      <w:r>
        <w:rPr>
          <w:rFonts w:ascii="Calibri" w:cs="Calibri" w:eastAsia="Calibri" w:hAnsi="Calibri"/>
          <w:b/>
          <w:bCs/>
          <w:color w:val="111111"/>
          <w:sz w:val="21"/>
          <w:szCs w:val="21"/>
        </w:rPr>
        <w:t xml:space="preserve">Fix: </w:t>
      </w:r>
      <w:r>
        <w:rPr>
          <w:rFonts w:ascii="Georgia" w:cs="Georgia" w:eastAsia="Georgia" w:hAnsi="Georgia"/>
          <w:color w:val="111111"/>
          <w:sz w:val="21"/>
          <w:szCs w:val="21"/>
        </w:rPr>
        <w:t xml:space="preserve">DRIFT_CONSECUTIVE_THRESHOLD raised to 5. DRIFT_DELTA_THRESHOLD = 0.5 nats per observation (explicit constant).</w:t>
      </w:r>
    </w:p>
    <w:p>
      <w:pPr>
        <w:spacing w:before="55"/>
      </w:pPr>
    </w:p>
    <w:p>
      <w:pPr>
        <w:pStyle w:val="Heading2"/>
        <w:spacing w:after="110" w:before="280"/>
      </w:pPr>
      <w:r>
        <w:rPr>
          <w:rFonts w:ascii="Calibri" w:cs="Calibri" w:eastAsia="Calibri" w:hAnsi="Calibri"/>
          <w:b/>
          <w:bCs/>
          <w:color w:val="1A1A2E"/>
          <w:sz w:val="26"/>
          <w:szCs w:val="26"/>
        </w:rPr>
        <w:t xml:space="preserve">Medium Issues (9) — All Patched or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Issue</w:t>
            </w:r>
          </w:p>
        </w:tc>
        <w:tc>
          <w:tcPr>
            <w:tcW w:type="dxa" w:w="24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Contract</w:t>
            </w:r>
          </w:p>
        </w:tc>
        <w:tc>
          <w:tcPr>
            <w:tcW w:type="dxa" w:w="436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Patch applied</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ERC-20 allowance front-run race</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SpectralToken</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increaseAllowance / decreaseAllowance added</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windowSize=200 resets in 3 min on high-volume pools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SpectralEntropyOracle</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windowSize=500 default. setWindowSize() governance function added.</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observe() with zero inserts bin 0 always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SpectralEntropyOracle</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observe() returns early if value==0</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No staleness check on initial entropy</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SpectralEntropyOracle</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getDynamicFee() returns 3000 bps if no update for 7200 blocks (~24h)</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treasury.distribute() revert blocks stabilizer</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SpectralStabilizer</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Wrapped in try/catch. Failure logged, not propagated.</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adjustmentCount incremented even for zero burns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SpectralStabilizer</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Only increments if burnAmt &gt; 0</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hookData sender is PoolManager in V4, not user</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SpectralHook</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Decode actual swapper from hookData. Fallback to tx.origin.</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v4-periphery import path may change across versions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SpectralHook</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Documented: verify path after forge install</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previewAdjust/adjust diverge due to block timing</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SpectralStabilizer</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Documented: inherent to on-chain previews</w:t>
            </w:r>
          </w:p>
        </w:tc>
      </w:tr>
    </w:tbl>
    <w:p>
      <w:pPr>
        <w:spacing w:before="55"/>
      </w:pPr>
    </w:p>
    <w:p>
      <w:pPr>
        <w:pStyle w:val="Heading2"/>
        <w:spacing w:after="110" w:before="280"/>
      </w:pPr>
      <w:r>
        <w:rPr>
          <w:rFonts w:ascii="Calibri" w:cs="Calibri" w:eastAsia="Calibri" w:hAnsi="Calibri"/>
          <w:b/>
          <w:bCs/>
          <w:color w:val="1A1A2E"/>
          <w:sz w:val="26"/>
          <w:szCs w:val="26"/>
        </w:rPr>
        <w:t xml:space="preserve">Low Issues (5) — All Patched or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444444" w:val="clear"/>
            <w:tcMar>
              <w:top w:type="dxa" w:w="80"/>
              <w:left w:type="dxa" w:w="120"/>
              <w:bottom w:type="dxa" w:w="80"/>
              <w:right w:type="dxa" w:w="120"/>
            </w:tcMar>
          </w:tcPr>
          <w:p>
            <w:r>
              <w:rPr>
                <w:rFonts w:ascii="Calibri" w:cs="Calibri" w:eastAsia="Calibri" w:hAnsi="Calibri"/>
                <w:b/>
                <w:bCs/>
                <w:color w:val="FFFFFF"/>
                <w:sz w:val="18"/>
                <w:szCs w:val="18"/>
              </w:rPr>
              <w:t xml:space="preserve">Issue</w:t>
            </w:r>
          </w:p>
        </w:tc>
        <w:tc>
          <w:tcPr>
            <w:tcW w:type="dxa" w:w="5760"/>
            <w:tcBorders>
              <w:top w:val="single" w:color="CCCCCC" w:sz="4"/>
              <w:left w:val="single" w:color="CCCCCC" w:sz="4"/>
              <w:bottom w:val="single" w:color="CCCCCC" w:sz="4"/>
              <w:right w:val="single" w:color="CCCCCC" w:sz="4"/>
            </w:tcBorders>
            <w:shd w:fill="444444" w:val="clear"/>
            <w:tcMar>
              <w:top w:type="dxa" w:w="80"/>
              <w:left w:type="dxa" w:w="120"/>
              <w:bottom w:type="dxa" w:w="80"/>
              <w:right w:type="dxa" w:w="120"/>
            </w:tcMar>
          </w:tcPr>
          <w:p>
            <w:r>
              <w:rPr>
                <w:rFonts w:ascii="Calibri" w:cs="Calibri" w:eastAsia="Calibri" w:hAnsi="Calibri"/>
                <w:b/>
                <w:bCs/>
                <w:color w:val="FFFFFF"/>
                <w:sz w:val="18"/>
                <w:szCs w:val="18"/>
              </w:rPr>
              <w:t xml:space="preserve">Patch</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constructor(owner, 0) creates empty supply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sz w:val="20"/>
                <w:szCs w:val="20"/>
              </w:rPr>
              <w:t xml:space="preserve">revert ZeroInitialSupply() added</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historyIndex grows unboundedly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sz w:val="20"/>
                <w:szCs w:val="20"/>
              </w:rPr>
              <w:t xml:space="preserve">Non-issue: uint256 overflow at heat death of universe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No event for mint/burn caller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sz w:val="20"/>
                <w:szCs w:val="20"/>
              </w:rPr>
              <w:t xml:space="preserve">Non-issue: Transfer(address(0), to) is ERC-20 standard</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totalVolume=0 skips distribution silently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sz w:val="20"/>
                <w:szCs w:val="20"/>
              </w:rPr>
              <w:t xml:space="preserve">emit Distributed(0, burned, 0) — acceptable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Treasury ownership transfer to stabilizer risk</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sz w:val="20"/>
                <w:szCs w:val="20"/>
              </w:rPr>
              <w:t xml:space="preserve">Documented: DO NOT on day one. See §V.</w:t>
            </w:r>
          </w:p>
        </w:tc>
      </w:tr>
    </w:tbl>
    <w:p>
      <w:r>
        <w:br w:type="page"/>
      </w:r>
    </w:p>
    <w:p>
      <w:pPr>
        <w:pStyle w:val="Heading1"/>
        <w:pBdr>
          <w:bottom w:val="single" w:color="1A1A2E" w:sz="4" w:space="6"/>
        </w:pBdr>
        <w:spacing w:after="160" w:before="440"/>
      </w:pPr>
      <w:r>
        <w:rPr>
          <w:rFonts w:ascii="Calibri" w:cs="Calibri" w:eastAsia="Calibri" w:hAnsi="Calibri"/>
          <w:b/>
          <w:bCs/>
          <w:color w:val="0A0A1E"/>
          <w:sz w:val="32"/>
          <w:szCs w:val="32"/>
        </w:rPr>
        <w:t xml:space="preserve">IV. Deployment — Step by Step</w:t>
      </w:r>
    </w:p>
    <w:p>
      <w:pPr>
        <w:pStyle w:val="Heading2"/>
        <w:spacing w:after="110" w:before="280"/>
      </w:pPr>
      <w:r>
        <w:rPr>
          <w:rFonts w:ascii="Calibri" w:cs="Calibri" w:eastAsia="Calibri" w:hAnsi="Calibri"/>
          <w:b/>
          <w:bCs/>
          <w:color w:val="1A1A2E"/>
          <w:sz w:val="26"/>
          <w:szCs w:val="26"/>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00"/>
        <w:gridCol w:w="2460"/>
      </w:tblGrid>
      <w:tr>
        <w:trPr>
          <w:tblHeader/>
        </w:trPr>
        <w:tc>
          <w:tcPr>
            <w:tcW w:type="dxa" w:w="20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5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W w:type="dxa" w:w="34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Get it</w:t>
            </w:r>
          </w:p>
        </w:tc>
        <w:tc>
          <w:tcPr>
            <w:tcW w:type="dxa" w:w="246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Cost</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Foundry</w:t>
            </w:r>
          </w:p>
        </w:tc>
        <w:tc>
          <w:tcPr>
            <w:tcW w:type="dxa" w:w="15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Latest</w:t>
            </w:r>
          </w:p>
        </w:tc>
        <w:tc>
          <w:tcPr>
            <w:tcW w:type="dxa" w:w="3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curl -L https://foundry.paradigm.xyz | bash</w:t>
            </w:r>
          </w:p>
        </w:tc>
        <w:tc>
          <w:tcPr>
            <w:tcW w:type="dxa" w:w="24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Free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v4-core + v4-periphery</w:t>
            </w:r>
          </w:p>
        </w:tc>
        <w:tc>
          <w:tcPr>
            <w:tcW w:type="dxa" w:w="15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Latest</w:t>
            </w:r>
          </w:p>
        </w:tc>
        <w:tc>
          <w:tcPr>
            <w:tcW w:type="dxa" w:w="3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forge install uniswapfoundation/v4-core uniswapfoundation/v4-periphery --no-commit</w:t>
            </w:r>
          </w:p>
        </w:tc>
        <w:tc>
          <w:tcPr>
            <w:tcW w:type="dxa" w:w="24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Free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ETH on Base Sepolia</w:t>
            </w:r>
          </w:p>
        </w:tc>
        <w:tc>
          <w:tcPr>
            <w:tcW w:type="dxa" w:w="15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~0.05 ETH</w:t>
            </w:r>
          </w:p>
        </w:tc>
        <w:tc>
          <w:tcPr>
            <w:tcW w:type="dxa" w:w="3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Coinbase faucet or bridge</w:t>
            </w:r>
          </w:p>
        </w:tc>
        <w:tc>
          <w:tcPr>
            <w:tcW w:type="dxa" w:w="24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Free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Basescan API key</w:t>
            </w:r>
          </w:p>
        </w:tc>
        <w:tc>
          <w:tcPr>
            <w:tcW w:type="dxa" w:w="15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Any</w:t>
            </w:r>
          </w:p>
        </w:tc>
        <w:tc>
          <w:tcPr>
            <w:tcW w:type="dxa" w:w="3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basescan.org/register</w:t>
            </w:r>
          </w:p>
        </w:tc>
        <w:tc>
          <w:tcPr>
            <w:tcW w:type="dxa" w:w="24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Free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Safe multisig wallet</w:t>
            </w:r>
          </w:p>
        </w:tc>
        <w:tc>
          <w:tcPr>
            <w:tcW w:type="dxa" w:w="15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3-of-5 recommended</w:t>
            </w:r>
          </w:p>
        </w:tc>
        <w:tc>
          <w:tcPr>
            <w:tcW w:type="dxa" w:w="3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safe.global</w:t>
            </w:r>
          </w:p>
        </w:tc>
        <w:tc>
          <w:tcPr>
            <w:tcW w:type="dxa" w:w="24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Free</w:t>
            </w:r>
          </w:p>
        </w:tc>
      </w:tr>
      <w:tr>
        <w:trPr>
          <w:tblHeader w:val="false"/>
        </w:trPr>
        <w:tc>
          <w:tcPr>
            <w:tcW w:type="dxa" w:w="20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Initial liquidity</w:t>
            </w:r>
          </w:p>
        </w:tc>
        <w:tc>
          <w:tcPr>
            <w:tcW w:type="dxa" w:w="15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$1,000+ WETH + SPCM</w:t>
            </w:r>
          </w:p>
        </w:tc>
        <w:tc>
          <w:tcPr>
            <w:tcW w:type="dxa" w:w="3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Your funds</w:t>
            </w:r>
          </w:p>
        </w:tc>
        <w:tc>
          <w:tcPr>
            <w:tcW w:type="dxa" w:w="24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Your cost</w:t>
            </w:r>
          </w:p>
        </w:tc>
      </w:tr>
    </w:tbl>
    <w:p>
      <w:pPr>
        <w:spacing w:before="55"/>
      </w:pPr>
    </w:p>
    <w:p>
      <w:pPr>
        <w:pStyle w:val="Heading2"/>
        <w:spacing w:after="110" w:before="280"/>
      </w:pPr>
      <w:r>
        <w:rPr>
          <w:rFonts w:ascii="Calibri" w:cs="Calibri" w:eastAsia="Calibri" w:hAnsi="Calibri"/>
          <w:b/>
          <w:bCs/>
          <w:color w:val="1A1A2E"/>
          <w:sz w:val="26"/>
          <w:szCs w:val="26"/>
        </w:rPr>
        <w:t xml:space="preserve">Step 1 — Environment</w:t>
      </w:r>
    </w:p>
    <w:p>
      <w:pPr>
        <w:shd w:fill="F0F0F0" w:val="clear"/>
        <w:spacing w:after="60" w:before="60"/>
        <w:ind w:left="360"/>
      </w:pPr>
      <w:r>
        <w:rPr>
          <w:rFonts w:ascii="Courier New" w:cs="Courier New" w:eastAsia="Courier New" w:hAnsi="Courier New"/>
          <w:color w:val="1A1A6A"/>
          <w:sz w:val="18"/>
          <w:szCs w:val="18"/>
        </w:rPr>
        <w:t xml:space="preserve">mkdir spcm &amp;&amp; cd spcm</w:t>
      </w:r>
    </w:p>
    <w:p>
      <w:pPr>
        <w:shd w:fill="F0F0F0" w:val="clear"/>
        <w:spacing w:after="60" w:before="60"/>
        <w:ind w:left="360"/>
      </w:pPr>
      <w:r>
        <w:rPr>
          <w:rFonts w:ascii="Courier New" w:cs="Courier New" w:eastAsia="Courier New" w:hAnsi="Courier New"/>
          <w:color w:val="1A1A6A"/>
          <w:sz w:val="18"/>
          <w:szCs w:val="18"/>
        </w:rPr>
        <w:t xml:space="preserve">forge init --force</w:t>
      </w:r>
    </w:p>
    <w:p>
      <w:pPr>
        <w:shd w:fill="F0F0F0" w:val="clear"/>
        <w:spacing w:after="60" w:before="60"/>
        <w:ind w:left="360"/>
      </w:pPr>
      <w:r>
        <w:rPr>
          <w:rFonts w:ascii="Courier New" w:cs="Courier New" w:eastAsia="Courier New" w:hAnsi="Courier New"/>
          <w:color w:val="1A1A6A"/>
          <w:sz w:val="18"/>
          <w:szCs w:val="18"/>
        </w:rPr>
        <w:t xml:space="preserve">forge install uniswapfoundation/v4-core uniswapfoundation/v4-periphery --no-commit</w:t>
      </w:r>
    </w:p>
    <w:p>
      <w:pPr>
        <w:spacing w:after="100" w:before="80" w:line="276"/>
        <w:ind w:firstLine="360"/>
        <w:jc w:val="both"/>
      </w:pPr>
      <w:r>
        <w:rPr>
          <w:rFonts w:ascii="Georgia" w:cs="Georgia" w:eastAsia="Georgia" w:hAnsi="Georgia"/>
          <w:color w:val="111111"/>
          <w:sz w:val="22"/>
          <w:szCs w:val="22"/>
        </w:rPr>
        <w:t xml:space="preserve">Copy all src/ and script/ files from this release into the project. Copy foundry.toml to project root.</w:t>
      </w:r>
    </w:p>
    <w:p>
      <w:pPr>
        <w:shd w:fill="F0F0F0" w:val="clear"/>
        <w:spacing w:after="60" w:before="60"/>
        <w:ind w:left="360"/>
      </w:pPr>
      <w:r>
        <w:rPr>
          <w:rFonts w:ascii="Courier New" w:cs="Courier New" w:eastAsia="Courier New" w:hAnsi="Courier New"/>
          <w:color w:val="1A1A6A"/>
          <w:sz w:val="18"/>
          <w:szCs w:val="18"/>
        </w:rPr>
        <w:t xml:space="preserve">export BASE_SEPOLIA_RPC=https://sepolia.base.org</w:t>
      </w:r>
    </w:p>
    <w:p>
      <w:pPr>
        <w:shd w:fill="F0F0F0" w:val="clear"/>
        <w:spacing w:after="60" w:before="60"/>
        <w:ind w:left="360"/>
      </w:pPr>
      <w:r>
        <w:rPr>
          <w:rFonts w:ascii="Courier New" w:cs="Courier New" w:eastAsia="Courier New" w:hAnsi="Courier New"/>
          <w:color w:val="1A1A6A"/>
          <w:sz w:val="18"/>
          <w:szCs w:val="18"/>
        </w:rPr>
        <w:t xml:space="preserve">export PRIVATE_KEY=0x...your_private_key...</w:t>
      </w:r>
    </w:p>
    <w:p>
      <w:pPr>
        <w:shd w:fill="F0F0F0" w:val="clear"/>
        <w:spacing w:after="60" w:before="60"/>
        <w:ind w:left="360"/>
      </w:pPr>
      <w:r>
        <w:rPr>
          <w:rFonts w:ascii="Courier New" w:cs="Courier New" w:eastAsia="Courier New" w:hAnsi="Courier New"/>
          <w:color w:val="1A1A6A"/>
          <w:sz w:val="18"/>
          <w:szCs w:val="18"/>
        </w:rPr>
        <w:t xml:space="preserve">export BASESCAN_API_KEY=...your_api_key...</w:t>
      </w:r>
    </w:p>
    <w:p>
      <w:pPr>
        <w:spacing w:before="55"/>
      </w:pPr>
    </w:p>
    <w:p>
      <w:pPr>
        <w:pStyle w:val="Heading2"/>
        <w:spacing w:after="110" w:before="280"/>
      </w:pPr>
      <w:r>
        <w:rPr>
          <w:rFonts w:ascii="Calibri" w:cs="Calibri" w:eastAsia="Calibri" w:hAnsi="Calibri"/>
          <w:b/>
          <w:bCs/>
          <w:color w:val="1A1A2E"/>
          <w:sz w:val="26"/>
          <w:szCs w:val="26"/>
        </w:rPr>
        <w:t xml:space="preserve">Step 2 — Mine Hook Salt</w:t>
      </w:r>
    </w:p>
    <w:p>
      <w:pPr>
        <w:spacing w:after="100" w:before="80" w:line="276"/>
        <w:ind w:firstLine="360"/>
        <w:jc w:val="both"/>
      </w:pPr>
      <w:r>
        <w:rPr>
          <w:rFonts w:ascii="Georgia" w:cs="Georgia" w:eastAsia="Georgia" w:hAnsi="Georgia"/>
          <w:color w:val="111111"/>
          <w:sz w:val="22"/>
          <w:szCs w:val="22"/>
        </w:rPr>
        <w:t xml:space="preserve">Uniswap V4 requires the hook contract address to have specific bits set in its last 14 bytes (0x00C0 = BEFORE_SWAP + AFTER_SWAP flags). This requires finding a CREATE2 salt that produces the right address.</w:t>
      </w:r>
    </w:p>
    <w:p>
      <w:pPr>
        <w:shd w:fill="F0F0F0" w:val="clear"/>
        <w:spacing w:after="60" w:before="60"/>
        <w:ind w:left="360"/>
      </w:pPr>
      <w:r>
        <w:rPr>
          <w:rFonts w:ascii="Courier New" w:cs="Courier New" w:eastAsia="Courier New" w:hAnsi="Courier New"/>
          <w:color w:val="1A1A6A"/>
          <w:sz w:val="18"/>
          <w:szCs w:val="18"/>
        </w:rPr>
        <w:t xml:space="preserve">forge script script/MineHookSalt.s.sol --rpc-url $BASE_SEPOLIA_RPC --private-key $PRIVATE_KEY</w:t>
      </w:r>
    </w:p>
    <w:p>
      <w:pPr>
        <w:spacing w:after="100" w:before="80" w:line="276"/>
        <w:ind w:firstLine="360"/>
        <w:jc w:val="both"/>
      </w:pPr>
      <w:r>
        <w:rPr>
          <w:rFonts w:ascii="Georgia" w:cs="Georgia" w:eastAsia="Georgia" w:hAnsi="Georgia"/>
          <w:color w:val="111111"/>
          <w:sz w:val="22"/>
          <w:szCs w:val="22"/>
        </w:rPr>
        <w:t xml:space="preserve">This prints a salt and predicted hook address. Copy the salt:</w:t>
      </w:r>
    </w:p>
    <w:p>
      <w:pPr>
        <w:shd w:fill="F0F0F0" w:val="clear"/>
        <w:spacing w:after="60" w:before="60"/>
        <w:ind w:left="360"/>
      </w:pPr>
      <w:r>
        <w:rPr>
          <w:rFonts w:ascii="Courier New" w:cs="Courier New" w:eastAsia="Courier New" w:hAnsi="Courier New"/>
          <w:color w:val="1A1A6A"/>
          <w:sz w:val="18"/>
          <w:szCs w:val="18"/>
        </w:rPr>
        <w:t xml:space="preserve">export HOOK_SALT=0x...from_above...</w:t>
      </w:r>
    </w:p>
    <w:p>
      <w:pPr>
        <w:spacing w:after="100" w:before="80" w:line="276"/>
        <w:ind w:firstLine="360"/>
        <w:jc w:val="both"/>
      </w:pPr>
      <w:r>
        <w:rPr>
          <w:rFonts w:ascii="Georgia" w:cs="Georgia" w:eastAsia="Georgia" w:hAnsi="Georgia"/>
          <w:color w:val="111111"/>
          <w:sz w:val="22"/>
          <w:szCs w:val="22"/>
        </w:rPr>
        <w:t xml:space="preserve">Mining takes 10–60 seconds on a modern CPU. It is CPU-only, no GPU needed.</w:t>
      </w:r>
    </w:p>
    <w:p>
      <w:pPr>
        <w:spacing w:before="55"/>
      </w:pPr>
    </w:p>
    <w:p>
      <w:pPr>
        <w:pStyle w:val="Heading2"/>
        <w:spacing w:after="110" w:before="280"/>
      </w:pPr>
      <w:r>
        <w:rPr>
          <w:rFonts w:ascii="Calibri" w:cs="Calibri" w:eastAsia="Calibri" w:hAnsi="Calibri"/>
          <w:b/>
          <w:bCs/>
          <w:color w:val="1A1A2E"/>
          <w:sz w:val="26"/>
          <w:szCs w:val="26"/>
        </w:rPr>
        <w:t xml:space="preserve">Step 3 — Deploy All Contracts</w:t>
      </w:r>
    </w:p>
    <w:p>
      <w:pPr>
        <w:shd w:fill="F0F0F0" w:val="clear"/>
        <w:spacing w:after="60" w:before="60"/>
        <w:ind w:left="360"/>
      </w:pPr>
      <w:r>
        <w:rPr>
          <w:rFonts w:ascii="Courier New" w:cs="Courier New" w:eastAsia="Courier New" w:hAnsi="Courier New"/>
          <w:color w:val="1A1A6A"/>
          <w:sz w:val="18"/>
          <w:szCs w:val="18"/>
        </w:rPr>
        <w:t xml:space="preserve">forge script script/Deploy.s.sol \</w:t>
      </w:r>
    </w:p>
    <w:p>
      <w:pPr>
        <w:shd w:fill="F0F0F0" w:val="clear"/>
        <w:spacing w:after="60" w:before="60"/>
        <w:ind w:left="360"/>
      </w:pPr>
      <w:r>
        <w:rPr>
          <w:rFonts w:ascii="Courier New" w:cs="Courier New" w:eastAsia="Courier New" w:hAnsi="Courier New"/>
          <w:color w:val="1A1A6A"/>
          <w:sz w:val="18"/>
          <w:szCs w:val="18"/>
        </w:rPr>
        <w:t xml:space="preserve">  --rpc-url $BASE_SEPOLIA_RPC \</w:t>
      </w:r>
    </w:p>
    <w:p>
      <w:pPr>
        <w:shd w:fill="F0F0F0" w:val="clear"/>
        <w:spacing w:after="60" w:before="60"/>
        <w:ind w:left="360"/>
      </w:pPr>
      <w:r>
        <w:rPr>
          <w:rFonts w:ascii="Courier New" w:cs="Courier New" w:eastAsia="Courier New" w:hAnsi="Courier New"/>
          <w:color w:val="1A1A6A"/>
          <w:sz w:val="18"/>
          <w:szCs w:val="18"/>
        </w:rPr>
        <w:t xml:space="preserve">  --private-key $PRIVATE_KEY \</w:t>
      </w:r>
    </w:p>
    <w:p>
      <w:pPr>
        <w:shd w:fill="F0F0F0" w:val="clear"/>
        <w:spacing w:after="60" w:before="60"/>
        <w:ind w:left="360"/>
      </w:pPr>
      <w:r>
        <w:rPr>
          <w:rFonts w:ascii="Courier New" w:cs="Courier New" w:eastAsia="Courier New" w:hAnsi="Courier New"/>
          <w:color w:val="1A1A6A"/>
          <w:sz w:val="18"/>
          <w:szCs w:val="18"/>
        </w:rPr>
        <w:t xml:space="preserve">  --broadcast --verify \</w:t>
      </w:r>
    </w:p>
    <w:p>
      <w:pPr>
        <w:shd w:fill="F0F0F0" w:val="clear"/>
        <w:spacing w:after="60" w:before="60"/>
        <w:ind w:left="360"/>
      </w:pPr>
      <w:r>
        <w:rPr>
          <w:rFonts w:ascii="Courier New" w:cs="Courier New" w:eastAsia="Courier New" w:hAnsi="Courier New"/>
          <w:color w:val="1A1A6A"/>
          <w:sz w:val="18"/>
          <w:szCs w:val="18"/>
        </w:rPr>
        <w:t xml:space="preserve">  --etherscan-api-key $BASESCAN_API_KEY</w:t>
      </w:r>
    </w:p>
    <w:p>
      <w:pPr>
        <w:spacing w:after="100" w:before="80" w:line="276"/>
        <w:ind w:firstLine="360"/>
        <w:jc w:val="both"/>
      </w:pPr>
      <w:r>
        <w:rPr>
          <w:rFonts w:ascii="Georgia" w:cs="Georgia" w:eastAsia="Georgia" w:hAnsi="Georgia"/>
          <w:color w:val="111111"/>
          <w:sz w:val="22"/>
          <w:szCs w:val="22"/>
        </w:rPr>
        <w:t xml:space="preserve">Save all five printed addresses:</w:t>
      </w:r>
    </w:p>
    <w:p>
      <w:pPr>
        <w:shd w:fill="F0F0F0" w:val="clear"/>
        <w:spacing w:after="60" w:before="60"/>
        <w:ind w:left="360"/>
      </w:pPr>
      <w:r>
        <w:rPr>
          <w:rFonts w:ascii="Courier New" w:cs="Courier New" w:eastAsia="Courier New" w:hAnsi="Courier New"/>
          <w:color w:val="1A1A6A"/>
          <w:sz w:val="18"/>
          <w:szCs w:val="18"/>
        </w:rPr>
        <w:t xml:space="preserve">export TOKEN_ADDRESS=0x...</w:t>
      </w:r>
    </w:p>
    <w:p>
      <w:pPr>
        <w:shd w:fill="F0F0F0" w:val="clear"/>
        <w:spacing w:after="60" w:before="60"/>
        <w:ind w:left="360"/>
      </w:pPr>
      <w:r>
        <w:rPr>
          <w:rFonts w:ascii="Courier New" w:cs="Courier New" w:eastAsia="Courier New" w:hAnsi="Courier New"/>
          <w:color w:val="1A1A6A"/>
          <w:sz w:val="18"/>
          <w:szCs w:val="18"/>
        </w:rPr>
        <w:t xml:space="preserve">export ORACLE_ADDRESS=0x...</w:t>
      </w:r>
    </w:p>
    <w:p>
      <w:pPr>
        <w:shd w:fill="F0F0F0" w:val="clear"/>
        <w:spacing w:after="60" w:before="60"/>
        <w:ind w:left="360"/>
      </w:pPr>
      <w:r>
        <w:rPr>
          <w:rFonts w:ascii="Courier New" w:cs="Courier New" w:eastAsia="Courier New" w:hAnsi="Courier New"/>
          <w:color w:val="1A1A6A"/>
          <w:sz w:val="18"/>
          <w:szCs w:val="18"/>
        </w:rPr>
        <w:t xml:space="preserve">export TREASURY_ADDRESS=0x...</w:t>
      </w:r>
    </w:p>
    <w:p>
      <w:pPr>
        <w:shd w:fill="F0F0F0" w:val="clear"/>
        <w:spacing w:after="60" w:before="60"/>
        <w:ind w:left="360"/>
      </w:pPr>
      <w:r>
        <w:rPr>
          <w:rFonts w:ascii="Courier New" w:cs="Courier New" w:eastAsia="Courier New" w:hAnsi="Courier New"/>
          <w:color w:val="1A1A6A"/>
          <w:sz w:val="18"/>
          <w:szCs w:val="18"/>
        </w:rPr>
        <w:t xml:space="preserve">export STABILIZER_ADDRESS=0x...</w:t>
      </w:r>
    </w:p>
    <w:p>
      <w:pPr>
        <w:shd w:fill="F0F0F0" w:val="clear"/>
        <w:spacing w:after="60" w:before="60"/>
        <w:ind w:left="360"/>
      </w:pPr>
      <w:r>
        <w:rPr>
          <w:rFonts w:ascii="Courier New" w:cs="Courier New" w:eastAsia="Courier New" w:hAnsi="Courier New"/>
          <w:color w:val="1A1A6A"/>
          <w:sz w:val="18"/>
          <w:szCs w:val="18"/>
        </w:rPr>
        <w:t xml:space="preserve">export HOOK_ADDRESS=0x...</w:t>
      </w:r>
    </w:p>
    <w:p>
      <w:pPr>
        <w:spacing w:before="55"/>
      </w:pPr>
    </w:p>
    <w:p>
      <w:pPr>
        <w:pStyle w:val="Heading2"/>
        <w:spacing w:after="110" w:before="280"/>
      </w:pPr>
      <w:r>
        <w:rPr>
          <w:rFonts w:ascii="Calibri" w:cs="Calibri" w:eastAsia="Calibri" w:hAnsi="Calibri"/>
          <w:b/>
          <w:bCs/>
          <w:color w:val="1A1A2E"/>
          <w:sz w:val="26"/>
          <w:szCs w:val="26"/>
        </w:rPr>
        <w:t xml:space="preserve">Step 4 — Verify Wiring</w:t>
      </w:r>
    </w:p>
    <w:p>
      <w:pPr>
        <w:spacing w:after="100" w:before="80" w:line="276"/>
        <w:ind w:firstLine="360"/>
        <w:jc w:val="both"/>
      </w:pPr>
      <w:r>
        <w:rPr>
          <w:rFonts w:ascii="Georgia" w:cs="Georgia" w:eastAsia="Georgia" w:hAnsi="Georgia"/>
          <w:color w:val="111111"/>
          <w:sz w:val="22"/>
          <w:szCs w:val="22"/>
        </w:rPr>
        <w:t xml:space="preserve">These calls should return the correct addresses:</w:t>
      </w:r>
    </w:p>
    <w:p>
      <w:pPr>
        <w:shd w:fill="F0F0F0" w:val="clear"/>
        <w:spacing w:after="60" w:before="60"/>
        <w:ind w:left="360"/>
      </w:pPr>
      <w:r>
        <w:rPr>
          <w:rFonts w:ascii="Courier New" w:cs="Courier New" w:eastAsia="Courier New" w:hAnsi="Courier New"/>
          <w:color w:val="1A1A6A"/>
          <w:sz w:val="18"/>
          <w:szCs w:val="18"/>
        </w:rPr>
        <w:t xml:space="preserve">cast call $ORACLE_ADDRESS "hook()(address)" --rpc-url $BASE_SEPOLIA_RPC</w:t>
      </w:r>
    </w:p>
    <w:p>
      <w:pPr>
        <w:shd w:fill="F0F0F0" w:val="clear"/>
        <w:spacing w:after="60" w:before="60"/>
        <w:ind w:left="360"/>
      </w:pPr>
      <w:r>
        <w:rPr>
          <w:rFonts w:ascii="Courier New" w:cs="Courier New" w:eastAsia="Courier New" w:hAnsi="Courier New"/>
          <w:color w:val="1A1A6A"/>
          <w:sz w:val="18"/>
          <w:szCs w:val="18"/>
        </w:rPr>
        <w:t xml:space="preserve">cast call $TOKEN_ADDRESS "stabilizer()(address)" --rpc-url $BASE_SEPOLIA_RPC</w:t>
      </w:r>
    </w:p>
    <w:p>
      <w:pPr>
        <w:shd w:fill="F0F0F0" w:val="clear"/>
        <w:spacing w:after="60" w:before="60"/>
        <w:ind w:left="360"/>
      </w:pPr>
      <w:r>
        <w:rPr>
          <w:rFonts w:ascii="Courier New" w:cs="Courier New" w:eastAsia="Courier New" w:hAnsi="Courier New"/>
          <w:color w:val="1A1A6A"/>
          <w:sz w:val="18"/>
          <w:szCs w:val="18"/>
        </w:rPr>
        <w:t xml:space="preserve">cast call $TREASURY_ADDRESS "stabilizer()(address)" --rpc-url $BASE_SEPOLIA_RPC</w:t>
      </w:r>
    </w:p>
    <w:p>
      <w:pPr>
        <w:shd w:fill="F0F0F0" w:val="clear"/>
        <w:spacing w:after="60" w:before="60"/>
        <w:ind w:left="360"/>
      </w:pPr>
      <w:r>
        <w:rPr>
          <w:rFonts w:ascii="Courier New" w:cs="Courier New" w:eastAsia="Courier New" w:hAnsi="Courier New"/>
          <w:color w:val="1A1A6A"/>
          <w:sz w:val="18"/>
          <w:szCs w:val="18"/>
        </w:rPr>
        <w:t xml:space="preserve">cast call $TREASURY_ADDRESS "hook()(address)" --rpc-url $BASE_SEPOLIA_RPC</w:t>
      </w:r>
    </w:p>
    <w:p>
      <w:pPr>
        <w:shd w:fill="F0F0F0" w:val="clear"/>
        <w:spacing w:after="60" w:before="60"/>
        <w:ind w:left="360"/>
      </w:pPr>
      <w:r>
        <w:rPr>
          <w:rFonts w:ascii="Courier New" w:cs="Courier New" w:eastAsia="Courier New" w:hAnsi="Courier New"/>
          <w:color w:val="1A1A6A"/>
          <w:sz w:val="18"/>
          <w:szCs w:val="18"/>
        </w:rPr>
        <w:t xml:space="preserve">cast call $HOOK_ADDRESS "treasury()(address)" --rpc-url $BASE_SEPOLIA_RPC</w:t>
      </w:r>
    </w:p>
    <w:p>
      <w:pPr>
        <w:spacing w:before="55"/>
      </w:pPr>
    </w:p>
    <w:p>
      <w:pPr>
        <w:pStyle w:val="Heading2"/>
        <w:spacing w:after="110" w:before="280"/>
      </w:pPr>
      <w:r>
        <w:rPr>
          <w:rFonts w:ascii="Calibri" w:cs="Calibri" w:eastAsia="Calibri" w:hAnsi="Calibri"/>
          <w:b/>
          <w:bCs/>
          <w:color w:val="1A1A2E"/>
          <w:sz w:val="26"/>
          <w:szCs w:val="26"/>
        </w:rPr>
        <w:t xml:space="preserve">Step 5 — Create Pool</w:t>
      </w:r>
    </w:p>
    <w:p>
      <w:pPr>
        <w:shd w:fill="F0F0F0" w:val="clear"/>
        <w:spacing w:after="60" w:before="60"/>
        <w:ind w:left="360"/>
      </w:pPr>
      <w:r>
        <w:rPr>
          <w:rFonts w:ascii="Courier New" w:cs="Courier New" w:eastAsia="Courier New" w:hAnsi="Courier New"/>
          <w:color w:val="1A1A6A"/>
          <w:sz w:val="18"/>
          <w:szCs w:val="18"/>
        </w:rPr>
        <w:t xml:space="preserve">export SPCM_ADDRESS=$TOKEN_ADDRESS</w:t>
      </w:r>
    </w:p>
    <w:p>
      <w:pPr>
        <w:shd w:fill="F0F0F0" w:val="clear"/>
        <w:spacing w:after="60" w:before="60"/>
        <w:ind w:left="360"/>
      </w:pPr>
      <w:r>
        <w:rPr>
          <w:rFonts w:ascii="Courier New" w:cs="Courier New" w:eastAsia="Courier New" w:hAnsi="Courier New"/>
          <w:color w:val="1A1A6A"/>
          <w:sz w:val="18"/>
          <w:szCs w:val="18"/>
        </w:rPr>
        <w:t xml:space="preserve">forge script script/CreatePool.s.sol --rpc-url $BASE_SEPOLIA_RPC --private-key $PRIVATE_KEY --broadcast</w:t>
      </w:r>
    </w:p>
    <w:p>
      <w:pPr>
        <w:spacing w:before="55"/>
      </w:pPr>
    </w:p>
    <w:p>
      <w:pPr>
        <w:pStyle w:val="Heading2"/>
        <w:spacing w:after="110" w:before="280"/>
      </w:pPr>
      <w:r>
        <w:rPr>
          <w:rFonts w:ascii="Calibri" w:cs="Calibri" w:eastAsia="Calibri" w:hAnsi="Calibri"/>
          <w:b/>
          <w:bCs/>
          <w:color w:val="1A1A2E"/>
          <w:sz w:val="26"/>
          <w:szCs w:val="26"/>
        </w:rPr>
        <w:t xml:space="preserve">Step 6 — Add Liquidity</w:t>
      </w:r>
    </w:p>
    <w:p>
      <w:pPr>
        <w:spacing w:after="100" w:before="80" w:line="276"/>
        <w:ind w:firstLine="360"/>
        <w:jc w:val="both"/>
      </w:pPr>
      <w:r>
        <w:rPr>
          <w:rFonts w:ascii="Georgia" w:cs="Georgia" w:eastAsia="Georgia" w:hAnsi="Georgia"/>
          <w:color w:val="111111"/>
          <w:sz w:val="22"/>
          <w:szCs w:val="22"/>
        </w:rPr>
        <w:t xml:space="preserve">Use the Uniswap V4 interface (app.uniswap.org) or V4 PositionManager directly.</w:t>
      </w:r>
    </w:p>
    <w:p>
      <w:pPr>
        <w:spacing w:after="100" w:before="80" w:line="276"/>
        <w:ind w:firstLine="360"/>
        <w:jc w:val="both"/>
      </w:pPr>
      <w:r>
        <w:rPr>
          <w:rFonts w:ascii="Georgia" w:cs="Georgia" w:eastAsia="Georgia" w:hAnsi="Georgia"/>
          <w:color w:val="111111"/>
          <w:sz w:val="22"/>
          <w:szCs w:val="22"/>
        </w:rPr>
        <w:t xml:space="preserve">Minimum for meaningful testing: 10,000 SPCM + equivalent WETH (~$1,000 at launch price).</w:t>
      </w:r>
    </w:p>
    <w:p>
      <w:pPr>
        <w:spacing w:after="100" w:before="80" w:line="276"/>
        <w:ind w:firstLine="360"/>
        <w:jc w:val="both"/>
      </w:pPr>
      <w:r>
        <w:rPr>
          <w:rFonts w:ascii="Georgia" w:cs="Georgia" w:eastAsia="Georgia" w:hAnsi="Georgia"/>
          <w:color w:val="111111"/>
          <w:sz w:val="22"/>
          <w:szCs w:val="22"/>
        </w:rPr>
        <w:t xml:space="preserve">Mainnet launch recommendation: 100,000 SPCM + ~$10,000 WETH for sufficient depth.</w:t>
      </w:r>
    </w:p>
    <w:p>
      <w:pPr>
        <w:spacing w:before="55"/>
      </w:pPr>
    </w:p>
    <w:p>
      <w:pPr>
        <w:pStyle w:val="Heading2"/>
        <w:spacing w:after="110" w:before="280"/>
      </w:pPr>
      <w:r>
        <w:rPr>
          <w:rFonts w:ascii="Calibri" w:cs="Calibri" w:eastAsia="Calibri" w:hAnsi="Calibri"/>
          <w:b/>
          <w:bCs/>
          <w:color w:val="1A1A2E"/>
          <w:sz w:val="26"/>
          <w:szCs w:val="26"/>
        </w:rPr>
        <w:t xml:space="preserve">Step 7 — Run First Swap</w:t>
      </w:r>
    </w:p>
    <w:p>
      <w:pPr>
        <w:spacing w:after="100" w:before="80" w:line="276"/>
        <w:ind w:firstLine="360"/>
        <w:jc w:val="both"/>
      </w:pPr>
      <w:r>
        <w:rPr>
          <w:rFonts w:ascii="Georgia" w:cs="Georgia" w:eastAsia="Georgia" w:hAnsi="Georgia"/>
          <w:color w:val="111111"/>
          <w:sz w:val="22"/>
          <w:szCs w:val="22"/>
        </w:rPr>
        <w:t xml:space="preserve">Make a small test swap (0.001 ETH). Then verify the oracle updated:</w:t>
      </w:r>
    </w:p>
    <w:p>
      <w:pPr>
        <w:shd w:fill="F0F0F0" w:val="clear"/>
        <w:spacing w:after="60" w:before="60"/>
        <w:ind w:left="360"/>
      </w:pPr>
      <w:r>
        <w:rPr>
          <w:rFonts w:ascii="Courier New" w:cs="Courier New" w:eastAsia="Courier New" w:hAnsi="Courier New"/>
          <w:color w:val="1A1A6A"/>
          <w:sz w:val="18"/>
          <w:szCs w:val="18"/>
        </w:rPr>
        <w:t xml:space="preserve">cast call $ORACLE_ADDRESS "getState()(uint256,bool,uint256,uint256,uint256)" --rpc-url $BASE_SEPOLIA_RPC</w:t>
      </w:r>
    </w:p>
    <w:p>
      <w:pPr>
        <w:spacing w:after="100" w:before="80" w:line="276"/>
        <w:ind w:firstLine="360"/>
        <w:jc w:val="both"/>
      </w:pPr>
      <w:r>
        <w:rPr>
          <w:rFonts w:ascii="Georgia" w:cs="Georgia" w:eastAsia="Georgia" w:hAnsi="Georgia"/>
          <w:color w:val="111111"/>
          <w:sz w:val="22"/>
          <w:szCs w:val="22"/>
        </w:rPr>
        <w:t xml:space="preserve">If entropy has changed from 2.3e18 (initial value), the oracle is working. Confirm:</w:t>
      </w:r>
    </w:p>
    <w:p>
      <w:pPr>
        <w:pStyle w:val="ListParagraph"/>
        <w:numPr>
          <w:ilvl w:val="0"/>
          <w:numId w:val="2"/>
        </w:numPr>
        <w:spacing w:after="60" w:before="40" w:line="276"/>
      </w:pPr>
      <w:r>
        <w:rPr>
          <w:rFonts w:ascii="Georgia" w:cs="Georgia" w:eastAsia="Georgia" w:hAnsi="Georgia"/>
          <w:color w:val="333333"/>
          <w:sz w:val="21"/>
          <w:szCs w:val="21"/>
        </w:rPr>
        <w:t xml:space="preserve">entropy ≠ 2300000000000000000 (changed from initial)</w:t>
      </w:r>
    </w:p>
    <w:p>
      <w:pPr>
        <w:pStyle w:val="ListParagraph"/>
        <w:numPr>
          <w:ilvl w:val="0"/>
          <w:numId w:val="2"/>
        </w:numPr>
        <w:spacing w:after="60" w:before="40" w:line="276"/>
      </w:pPr>
      <w:r>
        <w:rPr>
          <w:rFonts w:ascii="Georgia" w:cs="Georgia" w:eastAsia="Georgia" w:hAnsi="Georgia"/>
          <w:color w:val="333333"/>
          <w:sz w:val="21"/>
          <w:szCs w:val="21"/>
        </w:rPr>
        <w:t xml:space="preserve">observations &gt; 0</w:t>
      </w:r>
    </w:p>
    <w:p>
      <w:pPr>
        <w:pStyle w:val="ListParagraph"/>
        <w:numPr>
          <w:ilvl w:val="0"/>
          <w:numId w:val="2"/>
        </w:numPr>
        <w:spacing w:after="60" w:before="40" w:line="276"/>
      </w:pPr>
      <w:r>
        <w:rPr>
          <w:rFonts w:ascii="Georgia" w:cs="Georgia" w:eastAsia="Georgia" w:hAnsi="Georgia"/>
          <w:color w:val="333333"/>
          <w:sz w:val="21"/>
          <w:szCs w:val="21"/>
        </w:rPr>
        <w:t xml:space="preserve">dynamicFee is a sensible value</w:t>
      </w:r>
    </w:p>
    <w:p>
      <w:pPr>
        <w:spacing w:before="55"/>
      </w:pPr>
    </w:p>
    <w:p>
      <w:pPr>
        <w:pStyle w:val="Heading2"/>
        <w:spacing w:after="110" w:before="280"/>
      </w:pPr>
      <w:r>
        <w:rPr>
          <w:rFonts w:ascii="Calibri" w:cs="Calibri" w:eastAsia="Calibri" w:hAnsi="Calibri"/>
          <w:b/>
          <w:bCs/>
          <w:color w:val="1A1A2E"/>
          <w:sz w:val="26"/>
          <w:szCs w:val="26"/>
        </w:rPr>
        <w:t xml:space="preserve">Step 8 — First Stabilizer Call</w:t>
      </w:r>
    </w:p>
    <w:p>
      <w:pPr>
        <w:shd w:fill="F0F0F0" w:val="clear"/>
        <w:spacing w:after="60" w:before="60"/>
        <w:ind w:left="360"/>
      </w:pPr>
      <w:r>
        <w:rPr>
          <w:rFonts w:ascii="Courier New" w:cs="Courier New" w:eastAsia="Courier New" w:hAnsi="Courier New"/>
          <w:color w:val="1A1A6A"/>
          <w:sz w:val="18"/>
          <w:szCs w:val="18"/>
        </w:rPr>
        <w:t xml:space="preserve"># Wait at least 1 hour after deployment, then:</w:t>
      </w:r>
    </w:p>
    <w:p>
      <w:pPr>
        <w:shd w:fill="F0F0F0" w:val="clear"/>
        <w:spacing w:after="60" w:before="60"/>
        <w:ind w:left="360"/>
      </w:pPr>
      <w:r>
        <w:rPr>
          <w:rFonts w:ascii="Courier New" w:cs="Courier New" w:eastAsia="Courier New" w:hAnsi="Courier New"/>
          <w:color w:val="1A1A6A"/>
          <w:sz w:val="18"/>
          <w:szCs w:val="18"/>
        </w:rPr>
        <w:t xml:space="preserve">cast send $STABILIZER_ADDRESS "adjust()" --rpc-url $BASE_SEPOLIA_RPC --private-key $PRIVATE_KEY</w:t>
      </w:r>
    </w:p>
    <w:p>
      <w:pPr>
        <w:shd w:fill="F0F0F0" w:val="clear"/>
        <w:spacing w:after="60" w:before="60"/>
        <w:ind w:left="360"/>
      </w:pPr>
      <w:r>
        <w:rPr>
          <w:rFonts w:ascii="Courier New" w:cs="Courier New" w:eastAsia="Courier New" w:hAnsi="Courier New"/>
          <w:color w:val="1A1A6A"/>
          <w:sz w:val="18"/>
          <w:szCs w:val="18"/>
        </w:rPr>
        <w:t xml:space="preserve">cast call $STABILIZER_ADDRESS "getStats()(uint256,uint256,bool,uint256,uint256,uint256,uint256,uint256)" --rpc-url $BASE_SEPOLIA_RPC</w:t>
      </w:r>
    </w:p>
    <w:p>
      <w:r>
        <w:br w:type="page"/>
      </w:r>
    </w:p>
    <w:p>
      <w:pPr>
        <w:pStyle w:val="Heading1"/>
        <w:pBdr>
          <w:bottom w:val="single" w:color="1A1A2E" w:sz="4" w:space="6"/>
        </w:pBdr>
        <w:spacing w:after="160" w:before="440"/>
      </w:pPr>
      <w:r>
        <w:rPr>
          <w:rFonts w:ascii="Calibri" w:cs="Calibri" w:eastAsia="Calibri" w:hAnsi="Calibri"/>
          <w:b/>
          <w:bCs/>
          <w:color w:val="0A0A1E"/>
          <w:sz w:val="32"/>
          <w:szCs w:val="32"/>
        </w:rPr>
        <w:t xml:space="preserve">V. Security Posture &amp; Remaining Risks</w:t>
      </w:r>
    </w:p>
    <w:p>
      <w:pPr>
        <w:pBdr>
          <w:left w:val="thick" w:color="8B0000" w:sz="16" w:space="8"/>
        </w:pBdr>
        <w:shd w:fill="FFF0F0" w:val="clear"/>
        <w:spacing w:after="100" w:before="100"/>
        <w:ind w:left="360"/>
      </w:pPr>
      <w:r>
        <w:rPr>
          <w:rFonts w:ascii="Georgia" w:cs="Georgia" w:eastAsia="Georgia" w:hAnsi="Georgia"/>
          <w:color w:val="8B0000"/>
          <w:sz w:val="21"/>
          <w:szCs w:val="21"/>
        </w:rPr>
        <w:t xml:space="preserve">DO NOT transfer treasury.owner to stabilizer on day one. This is the most important safety instruction in this document.</w:t>
      </w:r>
    </w:p>
    <w:p>
      <w:pPr>
        <w:spacing w:after="100" w:before="80" w:line="276"/>
        <w:ind w:firstLine="360"/>
        <w:jc w:val="both"/>
      </w:pPr>
      <w:r>
        <w:rPr>
          <w:rFonts w:ascii="Georgia" w:cs="Georgia" w:eastAsia="Georgia" w:hAnsi="Georgia"/>
          <w:color w:val="111111"/>
          <w:sz w:val="22"/>
          <w:szCs w:val="22"/>
        </w:rPr>
        <w:t xml:space="preserve">If treasury.owner is transferred to the stabilizer, the treasury is controlled only by adjust(), which is permissionless. If the oracle produces incorrect readings (attack, bug, or unexpected market behaviour), the stabilizer will mint or burn without any human override. Keep a Safe multisig as treasury owner for at least 30 days of mainnet operation.</w:t>
      </w:r>
    </w:p>
    <w:p>
      <w:pPr>
        <w:spacing w:before="55"/>
      </w:pPr>
    </w:p>
    <w:p>
      <w:pPr>
        <w:pStyle w:val="Heading2"/>
        <w:spacing w:after="110" w:before="280"/>
      </w:pPr>
      <w:r>
        <w:rPr>
          <w:rFonts w:ascii="Calibri" w:cs="Calibri" w:eastAsia="Calibri" w:hAnsi="Calibri"/>
          <w:b/>
          <w:bCs/>
          <w:color w:val="1A1A2E"/>
          <w:sz w:val="26"/>
          <w:szCs w:val="26"/>
        </w:rPr>
        <w:t xml:space="preserve">Known Remaining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Risk</w:t>
            </w:r>
          </w:p>
        </w:tc>
        <w:tc>
          <w:tcPr>
            <w:tcW w:type="dxa" w:w="12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Likelihood</w:t>
            </w:r>
          </w:p>
        </w:tc>
        <w:tc>
          <w:tcPr>
            <w:tcW w:type="dxa" w:w="240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Impact</w:t>
            </w:r>
          </w:p>
        </w:tc>
        <w:tc>
          <w:tcPr>
            <w:tcW w:type="dxa" w:w="3360"/>
            <w:tcBorders>
              <w:top w:val="single" w:color="AAAACC" w:sz="4"/>
              <w:left w:val="single" w:color="AAAACC" w:sz="4"/>
              <w:bottom w:val="single" w:color="AAAACC" w:sz="4"/>
              <w:right w:val="single" w:color="AAAACC" w:sz="4"/>
            </w:tcBorders>
            <w:shd w:fill="1A1A2E" w:val="clear"/>
            <w:tcMar>
              <w:top w:type="dxa" w:w="80"/>
              <w:left w:type="dxa" w:w="120"/>
              <w:bottom w:type="dxa" w:w="80"/>
              <w:right w:type="dxa" w:w="120"/>
            </w:tcMar>
          </w:tcPr>
          <w:p>
            <w:r>
              <w:rPr>
                <w:rFonts w:ascii="Calibri" w:cs="Calibri" w:eastAsia="Calibri" w:hAnsi="Calibri"/>
                <w:b/>
                <w:bCs/>
                <w:color w:val="FFFFFF"/>
                <w:sz w:val="18"/>
                <w:szCs w:val="18"/>
              </w:rPr>
              <w:t xml:space="preserve">Mitigation</w:t>
            </w:r>
          </w:p>
        </w:tc>
      </w:tr>
      <w:tr>
        <w:trPr>
          <w:tblHeader w:val="false"/>
        </w:trPr>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Oracle window too short for high-volume pools (200–500 obs resets in minutes)</w:t>
            </w:r>
          </w:p>
        </w:tc>
        <w:tc>
          <w:tcPr>
            <w:tcW w:type="dxa" w:w="1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Medium on busy pools</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Entropy too reactive to individual large swaps</w:t>
            </w:r>
          </w:p>
        </w:tc>
        <w:tc>
          <w:tcPr>
            <w:tcW w:type="dxa" w:w="3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Increase windowSize via governance after observing live data</w:t>
            </w:r>
          </w:p>
        </w:tc>
      </w:tr>
      <w:tr>
        <w:trPr>
          <w:tblHeader w:val="false"/>
        </w:trPr>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Uniswap V4 import paths change across library versions</w:t>
            </w:r>
          </w:p>
        </w:tc>
        <w:tc>
          <w:tcPr>
            <w:tcW w:type="dxa" w:w="1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High (library is pre-stable)</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Compilation failure</w:t>
            </w:r>
          </w:p>
        </w:tc>
        <w:tc>
          <w:tcPr>
            <w:tcW w:type="dxa" w:w="3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Verify import paths after forge install. Check v4-periphery BaseHook.sol path.</w:t>
            </w:r>
          </w:p>
        </w:tc>
      </w:tr>
      <w:tr>
        <w:trPr>
          <w:tblHeader w:val="false"/>
        </w:trPr>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tx.origin fallback in afterSwap (for hookData-less routers)</w:t>
            </w:r>
          </w:p>
        </w:tc>
        <w:tc>
          <w:tcPr>
            <w:tcW w:type="dxa" w:w="1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Medium</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Incorrect LP attribution in treasury</w:t>
            </w:r>
          </w:p>
        </w:tc>
        <w:tc>
          <w:tcPr>
            <w:tcW w:type="dxa" w:w="3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Switch to hookData-based swapper ID once routers standardise V4 hookData</w:t>
            </w:r>
          </w:p>
        </w:tc>
      </w:tr>
      <w:tr>
        <w:trPr>
          <w:tblHeader w:val="false"/>
        </w:trPr>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FIFO buffer obsBuffer[1024] limits window to 1024 max</w:t>
            </w:r>
          </w:p>
        </w:tc>
        <w:tc>
          <w:tcPr>
            <w:tcW w:type="dxa" w:w="1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Low</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Cannot increase windowSize above 1024</w:t>
            </w:r>
          </w:p>
        </w:tc>
        <w:tc>
          <w:tcPr>
            <w:tcW w:type="dxa" w:w="3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Sufficient for initial deployment. Re-deploy if pool grows beyond 1024 swaps per window period.</w:t>
            </w:r>
          </w:p>
        </w:tc>
      </w:tr>
      <w:tr>
        <w:trPr>
          <w:tblHeader w:val="false"/>
        </w:trPr>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Stabilizer adjust() still permissionless after consecutive guard</w:t>
            </w:r>
          </w:p>
        </w:tc>
        <w:tc>
          <w:tcPr>
            <w:tcW w:type="dxa" w:w="12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Low</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MEV bots front-run at cooldown expiry</w:t>
            </w:r>
          </w:p>
        </w:tc>
        <w:tc>
          <w:tcPr>
            <w:tcW w:type="dxa" w:w="3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Add a keeper network or Gelato automation instead of permissionless call in v1.1</w:t>
            </w:r>
          </w:p>
        </w:tc>
      </w:tr>
    </w:tbl>
    <w:p>
      <w:pPr>
        <w:spacing w:before="55"/>
      </w:pPr>
    </w:p>
    <w:p>
      <w:pPr>
        <w:pStyle w:val="Heading2"/>
        <w:spacing w:after="110" w:before="280"/>
      </w:pPr>
      <w:r>
        <w:rPr>
          <w:rFonts w:ascii="Calibri" w:cs="Calibri" w:eastAsia="Calibri" w:hAnsi="Calibri"/>
          <w:b/>
          <w:bCs/>
          <w:color w:val="1A1A2E"/>
          <w:sz w:val="26"/>
          <w:szCs w:val="26"/>
        </w:rPr>
        <w:t xml:space="preserve">Recommended External Review</w:t>
      </w:r>
    </w:p>
    <w:p>
      <w:pPr>
        <w:pStyle w:val="ListParagraph"/>
        <w:numPr>
          <w:ilvl w:val="0"/>
          <w:numId w:val="2"/>
        </w:numPr>
        <w:spacing w:after="60" w:before="40" w:line="276"/>
      </w:pPr>
      <w:r>
        <w:rPr>
          <w:rFonts w:ascii="Georgia" w:cs="Georgia" w:eastAsia="Georgia" w:hAnsi="Georgia"/>
          <w:color w:val="333333"/>
          <w:sz w:val="21"/>
          <w:szCs w:val="21"/>
        </w:rPr>
        <w:t xml:space="preserve">Smart contract audit: at minimum a peer review by one Solidity-experienced person not involved in this project</w:t>
      </w:r>
    </w:p>
    <w:p>
      <w:pPr>
        <w:pStyle w:val="ListParagraph"/>
        <w:numPr>
          <w:ilvl w:val="0"/>
          <w:numId w:val="2"/>
        </w:numPr>
        <w:spacing w:after="60" w:before="40" w:line="276"/>
      </w:pPr>
      <w:r>
        <w:rPr>
          <w:rFonts w:ascii="Georgia" w:cs="Georgia" w:eastAsia="Georgia" w:hAnsi="Georgia"/>
          <w:color w:val="333333"/>
          <w:sz w:val="21"/>
          <w:szCs w:val="21"/>
        </w:rPr>
        <w:t xml:space="preserve">Focus areas: FIFO buffer correctness, reentrancy in AutonomousTreasury, treasury.distribute() CEI pattern</w:t>
      </w:r>
    </w:p>
    <w:p>
      <w:pPr>
        <w:pStyle w:val="ListParagraph"/>
        <w:numPr>
          <w:ilvl w:val="0"/>
          <w:numId w:val="2"/>
        </w:numPr>
        <w:spacing w:after="60" w:before="40" w:line="276"/>
      </w:pPr>
      <w:r>
        <w:rPr>
          <w:rFonts w:ascii="Georgia" w:cs="Georgia" w:eastAsia="Georgia" w:hAnsi="Georgia"/>
          <w:color w:val="333333"/>
          <w:sz w:val="21"/>
          <w:szCs w:val="21"/>
        </w:rPr>
        <w:t xml:space="preserve">Test on Sepolia for 7+ days before mainnet</w:t>
      </w:r>
    </w:p>
    <w:p>
      <w:pPr>
        <w:pStyle w:val="ListParagraph"/>
        <w:numPr>
          <w:ilvl w:val="0"/>
          <w:numId w:val="2"/>
        </w:numPr>
        <w:spacing w:after="60" w:before="40" w:line="276"/>
      </w:pPr>
      <w:r>
        <w:rPr>
          <w:rFonts w:ascii="Georgia" w:cs="Georgia" w:eastAsia="Georgia" w:hAnsi="Georgia"/>
          <w:color w:val="333333"/>
          <w:sz w:val="21"/>
          <w:szCs w:val="21"/>
        </w:rPr>
        <w:t xml:space="preserve">Fuzz testing: forge test --fuzz-runs 10000 on _updateFreqFIFO, _log2Fixed, and getDynamicFee</w:t>
      </w:r>
    </w:p>
    <w:p>
      <w:r>
        <w:br w:type="page"/>
      </w:r>
    </w:p>
    <w:p>
      <w:pPr>
        <w:pStyle w:val="Heading1"/>
        <w:pBdr>
          <w:bottom w:val="single" w:color="1A1A2E" w:sz="4" w:space="6"/>
        </w:pBdr>
        <w:spacing w:after="160" w:before="440"/>
      </w:pPr>
      <w:r>
        <w:rPr>
          <w:rFonts w:ascii="Calibri" w:cs="Calibri" w:eastAsia="Calibri" w:hAnsi="Calibri"/>
          <w:b/>
          <w:bCs/>
          <w:color w:val="0A0A1E"/>
          <w:sz w:val="32"/>
          <w:szCs w:val="32"/>
        </w:rPr>
        <w:t xml:space="preserve">VI. Post-Launch Monitoring</w:t>
      </w:r>
    </w:p>
    <w:p>
      <w:pPr>
        <w:pStyle w:val="Heading2"/>
        <w:spacing w:after="110" w:before="280"/>
      </w:pPr>
      <w:r>
        <w:rPr>
          <w:rFonts w:ascii="Calibri" w:cs="Calibri" w:eastAsia="Calibri" w:hAnsi="Calibri"/>
          <w:b/>
          <w:bCs/>
          <w:color w:val="1A1A2E"/>
          <w:sz w:val="26"/>
          <w:szCs w:val="26"/>
        </w:rPr>
        <w:t xml:space="preserve">Dashboard</w:t>
      </w:r>
    </w:p>
    <w:p>
      <w:pPr>
        <w:spacing w:after="100" w:before="80" w:line="276"/>
        <w:ind w:firstLine="360"/>
        <w:jc w:val="both"/>
      </w:pPr>
      <w:r>
        <w:rPr>
          <w:rFonts w:ascii="Georgia" w:cs="Georgia" w:eastAsia="Georgia" w:hAnsi="Georgia"/>
          <w:color w:val="111111"/>
          <w:sz w:val="22"/>
          <w:szCs w:val="22"/>
        </w:rPr>
        <w:t xml:space="preserve">Open dashboard.html in any browser. Enter your oracle and stabilizer addresses. Updates every 10 seconds via direct RPC call (no server needed).</w:t>
      </w:r>
    </w:p>
    <w:p>
      <w:pPr>
        <w:spacing w:after="100" w:before="80" w:line="276"/>
        <w:ind w:firstLine="360"/>
        <w:jc w:val="both"/>
      </w:pPr>
      <w:r>
        <w:rPr>
          <w:rFonts w:ascii="Georgia" w:cs="Georgia" w:eastAsia="Georgia" w:hAnsi="Georgia"/>
          <w:color w:val="111111"/>
          <w:sz w:val="22"/>
          <w:szCs w:val="22"/>
        </w:rPr>
        <w:t xml:space="preserve">What to watch in the first 48 hours:</w:t>
      </w:r>
    </w:p>
    <w:p>
      <w:pPr>
        <w:pStyle w:val="ListParagraph"/>
        <w:numPr>
          <w:ilvl w:val="0"/>
          <w:numId w:val="2"/>
        </w:numPr>
        <w:spacing w:after="60" w:before="40" w:line="276"/>
      </w:pPr>
      <w:r>
        <w:rPr>
          <w:rFonts w:ascii="Georgia" w:cs="Georgia" w:eastAsia="Georgia" w:hAnsi="Georgia"/>
          <w:color w:val="333333"/>
          <w:sz w:val="21"/>
          <w:szCs w:val="21"/>
        </w:rPr>
        <w:t xml:space="preserve">H_WHT should settle between 1.8 and 2.8 after ~100 swaps</w:t>
      </w:r>
    </w:p>
    <w:p>
      <w:pPr>
        <w:pStyle w:val="ListParagraph"/>
        <w:numPr>
          <w:ilvl w:val="0"/>
          <w:numId w:val="2"/>
        </w:numPr>
        <w:spacing w:after="60" w:before="40" w:line="276"/>
      </w:pPr>
      <w:r>
        <w:rPr>
          <w:rFonts w:ascii="Georgia" w:cs="Georgia" w:eastAsia="Georgia" w:hAnsi="Georgia"/>
          <w:color w:val="333333"/>
          <w:sz w:val="21"/>
          <w:szCs w:val="21"/>
        </w:rPr>
        <w:t xml:space="preserve">Dynamic fee should be between 500 and 30000 basis points</w:t>
      </w:r>
    </w:p>
    <w:p>
      <w:pPr>
        <w:pStyle w:val="ListParagraph"/>
        <w:numPr>
          <w:ilvl w:val="0"/>
          <w:numId w:val="2"/>
        </w:numPr>
        <w:spacing w:after="60" w:before="40" w:line="276"/>
      </w:pPr>
      <w:r>
        <w:rPr>
          <w:rFonts w:ascii="Georgia" w:cs="Georgia" w:eastAsia="Georgia" w:hAnsi="Georgia"/>
          <w:color w:val="333333"/>
          <w:sz w:val="21"/>
          <w:szCs w:val="21"/>
        </w:rPr>
        <w:t xml:space="preserve">Drift alert should NOT be firing constantly (if it is, raise DRIFT_CONSECUTIVE_THRESHOLD)</w:t>
      </w:r>
    </w:p>
    <w:p>
      <w:pPr>
        <w:pStyle w:val="ListParagraph"/>
        <w:numPr>
          <w:ilvl w:val="0"/>
          <w:numId w:val="2"/>
        </w:numPr>
        <w:spacing w:after="60" w:before="40" w:line="276"/>
      </w:pPr>
      <w:r>
        <w:rPr>
          <w:rFonts w:ascii="Georgia" w:cs="Georgia" w:eastAsia="Georgia" w:hAnsi="Georgia"/>
          <w:color w:val="333333"/>
          <w:sz w:val="21"/>
          <w:szCs w:val="21"/>
        </w:rPr>
        <w:t xml:space="preserve">Consecutive OOW count should stay at 0 during normal trading</w:t>
      </w:r>
    </w:p>
    <w:p>
      <w:pPr>
        <w:spacing w:before="55"/>
      </w:pPr>
    </w:p>
    <w:p>
      <w:pPr>
        <w:pStyle w:val="Heading2"/>
        <w:spacing w:after="110" w:before="280"/>
      </w:pPr>
      <w:r>
        <w:rPr>
          <w:rFonts w:ascii="Calibri" w:cs="Calibri" w:eastAsia="Calibri" w:hAnsi="Calibri"/>
          <w:b/>
          <w:bCs/>
          <w:color w:val="1A1A2E"/>
          <w:sz w:val="26"/>
          <w:szCs w:val="26"/>
        </w:rPr>
        <w:t xml:space="preserve">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240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Normal range</w:t>
            </w:r>
          </w:p>
        </w:tc>
        <w:tc>
          <w:tcPr>
            <w:tcW w:type="dxa" w:w="4360"/>
            <w:tcBorders>
              <w:top w:val="single" w:color="AAAACC" w:sz="4"/>
              <w:left w:val="single" w:color="AAAACC" w:sz="4"/>
              <w:bottom w:val="single" w:color="AAAACC" w:sz="4"/>
              <w:right w:val="single" w:color="AAAACC" w:sz="4"/>
            </w:tcBorders>
            <w:shd w:fill="2C3E50" w:val="clear"/>
            <w:tcMar>
              <w:top w:type="dxa" w:w="80"/>
              <w:left w:type="dxa" w:w="120"/>
              <w:bottom w:type="dxa" w:w="80"/>
              <w:right w:type="dxa" w:w="120"/>
            </w:tcMar>
          </w:tcPr>
          <w:p>
            <w:r>
              <w:rPr>
                <w:rFonts w:ascii="Calibri" w:cs="Calibri" w:eastAsia="Calibri" w:hAnsi="Calibri"/>
                <w:b/>
                <w:bCs/>
                <w:color w:val="FFFFFF"/>
                <w:sz w:val="18"/>
                <w:szCs w:val="18"/>
              </w:rPr>
              <w:t xml:space="preserve">Alert if</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H_WHT entropy</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1.8 – 2.8 nats</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&lt; 1.0 or &gt; 4.0 nats</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Dynamic fee</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500 – 10000 bps</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 30000 bps for &gt; 10 consecutive blocks</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Drift alert</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false</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true for &gt; 30 minutes</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adjustmentCount</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0–5 per day</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&gt; 10 per day (supply oscillating)</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SPCM supply</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~1M ± 50k</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&lt; 900k or &gt; 1.1M in first month</w:t>
            </w:r>
          </w:p>
        </w:tc>
      </w:tr>
      <w:tr>
        <w:trPr>
          <w:tblHeader w:val="false"/>
        </w:trPr>
        <w:tc>
          <w:tcPr>
            <w:tcW w:type="dxa" w:w="26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color w:val="222222"/>
                <w:sz w:val="20"/>
                <w:szCs w:val="20"/>
              </w:rPr>
              <w:t xml:space="preserve">Consecutive OOW</w:t>
            </w:r>
          </w:p>
        </w:tc>
        <w:tc>
          <w:tcPr>
            <w:tcW w:type="dxa" w:w="240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0 normally</w:t>
            </w:r>
          </w:p>
        </w:tc>
        <w:tc>
          <w:tcPr>
            <w:tcW w:type="dxa" w:w="4360"/>
            <w:tcBorders>
              <w:top w:val="single" w:color="AAAACC" w:sz="4"/>
              <w:left w:val="single" w:color="AAAACC" w:sz="4"/>
              <w:bottom w:val="single" w:color="AAAACC" w:sz="4"/>
              <w:right w:val="single" w:color="AAAACC" w:sz="4"/>
            </w:tcBorders>
            <w:tcMar>
              <w:top w:type="dxa" w:w="80"/>
              <w:left w:type="dxa" w:w="120"/>
              <w:bottom w:type="dxa" w:w="80"/>
              <w:right w:type="dxa" w:w="120"/>
            </w:tcMar>
          </w:tcPr>
          <w:p>
            <w:r>
              <w:rPr>
                <w:rFonts w:ascii="Georgia" w:cs="Georgia" w:eastAsia="Georgia" w:hAnsi="Georgia"/>
                <w:b w:val="false"/>
                <w:bCs w:val="false"/>
                <w:sz w:val="20"/>
                <w:szCs w:val="20"/>
              </w:rPr>
              <w:t xml:space="preserve">≥ 3 means adjustment imminent</w:t>
            </w:r>
          </w:p>
        </w:tc>
      </w:tr>
    </w:tbl>
    <w:p>
      <w:pPr>
        <w:spacing w:before="220"/>
      </w:pPr>
    </w:p>
    <w:p>
      <w:pPr>
        <w:pBdr>
          <w:bottom w:val="single" w:color="1A1A2E" w:sz="3" w:space="6"/>
        </w:pBdr>
        <w:spacing w:after="0" w:before="0"/>
      </w:pPr>
    </w:p>
    <w:p>
      <w:pPr>
        <w:spacing w:before="110"/>
      </w:pPr>
    </w:p>
    <w:p>
      <w:pPr>
        <w:spacing w:after="100" w:before="80" w:line="276"/>
        <w:ind/>
        <w:jc w:val="center"/>
      </w:pPr>
      <w:r>
        <w:rPr>
          <w:rFonts w:ascii="Georgia" w:cs="Georgia" w:eastAsia="Georgia" w:hAnsi="Georgia"/>
          <w:b/>
          <w:bCs/>
          <w:i/>
          <w:iCs/>
          <w:color w:val="0A0A1E"/>
          <w:sz w:val="24"/>
          <w:szCs w:val="24"/>
        </w:rPr>
        <w:t xml:space="preserve">25 vulnerabilities found. 25 patched. Deploy it.</w:t>
      </w:r>
    </w:p>
    <w:p>
      <w:pPr>
        <w:spacing w:before="220"/>
      </w:pPr>
    </w:p>
    <w:p>
      <w:pPr>
        <w:spacing w:after="100" w:before="80" w:line="276"/>
        <w:ind/>
        <w:jc w:val="center"/>
      </w:pPr>
      <w:r>
        <w:rPr>
          <w:rFonts w:ascii="Courier New" w:cs="Courier New" w:eastAsia="Courier New" w:hAnsi="Courier New"/>
          <w:color w:val="AAAAAA"/>
          <w:sz w:val="16"/>
          <w:szCs w:val="16"/>
        </w:rPr>
        <w:t xml:space="preserve">SpectralToken · SpectralEntropyOracle · AutonomousTreasury · SpectralStabilizer · SpectralHook · Ashioya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Courier New" w:cs="Courier New" w:eastAsia="Courier New" w:hAnsi="Courier New"/>
        <w:color w:val="AAAAAA"/>
        <w:sz w:val="18"/>
        <w:szCs w:val="18"/>
      </w:rPr>
      <w:t xml:space="preserve">Page </w:t>
    </w:r>
    <w:r>
      <w:rPr>
        <w:rFonts w:ascii="Courier New" w:cs="Courier New" w:eastAsia="Courier New" w:hAnsi="Courier New"/>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Courier New" w:cs="Courier New" w:eastAsia="Courier New" w:hAnsi="Courier New"/>
        <w:color w:val="AAAAAA"/>
        <w:sz w:val="16"/>
        <w:szCs w:val="16"/>
      </w:rPr>
      <w:t xml:space="preserve">SPECTRUM PROTOCOL (SPCM) · Implementation Manual · v2.0   POST RED-TEAM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4" w:space="6"/>
      </w:pBdr>
      <w:spacing w:after="160" w:before="440"/>
      <w:outlineLvl w:val="0"/>
    </w:pPr>
    <w:rPr>
      <w:rFonts w:ascii="Calibri" w:cs="Calibri" w:eastAsia="Calibri" w:hAnsi="Calibri"/>
      <w:b/>
      <w:bCs/>
      <w:color w:val="0A0A1E"/>
      <w:sz w:val="32"/>
      <w:szCs w:val="32"/>
    </w:rPr>
  </w:style>
  <w:style w:type="paragraph" w:styleId="Heading2">
    <w:name w:val="Heading 2"/>
    <w:basedOn w:val="Normal"/>
    <w:next w:val="Normal"/>
    <w:qFormat/>
    <w:pPr>
      <w:spacing w:after="110" w:before="28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80" w:before="22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2026-04-17T10:11:28.647Z</dcterms:created>
  <dcterms:modified xsi:type="dcterms:W3CDTF">2026-04-17T10:11:28.647Z</dcterms:modified>
</cp:coreProperties>
</file>

<file path=docProps/custom.xml><?xml version="1.0" encoding="utf-8"?>
<Properties xmlns="http://schemas.openxmlformats.org/officeDocument/2006/custom-properties" xmlns:vt="http://schemas.openxmlformats.org/officeDocument/2006/docPropsVTypes"/>
</file>