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jc w:val="center"/>
      </w:pPr>
      <w:r>
        <w:rPr>
          <w:b/>
          <w:sz w:val="24"/>
        </w:rPr>
        <w:t>MACHINE LEARNING ENGINEER ASSESSMENT</w:t>
      </w:r>
    </w:p>
    <w:p>
      <w:pPr>
        <w:spacing w:line="259" w:lineRule="auto"/>
        <w:jc w:val="center"/>
      </w:pPr>
      <w:r>
        <w:rPr>
          <w:b/>
          <w:sz w:val="56"/>
        </w:rPr>
        <w:t>Freight Rate Prediction</w:t>
      </w:r>
    </w:p>
    <w:p>
      <w:pPr>
        <w:spacing w:line="259" w:lineRule="auto"/>
        <w:jc w:val="center"/>
      </w:pPr>
      <w:r>
        <w:rPr>
          <w:sz w:val="36"/>
        </w:rPr>
        <w:t>Technical Assessment Report</w:t>
      </w:r>
    </w:p>
    <w:p>
      <w:pPr>
        <w:spacing w:line="259" w:lineRule="auto"/>
      </w:pPr>
    </w:p>
    <w:p>
      <w:pPr>
        <w:spacing w:line="259" w:lineRule="auto"/>
        <w:jc w:val="center"/>
      </w:pPr>
      <w:r>
        <w:rPr>
          <w:b/>
          <w:sz w:val="32"/>
        </w:rPr>
        <w:t>Spotter</w:t>
      </w:r>
    </w:p>
    <w:p>
      <w:pPr>
        <w:spacing w:line="259" w:lineRule="auto"/>
      </w:pPr>
    </w:p>
    <w:p>
      <w:pPr>
        <w:spacing w:line="259" w:lineRule="auto"/>
      </w:pP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
              <w:rPr>
                <w:b/>
                <w:sz w:val="18"/>
              </w:rPr>
              <w:t>Development Dataset</w:t>
            </w:r>
          </w:p>
        </w:tc>
        <w:tc>
          <w:tcPr>
            <w:tcW w:type="dxa" w:w="4968"/>
            <w:vAlign w:val="center"/>
            <w:shd w:fill="F7F9FA"/>
          </w:tcPr>
          <w:p>
            <w:r/>
            <w:r>
              <w:rPr>
                <w:b/>
                <w:sz w:val="18"/>
              </w:rPr>
              <w:t>48,000 labeled loads</w:t>
            </w:r>
          </w:p>
        </w:tc>
      </w:tr>
    </w:tbl>
    <w:p>
      <w:pPr>
        <w:spacing w:line="259" w:lineRule="auto"/>
      </w:pP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
              <w:rPr>
                <w:b/>
                <w:sz w:val="18"/>
              </w:rPr>
              <w:t>Final Validation Dataset</w:t>
            </w:r>
          </w:p>
        </w:tc>
        <w:tc>
          <w:tcPr>
            <w:tcW w:type="dxa" w:w="4968"/>
            <w:vAlign w:val="center"/>
            <w:shd w:fill="F7F9FA"/>
          </w:tcPr>
          <w:p>
            <w:r/>
            <w:r>
              <w:rPr>
                <w:b/>
                <w:sz w:val="18"/>
              </w:rPr>
              <w:t>12,000 loads</w:t>
            </w:r>
          </w:p>
        </w:tc>
      </w:tr>
    </w:tbl>
    <w:p>
      <w:pPr>
        <w:spacing w:line="259" w:lineRule="auto"/>
      </w:pP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
              <w:rPr>
                <w:b/>
                <w:sz w:val="18"/>
              </w:rPr>
              <w:t>Primary Validation MAE</w:t>
            </w:r>
          </w:p>
        </w:tc>
        <w:tc>
          <w:tcPr>
            <w:tcW w:type="dxa" w:w="4968"/>
            <w:vAlign w:val="center"/>
            <w:shd w:fill="F7F9FA"/>
          </w:tcPr>
          <w:p>
            <w:r/>
            <w:r>
              <w:rPr>
                <w:b/>
                <w:sz w:val="18"/>
              </w:rPr>
              <w:t>$103.75</w:t>
            </w:r>
          </w:p>
        </w:tc>
      </w:tr>
    </w:tbl>
    <w:p>
      <w:pPr>
        <w:spacing w:line="259" w:lineRule="auto"/>
      </w:pP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
              <w:rPr>
                <w:b/>
                <w:sz w:val="18"/>
              </w:rPr>
              <w:t>Primary Validation RMSE</w:t>
            </w:r>
          </w:p>
        </w:tc>
        <w:tc>
          <w:tcPr>
            <w:tcW w:type="dxa" w:w="4968"/>
            <w:vAlign w:val="center"/>
            <w:shd w:fill="F7F9FA"/>
          </w:tcPr>
          <w:p>
            <w:r/>
            <w:r>
              <w:rPr>
                <w:b/>
                <w:sz w:val="18"/>
              </w:rPr>
              <w:t>$648.45</w:t>
            </w:r>
          </w:p>
        </w:tc>
      </w:tr>
    </w:tbl>
    <w:p>
      <w:pPr>
        <w:spacing w:line="259" w:lineRule="auto"/>
      </w:pP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
              <w:rPr>
                <w:b/>
                <w:sz w:val="18"/>
              </w:rPr>
              <w:t>Primary Validation R²</w:t>
            </w:r>
          </w:p>
        </w:tc>
        <w:tc>
          <w:tcPr>
            <w:tcW w:type="dxa" w:w="4968"/>
            <w:vAlign w:val="center"/>
            <w:shd w:fill="F7F9FA"/>
          </w:tcPr>
          <w:p>
            <w:r/>
            <w:r>
              <w:rPr>
                <w:b/>
                <w:sz w:val="18"/>
              </w:rPr>
              <w:t>0.8200</w:t>
            </w:r>
          </w:p>
        </w:tc>
      </w:tr>
    </w:tbl>
    <w:p>
      <w:pPr>
        <w:spacing w:line="259" w:lineRule="auto"/>
      </w:pPr>
    </w:p>
    <w:p>
      <w:pPr>
        <w:spacing w:before="400" w:line="259" w:lineRule="auto"/>
        <w:jc w:val="center"/>
      </w:pPr>
      <w:r>
        <w:rPr>
          <w:i/>
          <w:sz w:val="20"/>
        </w:rPr>
        <w:t>Prepared as part of the Machine Learning Engineer assessment</w:t>
      </w:r>
    </w:p>
    <w:p>
      <w:pPr>
        <w:spacing w:line="259" w:lineRule="auto"/>
      </w:pPr>
      <w:r>
        <w:br w:type="page"/>
      </w:r>
    </w:p>
    <w:p>
      <w:pPr>
        <w:pStyle w:val="Heading1"/>
        <w:spacing w:before="240" w:after="120" w:line="259" w:lineRule="auto"/>
      </w:pPr>
      <w:r>
        <w:t>1. Executive Summary</w:t>
      </w:r>
    </w:p>
    <w:p>
      <w:pPr>
        <w:spacing w:line="259" w:lineRule="auto"/>
      </w:pPr>
      <w:r>
        <w:t>This project develops a machine learning regression pipeline for predicting freight load rates from historical shipment information. The development dataset contains 48,000 labeled loads covering January through October 2025, while the final validation dataset contains 12,000 future loads from November and December 2025.</w:t>
      </w:r>
    </w:p>
    <w:p>
      <w:pPr>
        <w:spacing w:line="259" w:lineRule="auto"/>
      </w:pPr>
      <w:r>
        <w:t>The analysis began with exploratory data analysis and data-quality checks, followed by feature evaluation, model comparison, hyperparameter tuning, and time-aware validation. Because the final validation period occurs after the labeled development period, chronological validation was preferred over a random train/test split.</w:t>
      </w:r>
    </w:p>
    <w:p>
      <w:pPr>
        <w:spacing w:line="259" w:lineRule="auto"/>
      </w:pPr>
      <w:r>
        <w:t>GradientBoostingRegressor with Huber loss produced the strongest overall validation performance among the evaluated models. The final model achieved a mean absolute error of $103.75, RMSE of $648.45, and R² of 0.8200 on the October 2025 holdout.</w:t>
      </w:r>
    </w:p>
    <w:p>
      <w:pPr>
        <w:spacing w:line="259" w:lineRule="auto"/>
      </w:pPr>
      <w:r>
        <w:t>The provided scoring script successfully validated all 12,000 final predictions and all 31 required December predictions.</w:t>
      </w:r>
    </w:p>
    <w:p>
      <w:pPr>
        <w:pStyle w:val="Heading1"/>
        <w:spacing w:before="240" w:after="120" w:line="259" w:lineRule="auto"/>
      </w:pPr>
      <w:r>
        <w:t>2. Problem Definition</w:t>
      </w:r>
    </w:p>
    <w:p>
      <w:pPr>
        <w:spacing w:line="259" w:lineRule="auto"/>
      </w:pPr>
      <w:r>
        <w:t>The objective is to estimate the posted freight rate for an unseen load using historical shipment, route, equipment, geographic, and operational information.</w:t>
      </w:r>
    </w:p>
    <w:p>
      <w:pPr>
        <w:pStyle w:val="Heading2"/>
        <w:spacing w:before="240" w:after="120" w:line="259" w:lineRule="auto"/>
      </w:pPr>
      <w:r>
        <w:t>Target</w:t>
      </w:r>
    </w:p>
    <w:p>
      <w:pPr>
        <w:spacing w:after="120" w:line="259" w:lineRule="auto"/>
        <w:ind w:left="360"/>
      </w:pPr>
      <w:r>
        <w:rPr>
          <w:rFonts w:ascii="Consolas" w:hAnsi="Consolas"/>
          <w:sz w:val="18"/>
        </w:rPr>
        <w:t>posted_rate</w:t>
      </w:r>
    </w:p>
    <w:p>
      <w:pPr>
        <w:pStyle w:val="Heading2"/>
        <w:spacing w:before="240" w:after="120" w:line="259" w:lineRule="auto"/>
      </w:pPr>
      <w:r>
        <w:t>Final Prediction Format</w:t>
      </w:r>
    </w:p>
    <w:p>
      <w:pPr>
        <w:spacing w:after="120" w:line="259" w:lineRule="auto"/>
        <w:ind w:left="360"/>
      </w:pPr>
      <w:r>
        <w:rPr>
          <w:rFonts w:ascii="Consolas" w:hAnsi="Consolas"/>
          <w:sz w:val="18"/>
        </w:rPr>
        <w:t>load_id,predicted_rate</w:t>
      </w:r>
    </w:p>
    <w:p>
      <w:pPr>
        <w:spacing w:line="259" w:lineRule="auto"/>
      </w:pPr>
      <w:r>
        <w:t>The final validation output contains exactly 12,000 rows and follows the required load ID and prediction format.</w:t>
      </w:r>
    </w:p>
    <w:p>
      <w:pPr>
        <w:pStyle w:val="Heading1"/>
        <w:spacing w:before="240" w:after="120" w:line="259" w:lineRule="auto"/>
      </w:pPr>
      <w:r>
        <w:t>3. Dataset Overview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Dataset</w:t>
            </w:r>
          </w:p>
        </w:tc>
        <w:tc>
          <w:tcPr>
            <w:tcW w:type="dxa" w:w="2484"/>
            <w:vAlign w:val="center"/>
            <w:shd w:fill="D9EAF7"/>
          </w:tcPr>
          <w:p>
            <w:r/>
            <w:r>
              <w:rPr>
                <w:b/>
                <w:sz w:val="18"/>
              </w:rPr>
              <w:t>Rows</w:t>
            </w:r>
          </w:p>
        </w:tc>
        <w:tc>
          <w:tcPr>
            <w:tcW w:type="dxa" w:w="2484"/>
            <w:vAlign w:val="center"/>
            <w:shd w:fill="D9EAF7"/>
          </w:tcPr>
          <w:p>
            <w:r/>
            <w:r>
              <w:rPr>
                <w:b/>
                <w:sz w:val="18"/>
              </w:rPr>
              <w:t>Time Period</w:t>
            </w:r>
          </w:p>
        </w:tc>
        <w:tc>
          <w:tcPr>
            <w:tcW w:type="dxa" w:w="2484"/>
            <w:vAlign w:val="center"/>
            <w:shd w:fill="D9EAF7"/>
          </w:tcPr>
          <w:p>
            <w:r/>
            <w:r>
              <w:rPr>
                <w:b/>
                <w:sz w:val="18"/>
              </w:rPr>
              <w:t>Purpose</w:t>
            </w:r>
          </w:p>
        </w:tc>
      </w:tr>
      <w:tr>
        <w:tc>
          <w:tcPr>
            <w:tcW w:type="dxa" w:w="2484"/>
            <w:vAlign w:val="center"/>
          </w:tcPr>
          <w:p>
            <w:r/>
            <w:r>
              <w:rPr>
                <w:b w:val="0"/>
                <w:sz w:val="18"/>
              </w:rPr>
              <w:t>Development</w:t>
            </w:r>
          </w:p>
        </w:tc>
        <w:tc>
          <w:tcPr>
            <w:tcW w:type="dxa" w:w="2484"/>
            <w:vAlign w:val="center"/>
          </w:tcPr>
          <w:p>
            <w:r/>
            <w:r>
              <w:rPr>
                <w:b w:val="0"/>
                <w:sz w:val="18"/>
              </w:rPr>
              <w:t>48,000</w:t>
            </w:r>
          </w:p>
        </w:tc>
        <w:tc>
          <w:tcPr>
            <w:tcW w:type="dxa" w:w="2484"/>
            <w:vAlign w:val="center"/>
          </w:tcPr>
          <w:p>
            <w:r/>
            <w:r>
              <w:rPr>
                <w:b w:val="0"/>
                <w:sz w:val="18"/>
              </w:rPr>
              <w:t>Jan–Oct 2025</w:t>
            </w:r>
          </w:p>
        </w:tc>
        <w:tc>
          <w:tcPr>
            <w:tcW w:type="dxa" w:w="2484"/>
            <w:vAlign w:val="center"/>
          </w:tcPr>
          <w:p>
            <w:r/>
            <w:r>
              <w:rPr>
                <w:b w:val="0"/>
                <w:sz w:val="18"/>
              </w:rPr>
              <w:t>Model training and validation</w:t>
            </w:r>
          </w:p>
        </w:tc>
      </w:tr>
      <w:tr>
        <w:tc>
          <w:tcPr>
            <w:tcW w:type="dxa" w:w="2484"/>
            <w:vAlign w:val="center"/>
          </w:tcPr>
          <w:p>
            <w:r/>
            <w:r>
              <w:rPr>
                <w:b w:val="0"/>
                <w:sz w:val="18"/>
              </w:rPr>
              <w:t>Validation</w:t>
            </w:r>
          </w:p>
        </w:tc>
        <w:tc>
          <w:tcPr>
            <w:tcW w:type="dxa" w:w="2484"/>
            <w:vAlign w:val="center"/>
          </w:tcPr>
          <w:p>
            <w:r/>
            <w:r>
              <w:rPr>
                <w:b w:val="0"/>
                <w:sz w:val="18"/>
              </w:rPr>
              <w:t>12,000</w:t>
            </w:r>
          </w:p>
        </w:tc>
        <w:tc>
          <w:tcPr>
            <w:tcW w:type="dxa" w:w="2484"/>
            <w:vAlign w:val="center"/>
          </w:tcPr>
          <w:p>
            <w:r/>
            <w:r>
              <w:rPr>
                <w:b w:val="0"/>
                <w:sz w:val="18"/>
              </w:rPr>
              <w:t>Nov–Dec 2025</w:t>
            </w:r>
          </w:p>
        </w:tc>
        <w:tc>
          <w:tcPr>
            <w:tcW w:type="dxa" w:w="2484"/>
            <w:vAlign w:val="center"/>
          </w:tcPr>
          <w:p>
            <w:r/>
            <w:r>
              <w:rPr>
                <w:b w:val="0"/>
                <w:sz w:val="18"/>
              </w:rPr>
              <w:t>Final prediction</w:t>
            </w:r>
          </w:p>
        </w:tc>
      </w:tr>
      <w:tr>
        <w:tc>
          <w:tcPr>
            <w:tcW w:type="dxa" w:w="2484"/>
            <w:vAlign w:val="center"/>
          </w:tcPr>
          <w:p>
            <w:r/>
            <w:r>
              <w:rPr>
                <w:b w:val="0"/>
                <w:sz w:val="18"/>
              </w:rPr>
              <w:t>December inputs</w:t>
            </w:r>
          </w:p>
        </w:tc>
        <w:tc>
          <w:tcPr>
            <w:tcW w:type="dxa" w:w="2484"/>
            <w:vAlign w:val="center"/>
          </w:tcPr>
          <w:p>
            <w:r/>
            <w:r>
              <w:rPr>
                <w:b w:val="0"/>
                <w:sz w:val="18"/>
              </w:rPr>
              <w:t>31</w:t>
            </w:r>
          </w:p>
        </w:tc>
        <w:tc>
          <w:tcPr>
            <w:tcW w:type="dxa" w:w="2484"/>
            <w:vAlign w:val="center"/>
          </w:tcPr>
          <w:p>
            <w:r/>
            <w:r>
              <w:rPr>
                <w:b w:val="0"/>
                <w:sz w:val="18"/>
              </w:rPr>
              <w:t>Dec 2025</w:t>
            </w:r>
          </w:p>
        </w:tc>
        <w:tc>
          <w:tcPr>
            <w:tcW w:type="dxa" w:w="2484"/>
            <w:vAlign w:val="center"/>
          </w:tcPr>
          <w:p>
            <w:r/>
            <w:r>
              <w:rPr>
                <w:b w:val="0"/>
                <w:sz w:val="18"/>
              </w:rPr>
              <w:t>Required fixed scenario</w:t>
            </w:r>
          </w:p>
        </w:tc>
      </w:tr>
    </w:tbl>
    <w:p>
      <w:pPr>
        <w:spacing w:line="259" w:lineRule="auto"/>
      </w:pPr>
    </w:p>
    <w:p>
      <w:pPr>
        <w:spacing w:line="259" w:lineRule="auto"/>
      </w:pPr>
      <w:r>
        <w:t>The development data contains route, geographic, equipment, shipment, date, market, quote, and target information.</w:t>
      </w:r>
    </w:p>
    <w:p>
      <w:pPr>
        <w:pStyle w:val="Heading2"/>
        <w:spacing w:before="240" w:after="120" w:line="259" w:lineRule="auto"/>
      </w:pPr>
      <w:r>
        <w:t>Main Features</w:t>
      </w:r>
    </w:p>
    <w:p>
      <w:pPr>
        <w:pStyle w:val="ListBullet"/>
        <w:spacing w:after="60" w:line="259" w:lineRule="auto"/>
      </w:pPr>
      <w:r>
        <w:t>pickup and delivery locations</w:t>
      </w:r>
    </w:p>
    <w:p>
      <w:pPr>
        <w:pStyle w:val="ListBullet"/>
        <w:spacing w:after="60" w:line="259" w:lineRule="auto"/>
      </w:pPr>
      <w:r>
        <w:t>pickup and delivery latitude/longitude</w:t>
      </w:r>
    </w:p>
    <w:p>
      <w:pPr>
        <w:pStyle w:val="ListBullet"/>
        <w:spacing w:after="60" w:line="259" w:lineRule="auto"/>
      </w:pPr>
      <w:r>
        <w:t>distance</w:t>
      </w:r>
    </w:p>
    <w:p>
      <w:pPr>
        <w:pStyle w:val="ListBullet"/>
        <w:spacing w:after="60" w:line="259" w:lineRule="auto"/>
      </w:pPr>
      <w:r>
        <w:t>equipment</w:t>
      </w:r>
    </w:p>
    <w:p>
      <w:pPr>
        <w:pStyle w:val="ListBullet"/>
        <w:spacing w:after="60" w:line="259" w:lineRule="auto"/>
      </w:pPr>
      <w:r>
        <w:t>weight</w:t>
      </w:r>
    </w:p>
    <w:p>
      <w:pPr>
        <w:pStyle w:val="ListBullet"/>
        <w:spacing w:after="60" w:line="259" w:lineRule="auto"/>
      </w:pPr>
      <w:r>
        <w:t>date</w:t>
      </w:r>
    </w:p>
    <w:p>
      <w:pPr>
        <w:pStyle w:val="ListBullet"/>
        <w:spacing w:after="60" w:line="259" w:lineRule="auto"/>
      </w:pPr>
      <w:r>
        <w:t>market_index</w:t>
      </w:r>
    </w:p>
    <w:p>
      <w:pPr>
        <w:pStyle w:val="ListBullet"/>
        <w:spacing w:after="60" w:line="259" w:lineRule="auto"/>
      </w:pPr>
      <w:r>
        <w:t>quote_signal</w:t>
      </w:r>
    </w:p>
    <w:p>
      <w:pPr>
        <w:pStyle w:val="Heading1"/>
        <w:spacing w:before="240" w:after="120" w:line="259" w:lineRule="auto"/>
      </w:pPr>
      <w:r>
        <w:t>4. Exploratory Data Analysis</w:t>
      </w:r>
    </w:p>
    <w:p>
      <w:pPr>
        <w:spacing w:line="259" w:lineRule="auto"/>
      </w:pPr>
      <w:r>
        <w:t>The target distribution is strongly right-skewed. The median posted rate is approximately $2,031 while the mean is approximately $2,374, indicating that a relatively small number of high-rate observations increase the mean.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Target Statistic</w:t>
            </w:r>
          </w:p>
        </w:tc>
        <w:tc>
          <w:tcPr>
            <w:tcW w:type="dxa" w:w="4968"/>
            <w:vAlign w:val="center"/>
            <w:shd w:fill="D9EAF7"/>
          </w:tcPr>
          <w:p>
            <w:r/>
            <w:r>
              <w:rPr>
                <w:b/>
                <w:sz w:val="18"/>
              </w:rPr>
              <w:t>Value</w:t>
            </w:r>
          </w:p>
        </w:tc>
      </w:tr>
      <w:tr>
        <w:tc>
          <w:tcPr>
            <w:tcW w:type="dxa" w:w="4968"/>
            <w:vAlign w:val="center"/>
          </w:tcPr>
          <w:p>
            <w:r/>
            <w:r>
              <w:rPr>
                <w:b w:val="0"/>
                <w:sz w:val="18"/>
              </w:rPr>
              <w:t>Minimum</w:t>
            </w:r>
          </w:p>
        </w:tc>
        <w:tc>
          <w:tcPr>
            <w:tcW w:type="dxa" w:w="4968"/>
            <w:vAlign w:val="center"/>
          </w:tcPr>
          <w:p>
            <w:r/>
            <w:r>
              <w:rPr>
                <w:b w:val="0"/>
                <w:sz w:val="18"/>
              </w:rPr>
              <w:t>$57.22</w:t>
            </w:r>
          </w:p>
        </w:tc>
      </w:tr>
      <w:tr>
        <w:tc>
          <w:tcPr>
            <w:tcW w:type="dxa" w:w="4968"/>
            <w:vAlign w:val="center"/>
          </w:tcPr>
          <w:p>
            <w:r/>
            <w:r>
              <w:rPr>
                <w:b w:val="0"/>
                <w:sz w:val="18"/>
              </w:rPr>
              <w:t>Median</w:t>
            </w:r>
          </w:p>
        </w:tc>
        <w:tc>
          <w:tcPr>
            <w:tcW w:type="dxa" w:w="4968"/>
            <w:vAlign w:val="center"/>
          </w:tcPr>
          <w:p>
            <w:r/>
            <w:r>
              <w:rPr>
                <w:b w:val="0"/>
                <w:sz w:val="18"/>
              </w:rPr>
              <w:t>$2,030.76</w:t>
            </w:r>
          </w:p>
        </w:tc>
      </w:tr>
      <w:tr>
        <w:tc>
          <w:tcPr>
            <w:tcW w:type="dxa" w:w="4968"/>
            <w:vAlign w:val="center"/>
          </w:tcPr>
          <w:p>
            <w:r/>
            <w:r>
              <w:rPr>
                <w:b w:val="0"/>
                <w:sz w:val="18"/>
              </w:rPr>
              <w:t>Mean</w:t>
            </w:r>
          </w:p>
        </w:tc>
        <w:tc>
          <w:tcPr>
            <w:tcW w:type="dxa" w:w="4968"/>
            <w:vAlign w:val="center"/>
          </w:tcPr>
          <w:p>
            <w:r/>
            <w:r>
              <w:rPr>
                <w:b w:val="0"/>
                <w:sz w:val="18"/>
              </w:rPr>
              <w:t>$2,373.98</w:t>
            </w:r>
          </w:p>
        </w:tc>
      </w:tr>
      <w:tr>
        <w:tc>
          <w:tcPr>
            <w:tcW w:type="dxa" w:w="4968"/>
            <w:vAlign w:val="center"/>
          </w:tcPr>
          <w:p>
            <w:r/>
            <w:r>
              <w:rPr>
                <w:b w:val="0"/>
                <w:sz w:val="18"/>
              </w:rPr>
              <w:t>Maximum</w:t>
            </w:r>
          </w:p>
        </w:tc>
        <w:tc>
          <w:tcPr>
            <w:tcW w:type="dxa" w:w="4968"/>
            <w:vAlign w:val="center"/>
          </w:tcPr>
          <w:p>
            <w:r/>
            <w:r>
              <w:rPr>
                <w:b w:val="0"/>
                <w:sz w:val="18"/>
              </w:rPr>
              <w:t>$25,533.00</w:t>
            </w:r>
          </w:p>
        </w:tc>
      </w:tr>
    </w:tbl>
    <w:p>
      <w:pPr>
        <w:spacing w:line="259" w:lineRule="auto"/>
      </w:pPr>
    </w:p>
    <w:p>
      <w:pPr>
        <w:spacing w:line="259" w:lineRule="auto"/>
      </w:pPr>
      <w:r>
        <w:t>Distance was the strongest individual numerical predictor of posted rate, with a correlation of approximately 0.91. This is consistent with the expected relationship between shipment distance and total freight cost.</w:t>
      </w:r>
    </w:p>
    <w:p>
      <w:pPr>
        <w:pStyle w:val="Heading2"/>
        <w:spacing w:before="240" w:after="120" w:line="259" w:lineRule="auto"/>
      </w:pPr>
      <w:r>
        <w:t>Equipment Distribution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Equipment</w:t>
            </w:r>
          </w:p>
        </w:tc>
        <w:tc>
          <w:tcPr>
            <w:tcW w:type="dxa" w:w="4968"/>
            <w:vAlign w:val="center"/>
            <w:shd w:fill="D9EAF7"/>
          </w:tcPr>
          <w:p>
            <w:r/>
            <w:r>
              <w:rPr>
                <w:b/>
                <w:sz w:val="18"/>
              </w:rPr>
              <w:t>Training Loads</w:t>
            </w:r>
          </w:p>
        </w:tc>
      </w:tr>
      <w:tr>
        <w:tc>
          <w:tcPr>
            <w:tcW w:type="dxa" w:w="4968"/>
            <w:vAlign w:val="center"/>
          </w:tcPr>
          <w:p>
            <w:r/>
            <w:r>
              <w:rPr>
                <w:b w:val="0"/>
                <w:sz w:val="18"/>
              </w:rPr>
              <w:t>Dry Van</w:t>
            </w:r>
          </w:p>
        </w:tc>
        <w:tc>
          <w:tcPr>
            <w:tcW w:type="dxa" w:w="4968"/>
            <w:vAlign w:val="center"/>
          </w:tcPr>
          <w:p>
            <w:r/>
            <w:r>
              <w:rPr>
                <w:b w:val="0"/>
                <w:sz w:val="18"/>
              </w:rPr>
              <w:t>27,202</w:t>
            </w:r>
          </w:p>
        </w:tc>
      </w:tr>
      <w:tr>
        <w:tc>
          <w:tcPr>
            <w:tcW w:type="dxa" w:w="4968"/>
            <w:vAlign w:val="center"/>
          </w:tcPr>
          <w:p>
            <w:r/>
            <w:r>
              <w:rPr>
                <w:b w:val="0"/>
                <w:sz w:val="18"/>
              </w:rPr>
              <w:t>Reefer</w:t>
            </w:r>
          </w:p>
        </w:tc>
        <w:tc>
          <w:tcPr>
            <w:tcW w:type="dxa" w:w="4968"/>
            <w:vAlign w:val="center"/>
          </w:tcPr>
          <w:p>
            <w:r/>
            <w:r>
              <w:rPr>
                <w:b w:val="0"/>
                <w:sz w:val="18"/>
              </w:rPr>
              <w:t>12,045</w:t>
            </w:r>
          </w:p>
        </w:tc>
      </w:tr>
      <w:tr>
        <w:tc>
          <w:tcPr>
            <w:tcW w:type="dxa" w:w="4968"/>
            <w:vAlign w:val="center"/>
          </w:tcPr>
          <w:p>
            <w:r/>
            <w:r>
              <w:rPr>
                <w:b w:val="0"/>
                <w:sz w:val="18"/>
              </w:rPr>
              <w:t>Flatbed</w:t>
            </w:r>
          </w:p>
        </w:tc>
        <w:tc>
          <w:tcPr>
            <w:tcW w:type="dxa" w:w="4968"/>
            <w:vAlign w:val="center"/>
          </w:tcPr>
          <w:p>
            <w:r/>
            <w:r>
              <w:rPr>
                <w:b w:val="0"/>
                <w:sz w:val="18"/>
              </w:rPr>
              <w:t>8,753</w:t>
            </w:r>
          </w:p>
        </w:tc>
      </w:tr>
    </w:tbl>
    <w:p>
      <w:pPr>
        <w:spacing w:line="259" w:lineRule="auto"/>
      </w:pPr>
    </w:p>
    <w:p>
      <w:pPr>
        <w:pStyle w:val="Heading1"/>
        <w:spacing w:before="240" w:after="120" w:line="259" w:lineRule="auto"/>
      </w:pPr>
      <w:r>
        <w:t>5. Data Quality and Preprocessing</w:t>
      </w:r>
    </w:p>
    <w:p>
      <w:pPr>
        <w:spacing w:line="259" w:lineRule="auto"/>
      </w:pPr>
      <w:r>
        <w:t>The primary data-quality issues identified were missing numerical values and a small number of negative weight observations.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Feature</w:t>
            </w:r>
          </w:p>
        </w:tc>
        <w:tc>
          <w:tcPr>
            <w:tcW w:type="dxa" w:w="4968"/>
            <w:vAlign w:val="center"/>
            <w:shd w:fill="D9EAF7"/>
          </w:tcPr>
          <w:p>
            <w:r/>
            <w:r>
              <w:rPr>
                <w:b/>
                <w:sz w:val="18"/>
              </w:rPr>
              <w:t>Missing Values</w:t>
            </w:r>
          </w:p>
        </w:tc>
      </w:tr>
      <w:tr>
        <w:tc>
          <w:tcPr>
            <w:tcW w:type="dxa" w:w="4968"/>
            <w:vAlign w:val="center"/>
          </w:tcPr>
          <w:p>
            <w:r/>
            <w:r>
              <w:rPr>
                <w:b w:val="0"/>
                <w:sz w:val="18"/>
              </w:rPr>
              <w:t>weight</w:t>
            </w:r>
          </w:p>
        </w:tc>
        <w:tc>
          <w:tcPr>
            <w:tcW w:type="dxa" w:w="4968"/>
            <w:vAlign w:val="center"/>
          </w:tcPr>
          <w:p>
            <w:r/>
            <w:r>
              <w:rPr>
                <w:b w:val="0"/>
                <w:sz w:val="18"/>
              </w:rPr>
              <w:t>300</w:t>
            </w:r>
          </w:p>
        </w:tc>
      </w:tr>
      <w:tr>
        <w:tc>
          <w:tcPr>
            <w:tcW w:type="dxa" w:w="4968"/>
            <w:vAlign w:val="center"/>
          </w:tcPr>
          <w:p>
            <w:r/>
            <w:r>
              <w:rPr>
                <w:b w:val="0"/>
                <w:sz w:val="18"/>
              </w:rPr>
              <w:t>market_index</w:t>
            </w:r>
          </w:p>
        </w:tc>
        <w:tc>
          <w:tcPr>
            <w:tcW w:type="dxa" w:w="4968"/>
            <w:vAlign w:val="center"/>
          </w:tcPr>
          <w:p>
            <w:r/>
            <w:r>
              <w:rPr>
                <w:b w:val="0"/>
                <w:sz w:val="18"/>
              </w:rPr>
              <w:t>374</w:t>
            </w:r>
          </w:p>
        </w:tc>
      </w:tr>
    </w:tbl>
    <w:p>
      <w:pPr>
        <w:spacing w:line="259" w:lineRule="auto"/>
      </w:pPr>
    </w:p>
    <w:p>
      <w:pPr>
        <w:spacing w:line="259" w:lineRule="auto"/>
      </w:pPr>
      <w:r>
        <w:t>Missing numerical values were handled using median imputation. Categorical variables were handled using most-frequent imputation followed by one-hot encoding.</w:t>
      </w:r>
    </w:p>
    <w:p>
      <w:pPr>
        <w:spacing w:line="259" w:lineRule="auto"/>
      </w:pPr>
      <w:r>
        <w:t>A total of 292 negative-weight observations were identified. Removing these observations was tested as a sensitivity experiment, but it did not improve the validation results. They were therefore retained rather than imposing an unsupported assumption about the underlying data-generation process.</w:t>
      </w:r>
    </w:p>
    <w:p>
      <w:pPr>
        <w:pStyle w:val="Heading1"/>
        <w:spacing w:before="240" w:after="120" w:line="259" w:lineRule="auto"/>
      </w:pPr>
      <w:r>
        <w:t>6. Validation Strategy</w:t>
      </w:r>
    </w:p>
    <w:p>
      <w:pPr>
        <w:spacing w:line="259" w:lineRule="auto"/>
      </w:pPr>
      <w:r>
        <w:t>A chronological validation strategy was used because the final validation period occurs after the labeled development period. A random split could allow information from later observations to influence the model-selection process and would not accurately represent the forecasting setting.</w:t>
      </w:r>
    </w:p>
    <w:p>
      <w:pPr>
        <w:pStyle w:val="Heading2"/>
        <w:spacing w:before="240" w:after="120" w:line="259" w:lineRule="auto"/>
      </w:pPr>
      <w:r>
        <w:t>Primary Holdout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Training Period</w:t>
            </w:r>
          </w:p>
        </w:tc>
        <w:tc>
          <w:tcPr>
            <w:tcW w:type="dxa" w:w="4968"/>
            <w:vAlign w:val="center"/>
            <w:shd w:fill="D9EAF7"/>
          </w:tcPr>
          <w:p>
            <w:r/>
            <w:r>
              <w:rPr>
                <w:b/>
                <w:sz w:val="18"/>
              </w:rPr>
              <w:t>Validation Period</w:t>
            </w:r>
          </w:p>
        </w:tc>
      </w:tr>
      <w:tr>
        <w:tc>
          <w:tcPr>
            <w:tcW w:type="dxa" w:w="4968"/>
            <w:vAlign w:val="center"/>
          </w:tcPr>
          <w:p>
            <w:r/>
            <w:r>
              <w:rPr>
                <w:b w:val="0"/>
                <w:sz w:val="18"/>
              </w:rPr>
              <w:t>January–September 2025</w:t>
            </w:r>
          </w:p>
        </w:tc>
        <w:tc>
          <w:tcPr>
            <w:tcW w:type="dxa" w:w="4968"/>
            <w:vAlign w:val="center"/>
          </w:tcPr>
          <w:p>
            <w:r/>
            <w:r>
              <w:rPr>
                <w:b w:val="0"/>
                <w:sz w:val="18"/>
              </w:rPr>
              <w:t>October 2025</w:t>
            </w:r>
          </w:p>
        </w:tc>
      </w:tr>
    </w:tbl>
    <w:p>
      <w:pPr>
        <w:spacing w:line="259" w:lineRule="auto"/>
      </w:pPr>
    </w:p>
    <w:p>
      <w:pPr>
        <w:pStyle w:val="Heading2"/>
        <w:spacing w:before="240" w:after="120" w:line="259" w:lineRule="auto"/>
      </w:pPr>
      <w:r>
        <w:t>Rolling Validation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Validation Month</w:t>
            </w:r>
          </w:p>
        </w:tc>
        <w:tc>
          <w:tcPr>
            <w:tcW w:type="dxa" w:w="2484"/>
            <w:vAlign w:val="center"/>
            <w:shd w:fill="D9EAF7"/>
          </w:tcPr>
          <w:p>
            <w:r/>
            <w:r>
              <w:rPr>
                <w:b/>
                <w:sz w:val="18"/>
              </w:rPr>
              <w:t>MAE</w:t>
            </w:r>
          </w:p>
        </w:tc>
        <w:tc>
          <w:tcPr>
            <w:tcW w:type="dxa" w:w="2484"/>
            <w:vAlign w:val="center"/>
            <w:shd w:fill="D9EAF7"/>
          </w:tcPr>
          <w:p>
            <w:r/>
            <w:r>
              <w:rPr>
                <w:b/>
                <w:sz w:val="18"/>
              </w:rPr>
              <w:t>RMSE</w:t>
            </w:r>
          </w:p>
        </w:tc>
        <w:tc>
          <w:tcPr>
            <w:tcW w:type="dxa" w:w="2484"/>
            <w:vAlign w:val="center"/>
            <w:shd w:fill="D9EAF7"/>
          </w:tcPr>
          <w:p>
            <w:r/>
            <w:r>
              <w:rPr>
                <w:b/>
                <w:sz w:val="18"/>
              </w:rPr>
              <w:t>R²</w:t>
            </w:r>
          </w:p>
        </w:tc>
      </w:tr>
      <w:tr>
        <w:tc>
          <w:tcPr>
            <w:tcW w:type="dxa" w:w="2484"/>
            <w:vAlign w:val="center"/>
          </w:tcPr>
          <w:p>
            <w:r/>
            <w:r>
              <w:rPr>
                <w:b w:val="0"/>
                <w:sz w:val="18"/>
              </w:rPr>
              <w:t>July</w:t>
            </w:r>
          </w:p>
        </w:tc>
        <w:tc>
          <w:tcPr>
            <w:tcW w:type="dxa" w:w="2484"/>
            <w:vAlign w:val="center"/>
          </w:tcPr>
          <w:p>
            <w:r/>
            <w:r>
              <w:rPr>
                <w:b w:val="0"/>
                <w:sz w:val="18"/>
              </w:rPr>
              <w:t>$122.01</w:t>
            </w:r>
          </w:p>
        </w:tc>
        <w:tc>
          <w:tcPr>
            <w:tcW w:type="dxa" w:w="2484"/>
            <w:vAlign w:val="center"/>
          </w:tcPr>
          <w:p>
            <w:r/>
            <w:r>
              <w:rPr>
                <w:b w:val="0"/>
                <w:sz w:val="18"/>
              </w:rPr>
              <w:t>$633.14</w:t>
            </w:r>
          </w:p>
        </w:tc>
        <w:tc>
          <w:tcPr>
            <w:tcW w:type="dxa" w:w="2484"/>
            <w:vAlign w:val="center"/>
          </w:tcPr>
          <w:p>
            <w:r/>
            <w:r>
              <w:rPr>
                <w:b w:val="0"/>
                <w:sz w:val="18"/>
              </w:rPr>
              <w:t>0.8230</w:t>
            </w:r>
          </w:p>
        </w:tc>
      </w:tr>
      <w:tr>
        <w:tc>
          <w:tcPr>
            <w:tcW w:type="dxa" w:w="2484"/>
            <w:vAlign w:val="center"/>
          </w:tcPr>
          <w:p>
            <w:r/>
            <w:r>
              <w:rPr>
                <w:b w:val="0"/>
                <w:sz w:val="18"/>
              </w:rPr>
              <w:t>August</w:t>
            </w:r>
          </w:p>
        </w:tc>
        <w:tc>
          <w:tcPr>
            <w:tcW w:type="dxa" w:w="2484"/>
            <w:vAlign w:val="center"/>
          </w:tcPr>
          <w:p>
            <w:r/>
            <w:r>
              <w:rPr>
                <w:b w:val="0"/>
                <w:sz w:val="18"/>
              </w:rPr>
              <w:t>$95.37</w:t>
            </w:r>
          </w:p>
        </w:tc>
        <w:tc>
          <w:tcPr>
            <w:tcW w:type="dxa" w:w="2484"/>
            <w:vAlign w:val="center"/>
          </w:tcPr>
          <w:p>
            <w:r/>
            <w:r>
              <w:rPr>
                <w:b w:val="0"/>
                <w:sz w:val="18"/>
              </w:rPr>
              <w:t>$614.15</w:t>
            </w:r>
          </w:p>
        </w:tc>
        <w:tc>
          <w:tcPr>
            <w:tcW w:type="dxa" w:w="2484"/>
            <w:vAlign w:val="center"/>
          </w:tcPr>
          <w:p>
            <w:r/>
            <w:r>
              <w:rPr>
                <w:b w:val="0"/>
                <w:sz w:val="18"/>
              </w:rPr>
              <w:t>0.8266</w:t>
            </w:r>
          </w:p>
        </w:tc>
      </w:tr>
      <w:tr>
        <w:tc>
          <w:tcPr>
            <w:tcW w:type="dxa" w:w="2484"/>
            <w:vAlign w:val="center"/>
          </w:tcPr>
          <w:p>
            <w:r/>
            <w:r>
              <w:rPr>
                <w:b w:val="0"/>
                <w:sz w:val="18"/>
              </w:rPr>
              <w:t>September</w:t>
            </w:r>
          </w:p>
        </w:tc>
        <w:tc>
          <w:tcPr>
            <w:tcW w:type="dxa" w:w="2484"/>
            <w:vAlign w:val="center"/>
          </w:tcPr>
          <w:p>
            <w:r/>
            <w:r>
              <w:rPr>
                <w:b w:val="0"/>
                <w:sz w:val="18"/>
              </w:rPr>
              <w:t>$99.89</w:t>
            </w:r>
          </w:p>
        </w:tc>
        <w:tc>
          <w:tcPr>
            <w:tcW w:type="dxa" w:w="2484"/>
            <w:vAlign w:val="center"/>
          </w:tcPr>
          <w:p>
            <w:r/>
            <w:r>
              <w:rPr>
                <w:b w:val="0"/>
                <w:sz w:val="18"/>
              </w:rPr>
              <w:t>$614.06</w:t>
            </w:r>
          </w:p>
        </w:tc>
        <w:tc>
          <w:tcPr>
            <w:tcW w:type="dxa" w:w="2484"/>
            <w:vAlign w:val="center"/>
          </w:tcPr>
          <w:p>
            <w:r/>
            <w:r>
              <w:rPr>
                <w:b w:val="0"/>
                <w:sz w:val="18"/>
              </w:rPr>
              <w:t>0.8375</w:t>
            </w:r>
          </w:p>
        </w:tc>
      </w:tr>
      <w:tr>
        <w:tc>
          <w:tcPr>
            <w:tcW w:type="dxa" w:w="2484"/>
            <w:vAlign w:val="center"/>
          </w:tcPr>
          <w:p>
            <w:r/>
            <w:r>
              <w:rPr>
                <w:b w:val="0"/>
                <w:sz w:val="18"/>
              </w:rPr>
              <w:t>October</w:t>
            </w:r>
          </w:p>
        </w:tc>
        <w:tc>
          <w:tcPr>
            <w:tcW w:type="dxa" w:w="2484"/>
            <w:vAlign w:val="center"/>
          </w:tcPr>
          <w:p>
            <w:r/>
            <w:r>
              <w:rPr>
                <w:b w:val="0"/>
                <w:sz w:val="18"/>
              </w:rPr>
              <w:t>$103.75</w:t>
            </w:r>
          </w:p>
        </w:tc>
        <w:tc>
          <w:tcPr>
            <w:tcW w:type="dxa" w:w="2484"/>
            <w:vAlign w:val="center"/>
          </w:tcPr>
          <w:p>
            <w:r/>
            <w:r>
              <w:rPr>
                <w:b w:val="0"/>
                <w:sz w:val="18"/>
              </w:rPr>
              <w:t>$648.45</w:t>
            </w:r>
          </w:p>
        </w:tc>
        <w:tc>
          <w:tcPr>
            <w:tcW w:type="dxa" w:w="2484"/>
            <w:vAlign w:val="center"/>
          </w:tcPr>
          <w:p>
            <w:r/>
            <w:r>
              <w:rPr>
                <w:b w:val="0"/>
                <w:sz w:val="18"/>
              </w:rPr>
              <w:t>0.8200</w:t>
            </w:r>
          </w:p>
        </w:tc>
      </w:tr>
      <w:tr>
        <w:tc>
          <w:tcPr>
            <w:tcW w:type="dxa" w:w="2484"/>
            <w:vAlign w:val="center"/>
          </w:tcPr>
          <w:p>
            <w:r/>
            <w:r>
              <w:rPr>
                <w:b w:val="0"/>
                <w:sz w:val="18"/>
              </w:rPr>
              <w:t>Average</w:t>
            </w:r>
          </w:p>
        </w:tc>
        <w:tc>
          <w:tcPr>
            <w:tcW w:type="dxa" w:w="2484"/>
            <w:vAlign w:val="center"/>
          </w:tcPr>
          <w:p>
            <w:r/>
            <w:r>
              <w:rPr>
                <w:b w:val="0"/>
                <w:sz w:val="18"/>
              </w:rPr>
              <w:t>$105.25</w:t>
            </w:r>
          </w:p>
        </w:tc>
        <w:tc>
          <w:tcPr>
            <w:tcW w:type="dxa" w:w="2484"/>
            <w:vAlign w:val="center"/>
          </w:tcPr>
          <w:p>
            <w:r/>
            <w:r>
              <w:rPr>
                <w:b w:val="0"/>
                <w:sz w:val="18"/>
              </w:rPr>
              <w:t>$627.45</w:t>
            </w:r>
          </w:p>
        </w:tc>
        <w:tc>
          <w:tcPr>
            <w:tcW w:type="dxa" w:w="2484"/>
            <w:vAlign w:val="center"/>
          </w:tcPr>
          <w:p>
            <w:r/>
            <w:r>
              <w:rPr>
                <w:b w:val="0"/>
                <w:sz w:val="18"/>
              </w:rPr>
              <w:t>0.8268</w:t>
            </w:r>
          </w:p>
        </w:tc>
      </w:tr>
    </w:tbl>
    <w:p>
      <w:pPr>
        <w:spacing w:line="259" w:lineRule="auto"/>
      </w:pPr>
    </w:p>
    <w:p>
      <w:pPr>
        <w:spacing w:line="259" w:lineRule="auto"/>
      </w:pPr>
      <w:r>
        <w:t>The rolling validation results were reasonably stable across months, supporting the use of the selected model for the later validation period.</w:t>
      </w:r>
    </w:p>
    <w:p>
      <w:pPr>
        <w:pStyle w:val="Heading1"/>
        <w:spacing w:before="240" w:after="120" w:line="259" w:lineRule="auto"/>
      </w:pPr>
      <w:r>
        <w:t>7. Feature Engineering</w:t>
      </w:r>
    </w:p>
    <w:p>
      <w:pPr>
        <w:spacing w:line="259" w:lineRule="auto"/>
      </w:pPr>
      <w:r>
        <w:t>Multiple feature configurations were evaluated. Experiments included raw shipment and geographic features, date-derived features, log-transformed distance, market index, quote signal, and equipment information.</w:t>
      </w:r>
    </w:p>
    <w:p>
      <w:pPr>
        <w:spacing w:line="259" w:lineRule="auto"/>
      </w:pPr>
      <w:r>
        <w:t>An important finding was that additional date and market-signal features did not consistently improve out-of-time performance. The final model therefore emphasizes the feature set that provided the strongest and most stable validation performance.</w:t>
      </w:r>
    </w:p>
    <w:p>
      <w:pPr>
        <w:pStyle w:val="Heading2"/>
        <w:spacing w:before="240" w:after="120" w:line="259" w:lineRule="auto"/>
      </w:pPr>
      <w:r>
        <w:t>Final Feature Groups</w:t>
      </w:r>
    </w:p>
    <w:p>
      <w:pPr>
        <w:pStyle w:val="ListBullet"/>
        <w:spacing w:after="60" w:line="259" w:lineRule="auto"/>
      </w:pPr>
      <w:r>
        <w:t>distance</w:t>
      </w:r>
    </w:p>
    <w:p>
      <w:pPr>
        <w:pStyle w:val="ListBullet"/>
        <w:spacing w:after="60" w:line="259" w:lineRule="auto"/>
      </w:pPr>
      <w:r>
        <w:t>weight</w:t>
      </w:r>
    </w:p>
    <w:p>
      <w:pPr>
        <w:pStyle w:val="ListBullet"/>
        <w:spacing w:after="60" w:line="259" w:lineRule="auto"/>
      </w:pPr>
      <w:r>
        <w:t>pickup latitude / longitude</w:t>
      </w:r>
    </w:p>
    <w:p>
      <w:pPr>
        <w:pStyle w:val="ListBullet"/>
        <w:spacing w:after="60" w:line="259" w:lineRule="auto"/>
      </w:pPr>
      <w:r>
        <w:t>delivery latitude / longitude</w:t>
      </w:r>
    </w:p>
    <w:p>
      <w:pPr>
        <w:pStyle w:val="ListBullet"/>
        <w:spacing w:after="60" w:line="259" w:lineRule="auto"/>
      </w:pPr>
      <w:r>
        <w:t>pickup location</w:t>
      </w:r>
    </w:p>
    <w:p>
      <w:pPr>
        <w:pStyle w:val="ListBullet"/>
        <w:spacing w:after="60" w:line="259" w:lineRule="auto"/>
      </w:pPr>
      <w:r>
        <w:t>delivery location</w:t>
      </w:r>
    </w:p>
    <w:p>
      <w:pPr>
        <w:pStyle w:val="ListBullet"/>
        <w:spacing w:after="60" w:line="259" w:lineRule="auto"/>
      </w:pPr>
      <w:r>
        <w:t>equipment</w:t>
      </w:r>
    </w:p>
    <w:p>
      <w:pPr>
        <w:pStyle w:val="Heading1"/>
        <w:spacing w:before="240" w:after="120" w:line="259" w:lineRule="auto"/>
      </w:pPr>
      <w:r>
        <w:t>8. Model Comparison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Model</w:t>
            </w:r>
          </w:p>
        </w:tc>
        <w:tc>
          <w:tcPr>
            <w:tcW w:type="dxa" w:w="2484"/>
            <w:vAlign w:val="center"/>
            <w:shd w:fill="D9EAF7"/>
          </w:tcPr>
          <w:p>
            <w:r/>
            <w:r>
              <w:rPr>
                <w:b/>
                <w:sz w:val="18"/>
              </w:rPr>
              <w:t>MAE</w:t>
            </w:r>
          </w:p>
        </w:tc>
        <w:tc>
          <w:tcPr>
            <w:tcW w:type="dxa" w:w="2484"/>
            <w:vAlign w:val="center"/>
            <w:shd w:fill="D9EAF7"/>
          </w:tcPr>
          <w:p>
            <w:r/>
            <w:r>
              <w:rPr>
                <w:b/>
                <w:sz w:val="18"/>
              </w:rPr>
              <w:t>RMSE</w:t>
            </w:r>
          </w:p>
        </w:tc>
        <w:tc>
          <w:tcPr>
            <w:tcW w:type="dxa" w:w="2484"/>
            <w:vAlign w:val="center"/>
            <w:shd w:fill="D9EAF7"/>
          </w:tcPr>
          <w:p>
            <w:r/>
            <w:r>
              <w:rPr>
                <w:b/>
                <w:sz w:val="18"/>
              </w:rPr>
              <w:t>R²</w:t>
            </w:r>
          </w:p>
        </w:tc>
      </w:tr>
      <w:tr>
        <w:tc>
          <w:tcPr>
            <w:tcW w:type="dxa" w:w="2484"/>
            <w:vAlign w:val="center"/>
          </w:tcPr>
          <w:p>
            <w:r/>
            <w:r>
              <w:rPr>
                <w:b w:val="0"/>
                <w:sz w:val="18"/>
              </w:rPr>
              <w:t>HistGradientBoosting</w:t>
            </w:r>
          </w:p>
        </w:tc>
        <w:tc>
          <w:tcPr>
            <w:tcW w:type="dxa" w:w="2484"/>
            <w:vAlign w:val="center"/>
          </w:tcPr>
          <w:p>
            <w:r/>
            <w:r>
              <w:rPr>
                <w:b w:val="0"/>
                <w:sz w:val="18"/>
              </w:rPr>
              <w:t>$127.34</w:t>
            </w:r>
          </w:p>
        </w:tc>
        <w:tc>
          <w:tcPr>
            <w:tcW w:type="dxa" w:w="2484"/>
            <w:vAlign w:val="center"/>
          </w:tcPr>
          <w:p>
            <w:r/>
            <w:r>
              <w:rPr>
                <w:b w:val="0"/>
                <w:sz w:val="18"/>
              </w:rPr>
              <w:t>$650.67</w:t>
            </w:r>
          </w:p>
        </w:tc>
        <w:tc>
          <w:tcPr>
            <w:tcW w:type="dxa" w:w="2484"/>
            <w:vAlign w:val="center"/>
          </w:tcPr>
          <w:p>
            <w:r/>
            <w:r>
              <w:rPr>
                <w:b w:val="0"/>
                <w:sz w:val="18"/>
              </w:rPr>
              <w:t>0.8188</w:t>
            </w:r>
          </w:p>
        </w:tc>
      </w:tr>
      <w:tr>
        <w:tc>
          <w:tcPr>
            <w:tcW w:type="dxa" w:w="2484"/>
            <w:vAlign w:val="center"/>
          </w:tcPr>
          <w:p>
            <w:r/>
            <w:r>
              <w:rPr>
                <w:b w:val="0"/>
                <w:sz w:val="18"/>
              </w:rPr>
              <w:t>ExtraTrees</w:t>
            </w:r>
          </w:p>
        </w:tc>
        <w:tc>
          <w:tcPr>
            <w:tcW w:type="dxa" w:w="2484"/>
            <w:vAlign w:val="center"/>
          </w:tcPr>
          <w:p>
            <w:r/>
            <w:r>
              <w:rPr>
                <w:b w:val="0"/>
                <w:sz w:val="18"/>
              </w:rPr>
              <w:t>$158.43</w:t>
            </w:r>
          </w:p>
        </w:tc>
        <w:tc>
          <w:tcPr>
            <w:tcW w:type="dxa" w:w="2484"/>
            <w:vAlign w:val="center"/>
          </w:tcPr>
          <w:p>
            <w:r/>
            <w:r>
              <w:rPr>
                <w:b w:val="0"/>
                <w:sz w:val="18"/>
              </w:rPr>
              <w:t>$705.20</w:t>
            </w:r>
          </w:p>
        </w:tc>
        <w:tc>
          <w:tcPr>
            <w:tcW w:type="dxa" w:w="2484"/>
            <w:vAlign w:val="center"/>
          </w:tcPr>
          <w:p>
            <w:r/>
            <w:r>
              <w:rPr>
                <w:b w:val="0"/>
                <w:sz w:val="18"/>
              </w:rPr>
              <w:t>0.7872</w:t>
            </w:r>
          </w:p>
        </w:tc>
      </w:tr>
      <w:tr>
        <w:tc>
          <w:tcPr>
            <w:tcW w:type="dxa" w:w="2484"/>
            <w:vAlign w:val="center"/>
          </w:tcPr>
          <w:p>
            <w:r/>
            <w:r>
              <w:rPr>
                <w:b w:val="0"/>
                <w:sz w:val="18"/>
              </w:rPr>
              <w:t>RandomForest</w:t>
            </w:r>
          </w:p>
        </w:tc>
        <w:tc>
          <w:tcPr>
            <w:tcW w:type="dxa" w:w="2484"/>
            <w:vAlign w:val="center"/>
          </w:tcPr>
          <w:p>
            <w:r/>
            <w:r>
              <w:rPr>
                <w:b w:val="0"/>
                <w:sz w:val="18"/>
              </w:rPr>
              <w:t>$150.09</w:t>
            </w:r>
          </w:p>
        </w:tc>
        <w:tc>
          <w:tcPr>
            <w:tcW w:type="dxa" w:w="2484"/>
            <w:vAlign w:val="center"/>
          </w:tcPr>
          <w:p>
            <w:r/>
            <w:r>
              <w:rPr>
                <w:b w:val="0"/>
                <w:sz w:val="18"/>
              </w:rPr>
              <w:t>$674.67</w:t>
            </w:r>
          </w:p>
        </w:tc>
        <w:tc>
          <w:tcPr>
            <w:tcW w:type="dxa" w:w="2484"/>
            <w:vAlign w:val="center"/>
          </w:tcPr>
          <w:p>
            <w:r/>
            <w:r>
              <w:rPr>
                <w:b w:val="0"/>
                <w:sz w:val="18"/>
              </w:rPr>
              <w:t>0.8052</w:t>
            </w:r>
          </w:p>
        </w:tc>
      </w:tr>
      <w:tr>
        <w:tc>
          <w:tcPr>
            <w:tcW w:type="dxa" w:w="2484"/>
            <w:vAlign w:val="center"/>
          </w:tcPr>
          <w:p>
            <w:r/>
            <w:r>
              <w:rPr>
                <w:b w:val="0"/>
                <w:sz w:val="18"/>
              </w:rPr>
              <w:t>GradientBoosting</w:t>
            </w:r>
          </w:p>
        </w:tc>
        <w:tc>
          <w:tcPr>
            <w:tcW w:type="dxa" w:w="2484"/>
            <w:vAlign w:val="center"/>
          </w:tcPr>
          <w:p>
            <w:r/>
            <w:r>
              <w:rPr>
                <w:b w:val="0"/>
                <w:sz w:val="18"/>
              </w:rPr>
              <w:t>$106.38</w:t>
            </w:r>
          </w:p>
        </w:tc>
        <w:tc>
          <w:tcPr>
            <w:tcW w:type="dxa" w:w="2484"/>
            <w:vAlign w:val="center"/>
          </w:tcPr>
          <w:p>
            <w:r/>
            <w:r>
              <w:rPr>
                <w:b w:val="0"/>
                <w:sz w:val="18"/>
              </w:rPr>
              <w:t>$649.09</w:t>
            </w:r>
          </w:p>
        </w:tc>
        <w:tc>
          <w:tcPr>
            <w:tcW w:type="dxa" w:w="2484"/>
            <w:vAlign w:val="center"/>
          </w:tcPr>
          <w:p>
            <w:r/>
            <w:r>
              <w:rPr>
                <w:b w:val="0"/>
                <w:sz w:val="18"/>
              </w:rPr>
              <w:t>0.8197</w:t>
            </w:r>
          </w:p>
        </w:tc>
      </w:tr>
    </w:tbl>
    <w:p>
      <w:pPr>
        <w:spacing w:line="259" w:lineRule="auto"/>
      </w:pPr>
    </w:p>
    <w:p>
      <w:pPr>
        <w:spacing w:line="259" w:lineRule="auto"/>
      </w:pPr>
      <w:r>
        <w:t>Gradient Boosting provided the strongest overall validation performance and was selected for hyperparameter tuning.</w:t>
      </w:r>
    </w:p>
    <w:p>
      <w:pPr>
        <w:pStyle w:val="Heading1"/>
        <w:spacing w:before="240" w:after="120" w:line="259" w:lineRule="auto"/>
      </w:pPr>
      <w:r>
        <w:t>9. Hyperparameter Tuning</w:t>
      </w:r>
    </w:p>
    <w:p>
      <w:pPr>
        <w:spacing w:line="259" w:lineRule="auto"/>
      </w:pPr>
      <w:r>
        <w:t>Gradient Boosting was tuned across the number of estimators, learning rate, tree depth, minimum leaf size, and subsampling fraction.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Configuration</w:t>
            </w:r>
          </w:p>
        </w:tc>
        <w:tc>
          <w:tcPr>
            <w:tcW w:type="dxa" w:w="2484"/>
            <w:vAlign w:val="center"/>
            <w:shd w:fill="D9EAF7"/>
          </w:tcPr>
          <w:p>
            <w:r/>
            <w:r>
              <w:rPr>
                <w:b/>
                <w:sz w:val="18"/>
              </w:rPr>
              <w:t>MAE</w:t>
            </w:r>
          </w:p>
        </w:tc>
        <w:tc>
          <w:tcPr>
            <w:tcW w:type="dxa" w:w="2484"/>
            <w:vAlign w:val="center"/>
            <w:shd w:fill="D9EAF7"/>
          </w:tcPr>
          <w:p>
            <w:r/>
            <w:r>
              <w:rPr>
                <w:b/>
                <w:sz w:val="18"/>
              </w:rPr>
              <w:t>RMSE</w:t>
            </w:r>
          </w:p>
        </w:tc>
        <w:tc>
          <w:tcPr>
            <w:tcW w:type="dxa" w:w="2484"/>
            <w:vAlign w:val="center"/>
            <w:shd w:fill="D9EAF7"/>
          </w:tcPr>
          <w:p>
            <w:r/>
            <w:r>
              <w:rPr>
                <w:b/>
                <w:sz w:val="18"/>
              </w:rPr>
              <w:t>R²</w:t>
            </w:r>
          </w:p>
        </w:tc>
      </w:tr>
      <w:tr>
        <w:tc>
          <w:tcPr>
            <w:tcW w:type="dxa" w:w="2484"/>
            <w:vAlign w:val="center"/>
          </w:tcPr>
          <w:p>
            <w:r/>
            <w:r>
              <w:rPr>
                <w:b w:val="0"/>
                <w:sz w:val="18"/>
              </w:rPr>
              <w:t>300 estimators, depth 3</w:t>
            </w:r>
          </w:p>
        </w:tc>
        <w:tc>
          <w:tcPr>
            <w:tcW w:type="dxa" w:w="2484"/>
            <w:vAlign w:val="center"/>
          </w:tcPr>
          <w:p>
            <w:r/>
            <w:r>
              <w:rPr>
                <w:b w:val="0"/>
                <w:sz w:val="18"/>
              </w:rPr>
              <w:t>$106.38</w:t>
            </w:r>
          </w:p>
        </w:tc>
        <w:tc>
          <w:tcPr>
            <w:tcW w:type="dxa" w:w="2484"/>
            <w:vAlign w:val="center"/>
          </w:tcPr>
          <w:p>
            <w:r/>
            <w:r>
              <w:rPr>
                <w:b w:val="0"/>
                <w:sz w:val="18"/>
              </w:rPr>
              <w:t>$649.09</w:t>
            </w:r>
          </w:p>
        </w:tc>
        <w:tc>
          <w:tcPr>
            <w:tcW w:type="dxa" w:w="2484"/>
            <w:vAlign w:val="center"/>
          </w:tcPr>
          <w:p>
            <w:r/>
            <w:r>
              <w:rPr>
                <w:b w:val="0"/>
                <w:sz w:val="18"/>
              </w:rPr>
              <w:t>0.8197</w:t>
            </w:r>
          </w:p>
        </w:tc>
      </w:tr>
      <w:tr>
        <w:tc>
          <w:tcPr>
            <w:tcW w:type="dxa" w:w="2484"/>
            <w:vAlign w:val="center"/>
          </w:tcPr>
          <w:p>
            <w:r/>
            <w:r>
              <w:rPr>
                <w:b w:val="0"/>
                <w:sz w:val="18"/>
              </w:rPr>
              <w:t>500 estimators, depth 3, leaf 3</w:t>
            </w:r>
          </w:p>
        </w:tc>
        <w:tc>
          <w:tcPr>
            <w:tcW w:type="dxa" w:w="2484"/>
            <w:vAlign w:val="center"/>
          </w:tcPr>
          <w:p>
            <w:r/>
            <w:r>
              <w:rPr>
                <w:b w:val="0"/>
                <w:sz w:val="18"/>
              </w:rPr>
              <w:t>$104.95</w:t>
            </w:r>
          </w:p>
        </w:tc>
        <w:tc>
          <w:tcPr>
            <w:tcW w:type="dxa" w:w="2484"/>
            <w:vAlign w:val="center"/>
          </w:tcPr>
          <w:p>
            <w:r/>
            <w:r>
              <w:rPr>
                <w:b w:val="0"/>
                <w:sz w:val="18"/>
              </w:rPr>
              <w:t>$648.67</w:t>
            </w:r>
          </w:p>
        </w:tc>
        <w:tc>
          <w:tcPr>
            <w:tcW w:type="dxa" w:w="2484"/>
            <w:vAlign w:val="center"/>
          </w:tcPr>
          <w:p>
            <w:r/>
            <w:r>
              <w:rPr>
                <w:b w:val="0"/>
                <w:sz w:val="18"/>
              </w:rPr>
              <w:t>0.8199</w:t>
            </w:r>
          </w:p>
        </w:tc>
      </w:tr>
      <w:tr>
        <w:tc>
          <w:tcPr>
            <w:tcW w:type="dxa" w:w="2484"/>
            <w:vAlign w:val="center"/>
          </w:tcPr>
          <w:p>
            <w:r/>
            <w:r>
              <w:rPr>
                <w:b w:val="0"/>
                <w:sz w:val="18"/>
              </w:rPr>
              <w:t>500 estimators, depth 4, leaf 3</w:t>
            </w:r>
          </w:p>
        </w:tc>
        <w:tc>
          <w:tcPr>
            <w:tcW w:type="dxa" w:w="2484"/>
            <w:vAlign w:val="center"/>
          </w:tcPr>
          <w:p>
            <w:r/>
            <w:r>
              <w:rPr>
                <w:b w:val="0"/>
                <w:sz w:val="18"/>
              </w:rPr>
              <w:t>$103.90</w:t>
            </w:r>
          </w:p>
        </w:tc>
        <w:tc>
          <w:tcPr>
            <w:tcW w:type="dxa" w:w="2484"/>
            <w:vAlign w:val="center"/>
          </w:tcPr>
          <w:p>
            <w:r/>
            <w:r>
              <w:rPr>
                <w:b w:val="0"/>
                <w:sz w:val="18"/>
              </w:rPr>
              <w:t>$648.71</w:t>
            </w:r>
          </w:p>
        </w:tc>
        <w:tc>
          <w:tcPr>
            <w:tcW w:type="dxa" w:w="2484"/>
            <w:vAlign w:val="center"/>
          </w:tcPr>
          <w:p>
            <w:r/>
            <w:r>
              <w:rPr>
                <w:b w:val="0"/>
                <w:sz w:val="18"/>
              </w:rPr>
              <w:t>0.8199</w:t>
            </w:r>
          </w:p>
        </w:tc>
      </w:tr>
      <w:tr>
        <w:tc>
          <w:tcPr>
            <w:tcW w:type="dxa" w:w="2484"/>
            <w:vAlign w:val="center"/>
          </w:tcPr>
          <w:p>
            <w:r/>
            <w:r>
              <w:rPr>
                <w:b w:val="0"/>
                <w:sz w:val="18"/>
              </w:rPr>
              <w:t>700 estimators, depth 4, subsample 0.8</w:t>
            </w:r>
          </w:p>
        </w:tc>
        <w:tc>
          <w:tcPr>
            <w:tcW w:type="dxa" w:w="2484"/>
            <w:vAlign w:val="center"/>
          </w:tcPr>
          <w:p>
            <w:r/>
            <w:r>
              <w:rPr>
                <w:b w:val="0"/>
                <w:sz w:val="18"/>
              </w:rPr>
              <w:t>$103.75</w:t>
            </w:r>
          </w:p>
        </w:tc>
        <w:tc>
          <w:tcPr>
            <w:tcW w:type="dxa" w:w="2484"/>
            <w:vAlign w:val="center"/>
          </w:tcPr>
          <w:p>
            <w:r/>
            <w:r>
              <w:rPr>
                <w:b w:val="0"/>
                <w:sz w:val="18"/>
              </w:rPr>
              <w:t>$648.45</w:t>
            </w:r>
          </w:p>
        </w:tc>
        <w:tc>
          <w:tcPr>
            <w:tcW w:type="dxa" w:w="2484"/>
            <w:vAlign w:val="center"/>
          </w:tcPr>
          <w:p>
            <w:r/>
            <w:r>
              <w:rPr>
                <w:b w:val="0"/>
                <w:sz w:val="18"/>
              </w:rPr>
              <w:t>0.8200</w:t>
            </w:r>
          </w:p>
        </w:tc>
      </w:tr>
    </w:tbl>
    <w:p>
      <w:pPr>
        <w:spacing w:line="259" w:lineRule="auto"/>
      </w:pPr>
    </w:p>
    <w:p>
      <w:pPr>
        <w:pStyle w:val="Heading2"/>
        <w:spacing w:before="240" w:after="120" w:line="259" w:lineRule="auto"/>
      </w:pPr>
      <w:r>
        <w:t>Selected Configuration</w:t>
      </w:r>
    </w:p>
    <w:p>
      <w:pPr>
        <w:spacing w:after="120" w:line="259" w:lineRule="auto"/>
        <w:ind w:left="360"/>
      </w:pPr>
      <w:r>
        <w:rPr>
          <w:rFonts w:ascii="Consolas" w:hAnsi="Consolas"/>
          <w:sz w:val="18"/>
        </w:rPr>
        <w:t>GradientBoostingRegressor(</w:t>
        <w:br/>
        <w:t xml:space="preserve">    n_estimators=700,</w:t>
        <w:br/>
        <w:t xml:space="preserve">    learning_rate=0.03,</w:t>
        <w:br/>
        <w:t xml:space="preserve">    max_depth=4,</w:t>
        <w:br/>
        <w:t xml:space="preserve">    min_samples_leaf=3,</w:t>
        <w:br/>
        <w:t xml:space="preserve">    subsample=0.8,</w:t>
        <w:br/>
        <w:t xml:space="preserve">    loss="huber",</w:t>
        <w:br/>
        <w:t xml:space="preserve">    random_state=42</w:t>
        <w:br/>
        <w:t>)</w:t>
      </w:r>
    </w:p>
    <w:p>
      <w:pPr>
        <w:pStyle w:val="Heading1"/>
        <w:spacing w:before="240" w:after="120" w:line="259" w:lineRule="auto"/>
      </w:pPr>
      <w:r>
        <w:t>10. Loss Function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Loss Function</w:t>
            </w:r>
          </w:p>
        </w:tc>
        <w:tc>
          <w:tcPr>
            <w:tcW w:type="dxa" w:w="2484"/>
            <w:vAlign w:val="center"/>
            <w:shd w:fill="D9EAF7"/>
          </w:tcPr>
          <w:p>
            <w:r/>
            <w:r>
              <w:rPr>
                <w:b/>
                <w:sz w:val="18"/>
              </w:rPr>
              <w:t>MAE</w:t>
            </w:r>
          </w:p>
        </w:tc>
        <w:tc>
          <w:tcPr>
            <w:tcW w:type="dxa" w:w="2484"/>
            <w:vAlign w:val="center"/>
            <w:shd w:fill="D9EAF7"/>
          </w:tcPr>
          <w:p>
            <w:r/>
            <w:r>
              <w:rPr>
                <w:b/>
                <w:sz w:val="18"/>
              </w:rPr>
              <w:t>RMSE</w:t>
            </w:r>
          </w:p>
        </w:tc>
        <w:tc>
          <w:tcPr>
            <w:tcW w:type="dxa" w:w="2484"/>
            <w:vAlign w:val="center"/>
            <w:shd w:fill="D9EAF7"/>
          </w:tcPr>
          <w:p>
            <w:r/>
            <w:r>
              <w:rPr>
                <w:b/>
                <w:sz w:val="18"/>
              </w:rPr>
              <w:t>R²</w:t>
            </w:r>
          </w:p>
        </w:tc>
      </w:tr>
      <w:tr>
        <w:tc>
          <w:tcPr>
            <w:tcW w:type="dxa" w:w="2484"/>
            <w:vAlign w:val="center"/>
          </w:tcPr>
          <w:p>
            <w:r/>
            <w:r>
              <w:rPr>
                <w:b w:val="0"/>
                <w:sz w:val="18"/>
              </w:rPr>
              <w:t>Huber</w:t>
            </w:r>
          </w:p>
        </w:tc>
        <w:tc>
          <w:tcPr>
            <w:tcW w:type="dxa" w:w="2484"/>
            <w:vAlign w:val="center"/>
          </w:tcPr>
          <w:p>
            <w:r/>
            <w:r>
              <w:rPr>
                <w:b w:val="0"/>
                <w:sz w:val="18"/>
              </w:rPr>
              <w:t>$103.75</w:t>
            </w:r>
          </w:p>
        </w:tc>
        <w:tc>
          <w:tcPr>
            <w:tcW w:type="dxa" w:w="2484"/>
            <w:vAlign w:val="center"/>
          </w:tcPr>
          <w:p>
            <w:r/>
            <w:r>
              <w:rPr>
                <w:b w:val="0"/>
                <w:sz w:val="18"/>
              </w:rPr>
              <w:t>$648.45</w:t>
            </w:r>
          </w:p>
        </w:tc>
        <w:tc>
          <w:tcPr>
            <w:tcW w:type="dxa" w:w="2484"/>
            <w:vAlign w:val="center"/>
          </w:tcPr>
          <w:p>
            <w:r/>
            <w:r>
              <w:rPr>
                <w:b w:val="0"/>
                <w:sz w:val="18"/>
              </w:rPr>
              <w:t>0.8200</w:t>
            </w:r>
          </w:p>
        </w:tc>
      </w:tr>
      <w:tr>
        <w:tc>
          <w:tcPr>
            <w:tcW w:type="dxa" w:w="2484"/>
            <w:vAlign w:val="center"/>
          </w:tcPr>
          <w:p>
            <w:r/>
            <w:r>
              <w:rPr>
                <w:b w:val="0"/>
                <w:sz w:val="18"/>
              </w:rPr>
              <w:t>Squared Error</w:t>
            </w:r>
          </w:p>
        </w:tc>
        <w:tc>
          <w:tcPr>
            <w:tcW w:type="dxa" w:w="2484"/>
            <w:vAlign w:val="center"/>
          </w:tcPr>
          <w:p>
            <w:r/>
            <w:r>
              <w:rPr>
                <w:b w:val="0"/>
                <w:sz w:val="18"/>
              </w:rPr>
              <w:t>$122.65</w:t>
            </w:r>
          </w:p>
        </w:tc>
        <w:tc>
          <w:tcPr>
            <w:tcW w:type="dxa" w:w="2484"/>
            <w:vAlign w:val="center"/>
          </w:tcPr>
          <w:p>
            <w:r/>
            <w:r>
              <w:rPr>
                <w:b w:val="0"/>
                <w:sz w:val="18"/>
              </w:rPr>
              <w:t>$654.57</w:t>
            </w:r>
          </w:p>
        </w:tc>
        <w:tc>
          <w:tcPr>
            <w:tcW w:type="dxa" w:w="2484"/>
            <w:vAlign w:val="center"/>
          </w:tcPr>
          <w:p>
            <w:r/>
            <w:r>
              <w:rPr>
                <w:b w:val="0"/>
                <w:sz w:val="18"/>
              </w:rPr>
              <w:t>0.8166</w:t>
            </w:r>
          </w:p>
        </w:tc>
      </w:tr>
      <w:tr>
        <w:tc>
          <w:tcPr>
            <w:tcW w:type="dxa" w:w="2484"/>
            <w:vAlign w:val="center"/>
          </w:tcPr>
          <w:p>
            <w:r/>
            <w:r>
              <w:rPr>
                <w:b w:val="0"/>
                <w:sz w:val="18"/>
              </w:rPr>
              <w:t>Absolute Error</w:t>
            </w:r>
          </w:p>
        </w:tc>
        <w:tc>
          <w:tcPr>
            <w:tcW w:type="dxa" w:w="2484"/>
            <w:vAlign w:val="center"/>
          </w:tcPr>
          <w:p>
            <w:r/>
            <w:r>
              <w:rPr>
                <w:b w:val="0"/>
                <w:sz w:val="18"/>
              </w:rPr>
              <w:t>$104.56</w:t>
            </w:r>
          </w:p>
        </w:tc>
        <w:tc>
          <w:tcPr>
            <w:tcW w:type="dxa" w:w="2484"/>
            <w:vAlign w:val="center"/>
          </w:tcPr>
          <w:p>
            <w:r/>
            <w:r>
              <w:rPr>
                <w:b w:val="0"/>
                <w:sz w:val="18"/>
              </w:rPr>
              <w:t>$648.45</w:t>
            </w:r>
          </w:p>
        </w:tc>
        <w:tc>
          <w:tcPr>
            <w:tcW w:type="dxa" w:w="2484"/>
            <w:vAlign w:val="center"/>
          </w:tcPr>
          <w:p>
            <w:r/>
            <w:r>
              <w:rPr>
                <w:b w:val="0"/>
                <w:sz w:val="18"/>
              </w:rPr>
              <w:t>0.8200</w:t>
            </w:r>
          </w:p>
        </w:tc>
      </w:tr>
    </w:tbl>
    <w:p>
      <w:pPr>
        <w:spacing w:line="259" w:lineRule="auto"/>
      </w:pPr>
    </w:p>
    <w:p>
      <w:pPr>
        <w:spacing w:line="259" w:lineRule="auto"/>
      </w:pPr>
      <w:r>
        <w:t>Huber loss was selected because it produced the best MAE while maintaining strong RMSE and R² performance. Its robustness is particularly useful for a dataset containing a small number of extreme target values.</w:t>
      </w:r>
    </w:p>
    <w:p>
      <w:pPr>
        <w:pStyle w:val="Heading1"/>
        <w:spacing w:before="240" w:after="120" w:line="259" w:lineRule="auto"/>
      </w:pPr>
      <w:r>
        <w:t>11. Error and High-Rate Analysis</w:t>
      </w:r>
    </w:p>
    <w:p>
      <w:pPr>
        <w:spacing w:line="259" w:lineRule="auto"/>
      </w:pPr>
      <w:r>
        <w:t>The majority of predictions were relatively accurate, but a small number of extreme observations generated disproportionately large errors.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Absolute Error Threshold</w:t>
            </w:r>
          </w:p>
        </w:tc>
        <w:tc>
          <w:tcPr>
            <w:tcW w:type="dxa" w:w="4968"/>
            <w:vAlign w:val="center"/>
            <w:shd w:fill="D9EAF7"/>
          </w:tcPr>
          <w:p>
            <w:r/>
            <w:r>
              <w:rPr>
                <w:b/>
                <w:sz w:val="18"/>
              </w:rPr>
              <w:t>Number of October Loads</w:t>
            </w:r>
          </w:p>
        </w:tc>
      </w:tr>
      <w:tr>
        <w:tc>
          <w:tcPr>
            <w:tcW w:type="dxa" w:w="4968"/>
            <w:vAlign w:val="center"/>
          </w:tcPr>
          <w:p>
            <w:r/>
            <w:r>
              <w:rPr>
                <w:b w:val="0"/>
                <w:sz w:val="18"/>
              </w:rPr>
              <w:t>&gt; $100</w:t>
            </w:r>
          </w:p>
        </w:tc>
        <w:tc>
          <w:tcPr>
            <w:tcW w:type="dxa" w:w="4968"/>
            <w:vAlign w:val="center"/>
          </w:tcPr>
          <w:p>
            <w:r/>
            <w:r>
              <w:rPr>
                <w:b w:val="0"/>
                <w:sz w:val="18"/>
              </w:rPr>
              <w:t>955</w:t>
            </w:r>
          </w:p>
        </w:tc>
      </w:tr>
      <w:tr>
        <w:tc>
          <w:tcPr>
            <w:tcW w:type="dxa" w:w="4968"/>
            <w:vAlign w:val="center"/>
          </w:tcPr>
          <w:p>
            <w:r/>
            <w:r>
              <w:rPr>
                <w:b w:val="0"/>
                <w:sz w:val="18"/>
              </w:rPr>
              <w:t>&gt; $250</w:t>
            </w:r>
          </w:p>
        </w:tc>
        <w:tc>
          <w:tcPr>
            <w:tcW w:type="dxa" w:w="4968"/>
            <w:vAlign w:val="center"/>
          </w:tcPr>
          <w:p>
            <w:r/>
            <w:r>
              <w:rPr>
                <w:b w:val="0"/>
                <w:sz w:val="18"/>
              </w:rPr>
              <w:t>195</w:t>
            </w:r>
          </w:p>
        </w:tc>
      </w:tr>
      <w:tr>
        <w:tc>
          <w:tcPr>
            <w:tcW w:type="dxa" w:w="4968"/>
            <w:vAlign w:val="center"/>
          </w:tcPr>
          <w:p>
            <w:r/>
            <w:r>
              <w:rPr>
                <w:b w:val="0"/>
                <w:sz w:val="18"/>
              </w:rPr>
              <w:t>&gt; $500</w:t>
            </w:r>
          </w:p>
        </w:tc>
        <w:tc>
          <w:tcPr>
            <w:tcW w:type="dxa" w:w="4968"/>
            <w:vAlign w:val="center"/>
          </w:tcPr>
          <w:p>
            <w:r/>
            <w:r>
              <w:rPr>
                <w:b w:val="0"/>
                <w:sz w:val="18"/>
              </w:rPr>
              <w:t>96</w:t>
            </w:r>
          </w:p>
        </w:tc>
      </w:tr>
      <w:tr>
        <w:tc>
          <w:tcPr>
            <w:tcW w:type="dxa" w:w="4968"/>
            <w:vAlign w:val="center"/>
          </w:tcPr>
          <w:p>
            <w:r/>
            <w:r>
              <w:rPr>
                <w:b w:val="0"/>
                <w:sz w:val="18"/>
              </w:rPr>
              <w:t>&gt; $1,000</w:t>
            </w:r>
          </w:p>
        </w:tc>
        <w:tc>
          <w:tcPr>
            <w:tcW w:type="dxa" w:w="4968"/>
            <w:vAlign w:val="center"/>
          </w:tcPr>
          <w:p>
            <w:r/>
            <w:r>
              <w:rPr>
                <w:b w:val="0"/>
                <w:sz w:val="18"/>
              </w:rPr>
              <w:t>67</w:t>
            </w:r>
          </w:p>
        </w:tc>
      </w:tr>
      <w:tr>
        <w:tc>
          <w:tcPr>
            <w:tcW w:type="dxa" w:w="4968"/>
            <w:vAlign w:val="center"/>
          </w:tcPr>
          <w:p>
            <w:r/>
            <w:r>
              <w:rPr>
                <w:b w:val="0"/>
                <w:sz w:val="18"/>
              </w:rPr>
              <w:t>&gt; $2,000</w:t>
            </w:r>
          </w:p>
        </w:tc>
        <w:tc>
          <w:tcPr>
            <w:tcW w:type="dxa" w:w="4968"/>
            <w:vAlign w:val="center"/>
          </w:tcPr>
          <w:p>
            <w:r/>
            <w:r>
              <w:rPr>
                <w:b w:val="0"/>
                <w:sz w:val="18"/>
              </w:rPr>
              <w:t>47</w:t>
            </w:r>
          </w:p>
        </w:tc>
      </w:tr>
      <w:tr>
        <w:tc>
          <w:tcPr>
            <w:tcW w:type="dxa" w:w="4968"/>
            <w:vAlign w:val="center"/>
          </w:tcPr>
          <w:p>
            <w:r/>
            <w:r>
              <w:rPr>
                <w:b w:val="0"/>
                <w:sz w:val="18"/>
              </w:rPr>
              <w:t>&gt; $5,000</w:t>
            </w:r>
          </w:p>
        </w:tc>
        <w:tc>
          <w:tcPr>
            <w:tcW w:type="dxa" w:w="4968"/>
            <w:vAlign w:val="center"/>
          </w:tcPr>
          <w:p>
            <w:r/>
            <w:r>
              <w:rPr>
                <w:b w:val="0"/>
                <w:sz w:val="18"/>
              </w:rPr>
              <w:t>21</w:t>
            </w:r>
          </w:p>
        </w:tc>
      </w:tr>
    </w:tbl>
    <w:p>
      <w:pPr>
        <w:spacing w:line="259" w:lineRule="auto"/>
      </w:pPr>
    </w:p>
    <w:p>
      <w:pPr>
        <w:spacing w:line="259" w:lineRule="auto"/>
      </w:pPr>
      <w:r>
        <w:t>Loads above $7,500 represented only approximately 0.32% of the development data, while loads above $10,000 represented approximately 0.21%.</w:t>
      </w:r>
    </w:p>
    <w:p>
      <w:pPr>
        <w:spacing w:line="259" w:lineRule="auto"/>
      </w:pPr>
      <w:r>
        <w:t>Historical route behavior was investigated to determine whether these extreme events could be predicted from previous observations. The analysis showed that many October high-rate loads occurred on routes whose previous loads had normal rates. This indicates that the rare extreme regime is only weakly identifiable from the supplied features.</w:t>
      </w:r>
    </w:p>
    <w:p>
      <w:pPr>
        <w:spacing w:line="259" w:lineRule="auto"/>
      </w:pPr>
      <w:r>
        <w:t>A separate high-rate classifier achieved a ROC-AUC of approximately 0.72, but predicted probabilities remained too low to support reliable hard classification. The final pipeline therefore avoids an additional hard classification stage.</w:t>
      </w:r>
    </w:p>
    <w:p>
      <w:pPr>
        <w:pStyle w:val="Heading1"/>
        <w:spacing w:before="240" w:after="120" w:line="259" w:lineRule="auto"/>
      </w:pPr>
      <w:r>
        <w:t>12. Final Model and Training</w:t>
      </w:r>
    </w:p>
    <w:p>
      <w:pPr>
        <w:spacing w:line="259" w:lineRule="auto"/>
      </w:pPr>
      <w:r>
        <w:t>After model selection and validation, the selected Gradient Boosting configuration was retrained using all 48,000 labeled development rows.</w:t>
      </w:r>
    </w:p>
    <w:p>
      <w:pPr>
        <w:spacing w:line="259" w:lineRule="auto"/>
      </w:pPr>
      <w:r>
        <w:t>The resulting model was applied to every row in the 12,000-row validation dataset.</w:t>
      </w:r>
    </w:p>
    <w:p>
      <w:pPr>
        <w:pStyle w:val="Heading2"/>
        <w:spacing w:before="240" w:after="120" w:line="259" w:lineRule="auto"/>
      </w:pPr>
      <w:r>
        <w:t>Final Prediction Distribution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Statistic</w:t>
            </w:r>
          </w:p>
        </w:tc>
        <w:tc>
          <w:tcPr>
            <w:tcW w:type="dxa" w:w="4968"/>
            <w:vAlign w:val="center"/>
            <w:shd w:fill="D9EAF7"/>
          </w:tcPr>
          <w:p>
            <w:r/>
            <w:r>
              <w:rPr>
                <w:b/>
                <w:sz w:val="18"/>
              </w:rPr>
              <w:t>Prediction</w:t>
            </w:r>
          </w:p>
        </w:tc>
      </w:tr>
      <w:tr>
        <w:tc>
          <w:tcPr>
            <w:tcW w:type="dxa" w:w="4968"/>
            <w:vAlign w:val="center"/>
          </w:tcPr>
          <w:p>
            <w:r/>
            <w:r>
              <w:rPr>
                <w:b w:val="0"/>
                <w:sz w:val="18"/>
              </w:rPr>
              <w:t>Number of predictions</w:t>
            </w:r>
          </w:p>
        </w:tc>
        <w:tc>
          <w:tcPr>
            <w:tcW w:type="dxa" w:w="4968"/>
            <w:vAlign w:val="center"/>
          </w:tcPr>
          <w:p>
            <w:r/>
            <w:r>
              <w:rPr>
                <w:b w:val="0"/>
                <w:sz w:val="18"/>
              </w:rPr>
              <w:t>12,000</w:t>
            </w:r>
          </w:p>
        </w:tc>
      </w:tr>
      <w:tr>
        <w:tc>
          <w:tcPr>
            <w:tcW w:type="dxa" w:w="4968"/>
            <w:vAlign w:val="center"/>
          </w:tcPr>
          <w:p>
            <w:r/>
            <w:r>
              <w:rPr>
                <w:b w:val="0"/>
                <w:sz w:val="18"/>
              </w:rPr>
              <w:t>Minimum</w:t>
            </w:r>
          </w:p>
        </w:tc>
        <w:tc>
          <w:tcPr>
            <w:tcW w:type="dxa" w:w="4968"/>
            <w:vAlign w:val="center"/>
          </w:tcPr>
          <w:p>
            <w:r/>
            <w:r>
              <w:rPr>
                <w:b w:val="0"/>
                <w:sz w:val="18"/>
              </w:rPr>
              <w:t>$190.30</w:t>
            </w:r>
          </w:p>
        </w:tc>
      </w:tr>
      <w:tr>
        <w:tc>
          <w:tcPr>
            <w:tcW w:type="dxa" w:w="4968"/>
            <w:vAlign w:val="center"/>
          </w:tcPr>
          <w:p>
            <w:r/>
            <w:r>
              <w:rPr>
                <w:b w:val="0"/>
                <w:sz w:val="18"/>
              </w:rPr>
              <w:t>Median</w:t>
            </w:r>
          </w:p>
        </w:tc>
        <w:tc>
          <w:tcPr>
            <w:tcW w:type="dxa" w:w="4968"/>
            <w:vAlign w:val="center"/>
          </w:tcPr>
          <w:p>
            <w:r/>
            <w:r>
              <w:rPr>
                <w:b w:val="0"/>
                <w:sz w:val="18"/>
              </w:rPr>
              <w:t>$2,034.24</w:t>
            </w:r>
          </w:p>
        </w:tc>
      </w:tr>
      <w:tr>
        <w:tc>
          <w:tcPr>
            <w:tcW w:type="dxa" w:w="4968"/>
            <w:vAlign w:val="center"/>
          </w:tcPr>
          <w:p>
            <w:r/>
            <w:r>
              <w:rPr>
                <w:b w:val="0"/>
                <w:sz w:val="18"/>
              </w:rPr>
              <w:t>Mean</w:t>
            </w:r>
          </w:p>
        </w:tc>
        <w:tc>
          <w:tcPr>
            <w:tcW w:type="dxa" w:w="4968"/>
            <w:vAlign w:val="center"/>
          </w:tcPr>
          <w:p>
            <w:r/>
            <w:r>
              <w:rPr>
                <w:b w:val="0"/>
                <w:sz w:val="18"/>
              </w:rPr>
              <w:t>$2,356.03</w:t>
            </w:r>
          </w:p>
        </w:tc>
      </w:tr>
      <w:tr>
        <w:tc>
          <w:tcPr>
            <w:tcW w:type="dxa" w:w="4968"/>
            <w:vAlign w:val="center"/>
          </w:tcPr>
          <w:p>
            <w:r/>
            <w:r>
              <w:rPr>
                <w:b w:val="0"/>
                <w:sz w:val="18"/>
              </w:rPr>
              <w:t>Maximum</w:t>
            </w:r>
          </w:p>
        </w:tc>
        <w:tc>
          <w:tcPr>
            <w:tcW w:type="dxa" w:w="4968"/>
            <w:vAlign w:val="center"/>
          </w:tcPr>
          <w:p>
            <w:r/>
            <w:r>
              <w:rPr>
                <w:b w:val="0"/>
                <w:sz w:val="18"/>
              </w:rPr>
              <w:t>$6,820.59</w:t>
            </w:r>
          </w:p>
        </w:tc>
      </w:tr>
    </w:tbl>
    <w:p>
      <w:pPr>
        <w:spacing w:line="259" w:lineRule="auto"/>
      </w:pPr>
    </w:p>
    <w:p>
      <w:pPr>
        <w:pStyle w:val="Heading1"/>
        <w:spacing w:before="240" w:after="120" w:line="259" w:lineRule="auto"/>
      </w:pPr>
      <w:r>
        <w:t>13. December Prediction Scenario</w:t>
      </w:r>
    </w:p>
    <w:p>
      <w:pPr>
        <w:spacing w:line="259" w:lineRule="auto"/>
      </w:pPr>
      <w:r>
        <w:t>The assessment requires predictions for a fixed shipment scenario across all 31 days of December 2025.</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Input</w:t>
            </w:r>
          </w:p>
        </w:tc>
        <w:tc>
          <w:tcPr>
            <w:tcW w:type="dxa" w:w="4968"/>
            <w:vAlign w:val="center"/>
            <w:shd w:fill="D9EAF7"/>
          </w:tcPr>
          <w:p>
            <w:r/>
            <w:r>
              <w:rPr>
                <w:b/>
                <w:sz w:val="18"/>
              </w:rPr>
              <w:t>Value</w:t>
            </w:r>
          </w:p>
        </w:tc>
      </w:tr>
      <w:tr>
        <w:tc>
          <w:tcPr>
            <w:tcW w:type="dxa" w:w="4968"/>
            <w:vAlign w:val="center"/>
          </w:tcPr>
          <w:p>
            <w:r/>
            <w:r>
              <w:rPr>
                <w:b w:val="0"/>
                <w:sz w:val="18"/>
              </w:rPr>
              <w:t>Pickup</w:t>
            </w:r>
          </w:p>
        </w:tc>
        <w:tc>
          <w:tcPr>
            <w:tcW w:type="dxa" w:w="4968"/>
            <w:vAlign w:val="center"/>
          </w:tcPr>
          <w:p>
            <w:r/>
            <w:r>
              <w:rPr>
                <w:b w:val="0"/>
                <w:sz w:val="18"/>
              </w:rPr>
              <w:t>Lexington</w:t>
            </w:r>
          </w:p>
        </w:tc>
      </w:tr>
      <w:tr>
        <w:tc>
          <w:tcPr>
            <w:tcW w:type="dxa" w:w="4968"/>
            <w:vAlign w:val="center"/>
          </w:tcPr>
          <w:p>
            <w:r/>
            <w:r>
              <w:rPr>
                <w:b w:val="0"/>
                <w:sz w:val="18"/>
              </w:rPr>
              <w:t>Delivery</w:t>
            </w:r>
          </w:p>
        </w:tc>
        <w:tc>
          <w:tcPr>
            <w:tcW w:type="dxa" w:w="4968"/>
            <w:vAlign w:val="center"/>
          </w:tcPr>
          <w:p>
            <w:r/>
            <w:r>
              <w:rPr>
                <w:b w:val="0"/>
                <w:sz w:val="18"/>
              </w:rPr>
              <w:t>Fort Wayne</w:t>
            </w:r>
          </w:p>
        </w:tc>
      </w:tr>
      <w:tr>
        <w:tc>
          <w:tcPr>
            <w:tcW w:type="dxa" w:w="4968"/>
            <w:vAlign w:val="center"/>
          </w:tcPr>
          <w:p>
            <w:r/>
            <w:r>
              <w:rPr>
                <w:b w:val="0"/>
                <w:sz w:val="18"/>
              </w:rPr>
              <w:t>Distance</w:t>
            </w:r>
          </w:p>
        </w:tc>
        <w:tc>
          <w:tcPr>
            <w:tcW w:type="dxa" w:w="4968"/>
            <w:vAlign w:val="center"/>
          </w:tcPr>
          <w:p>
            <w:r/>
            <w:r>
              <w:rPr>
                <w:b w:val="0"/>
                <w:sz w:val="18"/>
              </w:rPr>
              <w:t>360</w:t>
            </w:r>
          </w:p>
        </w:tc>
      </w:tr>
      <w:tr>
        <w:tc>
          <w:tcPr>
            <w:tcW w:type="dxa" w:w="4968"/>
            <w:vAlign w:val="center"/>
          </w:tcPr>
          <w:p>
            <w:r/>
            <w:r>
              <w:rPr>
                <w:b w:val="0"/>
                <w:sz w:val="18"/>
              </w:rPr>
              <w:t>Equipment</w:t>
            </w:r>
          </w:p>
        </w:tc>
        <w:tc>
          <w:tcPr>
            <w:tcW w:type="dxa" w:w="4968"/>
            <w:vAlign w:val="center"/>
          </w:tcPr>
          <w:p>
            <w:r/>
            <w:r>
              <w:rPr>
                <w:b w:val="0"/>
                <w:sz w:val="18"/>
              </w:rPr>
              <w:t>Dry Van</w:t>
            </w:r>
          </w:p>
        </w:tc>
      </w:tr>
      <w:tr>
        <w:tc>
          <w:tcPr>
            <w:tcW w:type="dxa" w:w="4968"/>
            <w:vAlign w:val="center"/>
          </w:tcPr>
          <w:p>
            <w:r/>
            <w:r>
              <w:rPr>
                <w:b w:val="0"/>
                <w:sz w:val="18"/>
              </w:rPr>
              <w:t>Weight</w:t>
            </w:r>
          </w:p>
        </w:tc>
        <w:tc>
          <w:tcPr>
            <w:tcW w:type="dxa" w:w="4968"/>
            <w:vAlign w:val="center"/>
          </w:tcPr>
          <w:p>
            <w:r/>
            <w:r>
              <w:rPr>
                <w:b w:val="0"/>
                <w:sz w:val="18"/>
              </w:rPr>
              <w:t>32,000</w:t>
            </w:r>
          </w:p>
        </w:tc>
      </w:tr>
    </w:tbl>
    <w:p>
      <w:pPr>
        <w:spacing w:line="259" w:lineRule="auto"/>
      </w:pPr>
    </w:p>
    <w:p>
      <w:pPr>
        <w:spacing w:line="259" w:lineRule="auto"/>
      </w:pPr>
      <w:r>
        <w:t>The final model produced a prediction of approximately $812.30 for the fixed scenario across the month.</w:t>
      </w:r>
    </w:p>
    <w:p>
      <w:pPr>
        <w:spacing w:line="259" w:lineRule="auto"/>
      </w:pPr>
      <w:r>
        <w:t>The flat prediction is expected because the final model does not rely on date-derived features and the other shipment inputs remain unchanged for each December row.</w:t>
      </w:r>
    </w:p>
    <w:p>
      <w:pPr>
        <w:pStyle w:val="Heading2"/>
        <w:spacing w:before="240" w:after="120" w:line="259" w:lineRule="auto"/>
      </w:pPr>
      <w:r>
        <w:t>Required December Chart</w:t>
      </w:r>
    </w:p>
    <w:p>
      <w:pPr>
        <w:spacing w:line="259" w:lineRule="auto"/>
        <w:jc w:val="center"/>
      </w:pPr>
      <w:r>
        <w:drawing>
          <wp:inline xmlns:a="http://schemas.openxmlformats.org/drawingml/2006/main" xmlns:pic="http://schemas.openxmlformats.org/drawingml/2006/picture">
            <wp:extent cx="5669280" cy="1846498"/>
            <wp:docPr id="1" name="Picture 1"/>
            <wp:cNvGraphicFramePr>
              <a:graphicFrameLocks noChangeAspect="1"/>
            </wp:cNvGraphicFramePr>
            <a:graphic>
              <a:graphicData uri="http://schemas.openxmlformats.org/drawingml/2006/picture">
                <pic:pic>
                  <pic:nvPicPr>
                    <pic:cNvPr id="0" name="candidate_december.png"/>
                    <pic:cNvPicPr/>
                  </pic:nvPicPr>
                  <pic:blipFill>
                    <a:blip r:embed="rId9"/>
                    <a:stretch>
                      <a:fillRect/>
                    </a:stretch>
                  </pic:blipFill>
                  <pic:spPr>
                    <a:xfrm>
                      <a:off x="0" y="0"/>
                      <a:ext cx="5669280" cy="1846498"/>
                    </a:xfrm>
                    <a:prstGeom prst="rect"/>
                  </pic:spPr>
                </pic:pic>
              </a:graphicData>
            </a:graphic>
          </wp:inline>
        </w:drawing>
      </w:r>
    </w:p>
    <w:p>
      <w:pPr>
        <w:pStyle w:val="Heading1"/>
        <w:spacing w:before="240" w:after="120" w:line="259" w:lineRule="auto"/>
      </w:pPr>
      <w:r>
        <w:t>14. Official Output Validation</w:t>
      </w:r>
    </w:p>
    <w:p>
      <w:pPr>
        <w:spacing w:line="259" w:lineRule="auto"/>
      </w:pPr>
      <w:r>
        <w:t>The provided scoring script was executed against the final prediction files.</w:t>
      </w:r>
    </w:p>
    <w:p>
      <w:pPr>
        <w:spacing w:after="120" w:line="259" w:lineRule="auto"/>
        <w:ind w:left="360"/>
      </w:pPr>
      <w:r>
        <w:rPr>
          <w:rFonts w:ascii="Consolas" w:hAnsi="Consolas"/>
          <w:sz w:val="18"/>
        </w:rPr>
        <w:t>python score.py --predictions outputs/validation_predictions.csv --december-predictions outputs/december_predictions.csv --output-dir scorer_results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Check</w:t>
            </w:r>
          </w:p>
        </w:tc>
        <w:tc>
          <w:tcPr>
            <w:tcW w:type="dxa" w:w="4968"/>
            <w:vAlign w:val="center"/>
            <w:shd w:fill="D9EAF7"/>
          </w:tcPr>
          <w:p>
            <w:r/>
            <w:r>
              <w:rPr>
                <w:b/>
                <w:sz w:val="18"/>
              </w:rPr>
              <w:t>Result</w:t>
            </w:r>
          </w:p>
        </w:tc>
      </w:tr>
      <w:tr>
        <w:tc>
          <w:tcPr>
            <w:tcW w:type="dxa" w:w="4968"/>
            <w:vAlign w:val="center"/>
          </w:tcPr>
          <w:p>
            <w:r/>
            <w:r>
              <w:rPr>
                <w:b w:val="0"/>
                <w:sz w:val="18"/>
              </w:rPr>
              <w:t>Validation prediction rows</w:t>
            </w:r>
          </w:p>
        </w:tc>
        <w:tc>
          <w:tcPr>
            <w:tcW w:type="dxa" w:w="4968"/>
            <w:vAlign w:val="center"/>
          </w:tcPr>
          <w:p>
            <w:r/>
            <w:r>
              <w:rPr>
                <w:b w:val="0"/>
                <w:sz w:val="18"/>
              </w:rPr>
              <w:t>12,000 — Passed</w:t>
            </w:r>
          </w:p>
        </w:tc>
      </w:tr>
      <w:tr>
        <w:tc>
          <w:tcPr>
            <w:tcW w:type="dxa" w:w="4968"/>
            <w:vAlign w:val="center"/>
          </w:tcPr>
          <w:p>
            <w:r/>
            <w:r>
              <w:rPr>
                <w:b w:val="0"/>
                <w:sz w:val="18"/>
              </w:rPr>
              <w:t>Validation prediction columns</w:t>
            </w:r>
          </w:p>
        </w:tc>
        <w:tc>
          <w:tcPr>
            <w:tcW w:type="dxa" w:w="4968"/>
            <w:vAlign w:val="center"/>
          </w:tcPr>
          <w:p>
            <w:r/>
            <w:r>
              <w:rPr>
                <w:b w:val="0"/>
                <w:sz w:val="18"/>
              </w:rPr>
              <w:t>Passed</w:t>
            </w:r>
          </w:p>
        </w:tc>
      </w:tr>
      <w:tr>
        <w:tc>
          <w:tcPr>
            <w:tcW w:type="dxa" w:w="4968"/>
            <w:vAlign w:val="center"/>
          </w:tcPr>
          <w:p>
            <w:r/>
            <w:r>
              <w:rPr>
                <w:b w:val="0"/>
                <w:sz w:val="18"/>
              </w:rPr>
              <w:t>Validation load IDs</w:t>
            </w:r>
          </w:p>
        </w:tc>
        <w:tc>
          <w:tcPr>
            <w:tcW w:type="dxa" w:w="4968"/>
            <w:vAlign w:val="center"/>
          </w:tcPr>
          <w:p>
            <w:r/>
            <w:r>
              <w:rPr>
                <w:b w:val="0"/>
                <w:sz w:val="18"/>
              </w:rPr>
              <w:t>Passed</w:t>
            </w:r>
          </w:p>
        </w:tc>
      </w:tr>
      <w:tr>
        <w:tc>
          <w:tcPr>
            <w:tcW w:type="dxa" w:w="4968"/>
            <w:vAlign w:val="center"/>
          </w:tcPr>
          <w:p>
            <w:r/>
            <w:r>
              <w:rPr>
                <w:b w:val="0"/>
                <w:sz w:val="18"/>
              </w:rPr>
              <w:t>December prediction rows</w:t>
            </w:r>
          </w:p>
        </w:tc>
        <w:tc>
          <w:tcPr>
            <w:tcW w:type="dxa" w:w="4968"/>
            <w:vAlign w:val="center"/>
          </w:tcPr>
          <w:p>
            <w:r/>
            <w:r>
              <w:rPr>
                <w:b w:val="0"/>
                <w:sz w:val="18"/>
              </w:rPr>
              <w:t>31 — Passed</w:t>
            </w:r>
          </w:p>
        </w:tc>
      </w:tr>
      <w:tr>
        <w:tc>
          <w:tcPr>
            <w:tcW w:type="dxa" w:w="4968"/>
            <w:vAlign w:val="center"/>
          </w:tcPr>
          <w:p>
            <w:r/>
            <w:r>
              <w:rPr>
                <w:b w:val="0"/>
                <w:sz w:val="18"/>
              </w:rPr>
              <w:t>December date coverage</w:t>
            </w:r>
          </w:p>
        </w:tc>
        <w:tc>
          <w:tcPr>
            <w:tcW w:type="dxa" w:w="4968"/>
            <w:vAlign w:val="center"/>
          </w:tcPr>
          <w:p>
            <w:r/>
            <w:r>
              <w:rPr>
                <w:b w:val="0"/>
                <w:sz w:val="18"/>
              </w:rPr>
              <w:t>Passed</w:t>
            </w:r>
          </w:p>
        </w:tc>
      </w:tr>
      <w:tr>
        <w:tc>
          <w:tcPr>
            <w:tcW w:type="dxa" w:w="4968"/>
            <w:vAlign w:val="center"/>
          </w:tcPr>
          <w:p>
            <w:r/>
            <w:r>
              <w:rPr>
                <w:b w:val="0"/>
                <w:sz w:val="18"/>
              </w:rPr>
              <w:t>December chart</w:t>
            </w:r>
          </w:p>
        </w:tc>
        <w:tc>
          <w:tcPr>
            <w:tcW w:type="dxa" w:w="4968"/>
            <w:vAlign w:val="center"/>
          </w:tcPr>
          <w:p>
            <w:r/>
            <w:r>
              <w:rPr>
                <w:b w:val="0"/>
                <w:sz w:val="18"/>
              </w:rPr>
              <w:t>Generated</w:t>
            </w:r>
          </w:p>
        </w:tc>
      </w:tr>
    </w:tbl>
    <w:p>
      <w:pPr>
        <w:spacing w:line="259" w:lineRule="auto"/>
      </w:pPr>
    </w:p>
    <w:p>
      <w:pPr>
        <w:spacing w:line="259" w:lineRule="auto"/>
      </w:pPr>
      <w:r>
        <w:t>The scoring script does not calculate the hidden evaluation metrics. Those metrics are calculated by Spotter after submission.</w:t>
      </w:r>
    </w:p>
    <w:p>
      <w:pPr>
        <w:pStyle w:val="Heading1"/>
        <w:spacing w:before="240" w:after="120" w:line="259" w:lineRule="auto"/>
      </w:pPr>
      <w:r>
        <w:t>15. Reproducibility</w:t>
      </w:r>
    </w:p>
    <w:p>
      <w:pPr>
        <w:spacing w:line="259" w:lineRule="auto"/>
      </w:pPr>
      <w:r>
        <w:t>The complete solution can be reproduced from the repository using the following steps.</w:t>
      </w:r>
    </w:p>
    <w:p>
      <w:pPr>
        <w:spacing w:after="120" w:line="259" w:lineRule="auto"/>
        <w:ind w:left="360"/>
      </w:pPr>
      <w:r>
        <w:rPr>
          <w:rFonts w:ascii="Consolas" w:hAnsi="Consolas"/>
          <w:sz w:val="18"/>
        </w:rPr>
        <w:t>python -m venv .venv</w:t>
      </w:r>
    </w:p>
    <w:p>
      <w:pPr>
        <w:spacing w:after="120" w:line="259" w:lineRule="auto"/>
        <w:ind w:left="360"/>
      </w:pPr>
      <w:r>
        <w:rPr>
          <w:rFonts w:ascii="Consolas" w:hAnsi="Consolas"/>
          <w:sz w:val="18"/>
        </w:rPr>
        <w:t>.venv\Scripts\Activate.ps1</w:t>
      </w:r>
    </w:p>
    <w:p>
      <w:pPr>
        <w:spacing w:after="120" w:line="259" w:lineRule="auto"/>
        <w:ind w:left="360"/>
      </w:pPr>
      <w:r>
        <w:rPr>
          <w:rFonts w:ascii="Consolas" w:hAnsi="Consolas"/>
          <w:sz w:val="18"/>
        </w:rPr>
        <w:t>pip install -r requirements.txt</w:t>
      </w:r>
    </w:p>
    <w:p>
      <w:pPr>
        <w:spacing w:after="120" w:line="259" w:lineRule="auto"/>
        <w:ind w:left="360"/>
      </w:pPr>
      <w:r>
        <w:rPr>
          <w:rFonts w:ascii="Consolas" w:hAnsi="Consolas"/>
          <w:sz w:val="18"/>
        </w:rPr>
        <w:t>python src\final_model.py</w:t>
      </w:r>
    </w:p>
    <w:p>
      <w:pPr>
        <w:spacing w:after="120" w:line="259" w:lineRule="auto"/>
        <w:ind w:left="360"/>
      </w:pPr>
      <w:r>
        <w:rPr>
          <w:rFonts w:ascii="Consolas" w:hAnsi="Consolas"/>
          <w:sz w:val="18"/>
        </w:rPr>
        <w:t>python src\december_predictions.py</w:t>
      </w:r>
    </w:p>
    <w:p>
      <w:pPr>
        <w:spacing w:after="120" w:line="259" w:lineRule="auto"/>
        <w:ind w:left="360"/>
      </w:pPr>
      <w:r>
        <w:rPr>
          <w:rFonts w:ascii="Consolas" w:hAnsi="Consolas"/>
          <w:sz w:val="18"/>
        </w:rPr>
        <w:t>python score.py --predictions outputs\validation_predictions.csv --december-predictions outputs\december_predictions.csv --output-dir scorer_results</w:t>
      </w:r>
    </w:p>
    <w:p>
      <w:pPr>
        <w:pStyle w:val="Heading1"/>
        <w:spacing w:before="240" w:after="120" w:line="259" w:lineRule="auto"/>
      </w:pPr>
      <w:r>
        <w:t>16. Limitations</w:t>
      </w:r>
    </w:p>
    <w:p>
      <w:pPr>
        <w:pStyle w:val="ListBullet"/>
        <w:spacing w:after="60" w:line="259" w:lineRule="auto"/>
      </w:pPr>
      <w:r>
        <w:t>The supplied feature set does not fully explain the rare extreme-rate regime.</w:t>
      </w:r>
    </w:p>
    <w:p>
      <w:pPr>
        <w:pStyle w:val="ListBullet"/>
        <w:spacing w:after="60" w:line="259" w:lineRule="auto"/>
      </w:pPr>
      <w:r>
        <w:t>A small number of extreme observations disproportionately affect RMSE.</w:t>
      </w:r>
    </w:p>
    <w:p>
      <w:pPr>
        <w:pStyle w:val="ListBullet"/>
        <w:spacing w:after="60" w:line="259" w:lineRule="auto"/>
      </w:pPr>
      <w:r>
        <w:t>Historical route behavior was not sufficient to reliably predict all high-rate shocks.</w:t>
      </w:r>
    </w:p>
    <w:p>
      <w:pPr>
        <w:pStyle w:val="ListBullet"/>
        <w:spacing w:after="60" w:line="259" w:lineRule="auto"/>
      </w:pPr>
      <w:r>
        <w:t>The final model intentionally prioritizes stable performance across the dominant pricing regime.</w:t>
      </w:r>
    </w:p>
    <w:p>
      <w:pPr>
        <w:pStyle w:val="ListBullet"/>
        <w:spacing w:after="60" w:line="259" w:lineRule="auto"/>
      </w:pPr>
      <w:r>
        <w:t>Hidden evaluation performance may differ from the development validation results.</w:t>
      </w:r>
    </w:p>
    <w:p>
      <w:pPr>
        <w:pStyle w:val="Heading1"/>
        <w:spacing w:before="240" w:after="120" w:line="259" w:lineRule="auto"/>
      </w:pPr>
      <w:r>
        <w:t>17. Conclusion</w:t>
      </w:r>
    </w:p>
    <w:p>
      <w:pPr>
        <w:spacing w:line="259" w:lineRule="auto"/>
      </w:pPr>
      <w:r>
        <w:t>The final solution uses a time-aware machine learning workflow designed to reflect the chronological nature of the assessment. Exploratory analysis identified distance as the strongest individual predictor and revealed a small but important extreme-rate regime.</w:t>
      </w:r>
    </w:p>
    <w:p>
      <w:pPr>
        <w:spacing w:line="259" w:lineRule="auto"/>
      </w:pPr>
      <w:r>
        <w:t>After comparing multiple ensemble models and tuning Gradient Boosting, the selected Huber-loss GradientBoostingRegressor achieved an October validation MAE of $103.75 and R² of 0.8200, with an average rolling validation MAE of $105.25.</w:t>
      </w:r>
    </w:p>
    <w:p>
      <w:pPr>
        <w:spacing w:line="259" w:lineRule="auto"/>
      </w:pPr>
      <w:r>
        <w:t>The final model was retrained on all labeled development data and produced valid predictions for all 12,000 validation loads. The required 31-day December scenario was also generated and successfully validated by the provided scoring script.</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Freight Rate Prediction — Machine Learning 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