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FINAL SUBMISSION ANALYSIS</w:t>
      </w:r>
    </w:p>
    <w:p>
      <w:pPr>
        <w:jc w:val="center"/>
      </w:pPr>
      <w:r>
        <w:rPr>
          <w:rFonts w:ascii="Arial" w:hAnsi="Arial"/>
          <w:sz w:val="22"/>
        </w:rPr>
        <w:t>University Smart Parking &amp; Permit Management System (USPMS)</w:t>
        <w:br/>
        <w:t>Group 16 — The Architects | CSIS3724 Software Engineering</w:t>
      </w:r>
    </w:p>
    <w:p>
      <w:r>
        <w:t>Prepared 10 October 2026 | Supplementary analytical document — not an official lecturer mark or approval.</w:t>
      </w:r>
    </w:p>
    <w:p>
      <w:r>
        <w:br w:type="page"/>
      </w:r>
    </w:p>
    <w:p>
      <w:pPr>
        <w:pStyle w:val="Heading1"/>
      </w:pPr>
      <w:r>
        <w:t>1. Executive assessment</w:t>
      </w:r>
    </w:p>
    <w:p>
      <w:r>
        <w:t>The consolidated SPMP and business-layer design document is substantially stronger than the draft described in the project-review document. It now contains a detailed project baseline, assumptions and constraints, deliverables and exit conditions, a 560-hour plan, a seven-increment Iterative-and-Incremental approach, DevOps and blended-working plans, staffing, risks, quality and change controls, a quotation, a retrospective, business-layer design, traceability appendices, a team-reported hours register, and a clearly labelled supplemental reference implementation.</w:t>
      </w:r>
    </w:p>
    <w:p>
      <w:r>
        <w:t>The main weakness is no longer the absence of planning prose. It is the gap between a well-developed consolidated document and independently verifiable evidence that every required portfolio deliverable has been submitted, approved, and corresponds to the original team's work. The official brief explicitly requires the initial and final specification documents, feedback incorporated into the final specification, the change appendix, a quotation, the hours record, the development-effort overview, design documentation, and a complete final portfolio. The supplied package does not include a separate complete initial/final specification pair or a verified lecturer-feedback record.</w:t>
      </w:r>
    </w:p>
    <w:p>
      <w:pPr>
        <w:pStyle w:val="Heading2"/>
      </w:pPr>
      <w:r>
        <w:t>Headline estimate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Assessment view</w:t>
            </w:r>
          </w:p>
        </w:tc>
        <w:tc>
          <w:tcPr>
            <w:tcW w:type="dxa" w:w="3360"/>
            <w:shd w:fill="D9EAF7"/>
          </w:tcPr>
          <w:p>
            <w:r>
              <w:rPr>
                <w:b/>
              </w:rPr>
              <w:t>Estimate</w:t>
            </w:r>
          </w:p>
        </w:tc>
        <w:tc>
          <w:tcPr>
            <w:tcW w:type="dxa" w:w="3360"/>
            <w:shd w:fill="D9EAF7"/>
          </w:tcPr>
          <w:p>
            <w:r>
              <w:rPr>
                <w:b/>
              </w:rPr>
              <w:t>Interpretation</w:t>
            </w:r>
          </w:p>
        </w:tc>
      </w:tr>
      <w:tr>
        <w:tc>
          <w:tcPr>
            <w:tcW w:type="dxa" w:w="3360"/>
            <w:vAlign w:val="center"/>
          </w:tcPr>
          <w:p>
            <w:r>
              <w:t>Official-criteria-aligned estimate for the supplied package</w:t>
            </w:r>
          </w:p>
        </w:tc>
        <w:tc>
          <w:tcPr>
            <w:tcW w:type="dxa" w:w="3360"/>
            <w:vAlign w:val="center"/>
          </w:tcPr>
          <w:p>
            <w:r>
              <w:t>68/100; plausible range 62–74</w:t>
            </w:r>
          </w:p>
        </w:tc>
        <w:tc>
          <w:tcPr>
            <w:tcW w:type="dxa" w:w="3360"/>
            <w:vAlign w:val="center"/>
          </w:tcPr>
          <w:p>
            <w:r>
              <w:t>An analytical estimate, not the lecturer's official rubric score. The main mark risk is portfolio/evidence completeness.</w:t>
            </w:r>
          </w:p>
        </w:tc>
      </w:tr>
      <w:tr>
        <w:tc>
          <w:tcPr>
            <w:tcW w:type="dxa" w:w="3360"/>
            <w:vAlign w:val="center"/>
          </w:tcPr>
          <w:p>
            <w:r>
              <w:t>Potential if missing mandatory artefacts are supplied and verified</w:t>
            </w:r>
          </w:p>
        </w:tc>
        <w:tc>
          <w:tcPr>
            <w:tcW w:type="dxa" w:w="3360"/>
            <w:vAlign w:val="center"/>
          </w:tcPr>
          <w:p>
            <w:r>
              <w:t>72–82/100</w:t>
            </w:r>
          </w:p>
        </w:tc>
        <w:tc>
          <w:tcPr>
            <w:tcW w:type="dxa" w:w="3360"/>
            <w:vAlign w:val="center"/>
          </w:tcPr>
          <w:p>
            <w:r>
              <w:t>Conditional on the separate specification versions, feedback/change evidence, authentic implementation evidence and final submission packaging being complete.</w:t>
            </w:r>
          </w:p>
        </w:tc>
      </w:tr>
      <w:tr>
        <w:tc>
          <w:tcPr>
            <w:tcW w:type="dxa" w:w="3360"/>
            <w:vAlign w:val="center"/>
          </w:tcPr>
          <w:p>
            <w:r>
              <w:t>Supplementary quality score for the consolidated document itself</w:t>
            </w:r>
          </w:p>
        </w:tc>
        <w:tc>
          <w:tcPr>
            <w:tcW w:type="dxa" w:w="3360"/>
            <w:vAlign w:val="center"/>
          </w:tcPr>
          <w:p>
            <w:r>
              <w:t>80/100</w:t>
            </w:r>
          </w:p>
        </w:tc>
        <w:tc>
          <w:tcPr>
            <w:tcW w:type="dxa" w:w="3360"/>
            <w:vAlign w:val="center"/>
          </w:tcPr>
          <w:p>
            <w:r>
              <w:t>High document structure and planning quality; reduced for evidence maturity, source-code provenance and some consistency/packaging risks.</w:t>
            </w:r>
          </w:p>
        </w:tc>
      </w:tr>
    </w:tbl>
    <w:p/>
    <w:p>
      <w:r>
        <w:t>Important limitation: the project PDF gives the required deliverables and general professionalism/formatting rules, and says marking is guided by a rubric, but the PDF supplied here does not contain a numeric mark allocation by criterion. Therefore, the weighted rubric below is a transparent supplementary estimate aligned to the stated obligations, not a reproduction of an official marking rubric.</w:t>
      </w:r>
    </w:p>
    <w:p>
      <w:pPr>
        <w:pStyle w:val="Heading1"/>
      </w:pPr>
      <w:r>
        <w:t>2. Materials examined and limits</w:t>
      </w:r>
    </w:p>
    <w:p>
      <w:pPr>
        <w:pStyle w:val="ListBullet"/>
      </w:pPr>
      <w:r>
        <w:t>USPMS_Group16_Final_SPMP_and_Design_Document (3).docx — the consolidated 47-page SPMP/design baseline and appendices.</w:t>
      </w:r>
    </w:p>
    <w:p>
      <w:pPr>
        <w:pStyle w:val="ListBullet"/>
      </w:pPr>
      <w:r>
        <w:t>CSIS3724 USPMS Project Review.docx — the review and roadmap that identified earlier gaps in the draft, UML, hours, quotation, specification, design and evidence.</w:t>
      </w:r>
    </w:p>
    <w:p>
      <w:pPr>
        <w:pStyle w:val="ListBullet"/>
      </w:pPr>
      <w:r>
        <w:t>CSIS3724 -Project -2026 -v0 (1).pdf — the official project brief and submission requirements.</w:t>
      </w:r>
    </w:p>
    <w:p>
      <w:pPr>
        <w:pStyle w:val="ListBullet"/>
      </w:pPr>
      <w:r>
        <w:t>Untitled Diagram.drawio — the supplied editable Draw.io artefact. It is a single diagram page named “USPMS Individual Use Cases”; it should not be assumed to be the complete final business-layer design set without cross-checking the embedded appendix diagrams and required specification.</w:t>
      </w:r>
    </w:p>
    <w:p>
      <w:r>
        <w:t>This is a document-based review. It does not certify that a lecturer has approved the work, that Blackboard received a submission, that every logged hour was actually worked, or that any external service or original team application operates. The final document itself appropriately distinguishes the newly authored supplemental reference implementation from historical team code.</w:t>
      </w:r>
    </w:p>
    <w:p>
      <w:pPr>
        <w:pStyle w:val="Heading1"/>
      </w:pPr>
      <w:r>
        <w:t>3. Review of the final document against the earlier project review</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tcPr>
          <w:p>
            <w:r>
              <w:rPr>
                <w:b/>
              </w:rPr>
              <w:t>Area raised in project review</w:t>
            </w:r>
          </w:p>
        </w:tc>
        <w:tc>
          <w:tcPr>
            <w:tcW w:type="dxa" w:w="3360"/>
            <w:shd w:fill="D9EAF7"/>
          </w:tcPr>
          <w:p>
            <w:r>
              <w:rPr>
                <w:b/>
              </w:rPr>
              <w:t>What the final document now does</w:t>
            </w:r>
          </w:p>
        </w:tc>
        <w:tc>
          <w:tcPr>
            <w:tcW w:type="dxa" w:w="3360"/>
            <w:shd w:fill="D9EAF7"/>
          </w:tcPr>
          <w:p>
            <w:r>
              <w:rPr>
                <w:b/>
              </w:rPr>
              <w:t>Remaining issue / action</w:t>
            </w:r>
          </w:p>
        </w:tc>
      </w:tr>
      <w:tr>
        <w:tc>
          <w:tcPr>
            <w:tcW w:type="dxa" w:w="3360"/>
            <w:vAlign w:val="center"/>
          </w:tcPr>
          <w:p>
            <w:r>
              <w:t>SPMP completeness</w:t>
            </w:r>
          </w:p>
        </w:tc>
        <w:tc>
          <w:tcPr>
            <w:tcW w:type="dxa" w:w="3360"/>
            <w:vAlign w:val="center"/>
          </w:tcPr>
          <w:p>
            <w:r>
              <w:t>Adds a detailed plan across scope, schedule, staffing, risks, quality, DevOps, remote/blended work, change/configuration, communications, maintenance and security.</w:t>
            </w:r>
          </w:p>
        </w:tc>
        <w:tc>
          <w:tcPr>
            <w:tcW w:type="dxa" w:w="3360"/>
            <w:vAlign w:val="center"/>
          </w:tcPr>
          <w:p>
            <w:r>
              <w:t>Team should approve the plan and replace planned controls with evidence where the document implies a control has actually been executed.</w:t>
            </w:r>
          </w:p>
        </w:tc>
      </w:tr>
      <w:tr>
        <w:tc>
          <w:tcPr>
            <w:tcW w:type="dxa" w:w="3360"/>
            <w:vAlign w:val="center"/>
          </w:tcPr>
          <w:p>
            <w:r>
              <w:t>Hours record</w:t>
            </w:r>
          </w:p>
        </w:tc>
        <w:tc>
          <w:tcPr>
            <w:tcW w:type="dxa" w:w="3360"/>
            <w:vAlign w:val="center"/>
          </w:tcPr>
          <w:p>
            <w:r>
              <w:t>Includes a 583-hour team-reported register, category totals and member/week detail; variance from 560 planned hours is +23 hours (+4.1%).</w:t>
            </w:r>
          </w:p>
        </w:tc>
        <w:tc>
          <w:tcPr>
            <w:tcW w:type="dxa" w:w="3360"/>
            <w:vAlign w:val="center"/>
          </w:tcPr>
          <w:p>
            <w:r>
              <w:t>Obtain each member's confirmation and retain available supporting records. The document appropriately does not claim independent audit.</w:t>
            </w:r>
          </w:p>
        </w:tc>
      </w:tr>
      <w:tr>
        <w:tc>
          <w:tcPr>
            <w:tcW w:type="dxa" w:w="3360"/>
            <w:vAlign w:val="center"/>
          </w:tcPr>
          <w:p>
            <w:r>
              <w:t>Quotation</w:t>
            </w:r>
          </w:p>
        </w:tc>
        <w:tc>
          <w:tcPr>
            <w:tcW w:type="dxa" w:w="3360"/>
            <w:vAlign w:val="center"/>
          </w:tcPr>
          <w:p>
            <w:r>
              <w:t>Uses the official R350/hour rate, 5% general expenses and 15% VAT; the 560-hour total is R236,670.00.</w:t>
            </w:r>
          </w:p>
        </w:tc>
        <w:tc>
          <w:tcPr>
            <w:tcW w:type="dxa" w:w="3360"/>
            <w:vAlign w:val="center"/>
          </w:tcPr>
          <w:p>
            <w:r>
              <w:t>Keep the 560-hour estimate quotation clearly separate from the retrospective cost equivalent based on 583 hours. Confirm which estimate is being formally quoted.</w:t>
            </w:r>
          </w:p>
        </w:tc>
      </w:tr>
      <w:tr>
        <w:tc>
          <w:tcPr>
            <w:tcW w:type="dxa" w:w="3360"/>
            <w:vAlign w:val="center"/>
          </w:tcPr>
          <w:p>
            <w:r>
              <w:t>Iterative development</w:t>
            </w:r>
          </w:p>
        </w:tc>
        <w:tc>
          <w:tcPr>
            <w:tcW w:type="dxa" w:w="3360"/>
            <w:vAlign w:val="center"/>
          </w:tcPr>
          <w:p>
            <w:r>
              <w:t>Includes seven increments, exit evidence, a retrospective and lessons learned.</w:t>
            </w:r>
          </w:p>
        </w:tc>
        <w:tc>
          <w:tcPr>
            <w:tcW w:type="dxa" w:w="3360"/>
            <w:vAlign w:val="center"/>
          </w:tcPr>
          <w:p>
            <w:r>
              <w:t>Retrospective chronology is reconstructed from the team-provided record, not authenticated commits/releases. Label it as retrospective reconstruction, as currently stated, and add real iteration review evidence if available.</w:t>
            </w:r>
          </w:p>
        </w:tc>
      </w:tr>
      <w:tr>
        <w:tc>
          <w:tcPr>
            <w:tcW w:type="dxa" w:w="3360"/>
            <w:vAlign w:val="center"/>
          </w:tcPr>
          <w:p>
            <w:r>
              <w:t>Business-layer design</w:t>
            </w:r>
          </w:p>
        </w:tc>
        <w:tc>
          <w:tcPr>
            <w:tcW w:type="dxa" w:w="3360"/>
            <w:vAlign w:val="center"/>
          </w:tcPr>
          <w:p>
            <w:r>
              <w:t>Adds classes/responsibilities, typed design choices, sequences, algorithms, architecture/layer interaction, technology rationale and traceability.</w:t>
            </w:r>
          </w:p>
        </w:tc>
        <w:tc>
          <w:tcPr>
            <w:tcW w:type="dxa" w:w="3360"/>
            <w:vAlign w:val="center"/>
          </w:tcPr>
          <w:p>
            <w:r>
              <w:t>Cross-check every class, relationship and requirement against the approved full specification and final Draw.io diagrams. Do not assume a module needs a separate class.</w:t>
            </w:r>
          </w:p>
        </w:tc>
      </w:tr>
      <w:tr>
        <w:tc>
          <w:tcPr>
            <w:tcW w:type="dxa" w:w="3360"/>
            <w:vAlign w:val="center"/>
          </w:tcPr>
          <w:p>
            <w:r>
              <w:t>Prototype / source evidence</w:t>
            </w:r>
          </w:p>
        </w:tc>
        <w:tc>
          <w:tcPr>
            <w:tcW w:type="dxa" w:w="3360"/>
            <w:vAlign w:val="center"/>
          </w:tcPr>
          <w:p>
            <w:r>
              <w:t>Adds a new reference implementation with 25 passing automated tests and explicitly limits what those tests prove.</w:t>
            </w:r>
          </w:p>
        </w:tc>
        <w:tc>
          <w:tcPr>
            <w:tcW w:type="dxa" w:w="3360"/>
            <w:vAlign w:val="center"/>
          </w:tcPr>
          <w:p>
            <w:r>
              <w:t>Do not present the supplemental implementation as the team's historical application. If the real source exists, add its repository/location, reproducible setup and genuine build/test evidence.</w:t>
            </w:r>
          </w:p>
        </w:tc>
      </w:tr>
      <w:tr>
        <w:tc>
          <w:tcPr>
            <w:tcW w:type="dxa" w:w="3360"/>
            <w:vAlign w:val="center"/>
          </w:tcPr>
          <w:p>
            <w:r>
              <w:t>Specification versions and lecturer feedback</w:t>
            </w:r>
          </w:p>
        </w:tc>
        <w:tc>
          <w:tcPr>
            <w:tcW w:type="dxa" w:w="3360"/>
            <w:vAlign w:val="center"/>
          </w:tcPr>
          <w:p>
            <w:r>
              <w:t>Adds registers and acknowledges that no dated lecturer-feedback record was located in the reviewed evidence set.</w:t>
            </w:r>
          </w:p>
        </w:tc>
        <w:tc>
          <w:tcPr>
            <w:tcW w:type="dxa" w:w="3360"/>
            <w:vAlign w:val="center"/>
          </w:tcPr>
          <w:p>
            <w:r>
              <w:t>Still a major submission risk: attach the actual initial specification and final revised specification as separate deliverables, plus actual feedback and change evidence if received.</w:t>
            </w:r>
          </w:p>
        </w:tc>
      </w:tr>
      <w:tr>
        <w:tc>
          <w:tcPr>
            <w:tcW w:type="dxa" w:w="3360"/>
            <w:vAlign w:val="center"/>
          </w:tcPr>
          <w:p>
            <w:r>
              <w:t>Final portfolio assembly</w:t>
            </w:r>
          </w:p>
        </w:tc>
        <w:tc>
          <w:tcPr>
            <w:tcW w:type="dxa" w:w="3360"/>
            <w:vAlign w:val="center"/>
          </w:tcPr>
          <w:p>
            <w:r>
              <w:t>Adds an evidence index and a readiness table.</w:t>
            </w:r>
          </w:p>
        </w:tc>
        <w:tc>
          <w:tcPr>
            <w:tcW w:type="dxa" w:w="3360"/>
            <w:vAlign w:val="center"/>
          </w:tcPr>
          <w:p>
            <w:r>
              <w:t>The index documents missing evidence but does not itself replace required artefacts. Include every required file in the final portfolio and verify the filename/cover-page/table-of-contents rules.</w:t>
            </w:r>
          </w:p>
        </w:tc>
      </w:tr>
    </w:tbl>
    <w:p/>
    <w:p>
      <w:pPr>
        <w:pStyle w:val="Heading1"/>
      </w:pPr>
      <w:r>
        <w:t>4. Section-by-section assessment</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Section</w:t>
            </w:r>
          </w:p>
        </w:tc>
        <w:tc>
          <w:tcPr>
            <w:tcW w:type="dxa" w:w="2520"/>
            <w:shd w:fill="D9EAF7"/>
          </w:tcPr>
          <w:p>
            <w:r>
              <w:rPr>
                <w:b/>
              </w:rPr>
              <w:t>Assessment</w:t>
            </w:r>
          </w:p>
        </w:tc>
        <w:tc>
          <w:tcPr>
            <w:tcW w:type="dxa" w:w="2520"/>
            <w:shd w:fill="D9EAF7"/>
          </w:tcPr>
          <w:p>
            <w:r>
              <w:rPr>
                <w:b/>
              </w:rPr>
              <w:t>Strengths observed</w:t>
            </w:r>
          </w:p>
        </w:tc>
        <w:tc>
          <w:tcPr>
            <w:tcW w:type="dxa" w:w="2520"/>
            <w:shd w:fill="D9EAF7"/>
          </w:tcPr>
          <w:p>
            <w:r>
              <w:rPr>
                <w:b/>
              </w:rPr>
              <w:t>Improvement required</w:t>
            </w:r>
          </w:p>
        </w:tc>
      </w:tr>
      <w:tr>
        <w:tc>
          <w:tcPr>
            <w:tcW w:type="dxa" w:w="2520"/>
            <w:vAlign w:val="center"/>
          </w:tcPr>
          <w:p>
            <w:r>
              <w:t>Chapter 1 — Project baseline and scope</w:t>
            </w:r>
          </w:p>
        </w:tc>
        <w:tc>
          <w:tcPr>
            <w:tcW w:type="dxa" w:w="2520"/>
            <w:vAlign w:val="center"/>
          </w:tcPr>
          <w:p>
            <w:r>
              <w:t>Strong</w:t>
            </w:r>
          </w:p>
        </w:tc>
        <w:tc>
          <w:tcPr>
            <w:tcW w:type="dxa" w:w="2520"/>
            <w:vAlign w:val="center"/>
          </w:tcPr>
          <w:p>
            <w:r>
              <w:t>The problem, purpose, mandatory four capabilities, supporting modules, stakeholders, safety constraint and scope exclusions are clear. The distinction between simulated occupancy and live integration is responsible.</w:t>
            </w:r>
          </w:p>
        </w:tc>
        <w:tc>
          <w:tcPr>
            <w:tcW w:type="dxa" w:w="2520"/>
            <w:vAlign w:val="center"/>
          </w:tcPr>
          <w:p>
            <w:r>
              <w:t>Add measurable acceptance criteria for each mandatory capability and make sure the final specification uses the same scope language and identifiers.</w:t>
            </w:r>
          </w:p>
        </w:tc>
      </w:tr>
      <w:tr>
        <w:tc>
          <w:tcPr>
            <w:tcW w:type="dxa" w:w="2520"/>
            <w:vAlign w:val="center"/>
          </w:tcPr>
          <w:p>
            <w:r>
              <w:t>Chapter 3 — SPMP</w:t>
            </w:r>
          </w:p>
        </w:tc>
        <w:tc>
          <w:tcPr>
            <w:tcW w:type="dxa" w:w="2520"/>
            <w:vAlign w:val="center"/>
          </w:tcPr>
          <w:p>
            <w:r>
              <w:t>Strong, with evidence caveat</w:t>
            </w:r>
          </w:p>
        </w:tc>
        <w:tc>
          <w:tcPr>
            <w:tcW w:type="dxa" w:w="2520"/>
            <w:vAlign w:val="center"/>
          </w:tcPr>
          <w:p>
            <w:r>
              <w:t>Comprehensive coverage of assumptions, deliverables, hour-based estimates, incremental development, DevOps, blended working, roles, tools, risks, quality, change/configuration, issue handling, communications, training, maintenance, security and improvement.</w:t>
            </w:r>
          </w:p>
        </w:tc>
        <w:tc>
          <w:tcPr>
            <w:tcW w:type="dxa" w:w="2520"/>
            <w:vAlign w:val="center"/>
          </w:tcPr>
          <w:p>
            <w:r>
              <w:t>Convert intended controls into evidence-backed statements where applicable: issue/PR references, meeting/action records, reviewed risks, version tags, and actual owners/dates. The brief asks for the example SPMP sections to be included or explicitly marked not applicable.</w:t>
            </w:r>
          </w:p>
        </w:tc>
      </w:tr>
      <w:tr>
        <w:tc>
          <w:tcPr>
            <w:tcW w:type="dxa" w:w="2520"/>
            <w:vAlign w:val="center"/>
          </w:tcPr>
          <w:p>
            <w:r>
              <w:t>Chapter 4 — Quotation</w:t>
            </w:r>
          </w:p>
        </w:tc>
        <w:tc>
          <w:tcPr>
            <w:tcW w:type="dxa" w:w="2520"/>
            <w:vAlign w:val="center"/>
          </w:tcPr>
          <w:p>
            <w:r>
              <w:t>Strong arithmetic</w:t>
            </w:r>
          </w:p>
        </w:tc>
        <w:tc>
          <w:tcPr>
            <w:tcW w:type="dxa" w:w="2520"/>
            <w:vAlign w:val="center"/>
          </w:tcPr>
          <w:p>
            <w:r>
              <w:t>560 × R350 = R196,000 labour; 5% expenses = R9,800; subtotal = R205,800; 15% VAT = R30,870; total = R236,670.</w:t>
            </w:r>
          </w:p>
        </w:tc>
        <w:tc>
          <w:tcPr>
            <w:tcW w:type="dxa" w:w="2520"/>
            <w:vAlign w:val="center"/>
          </w:tcPr>
          <w:p>
            <w:r>
              <w:t>Provide a clearly identifiable quotation deliverable with date, scope, estimated hours, exclusions/assumptions and approval/signature fields if required. Do not confuse estimate cost with actual historical expenditure.</w:t>
            </w:r>
          </w:p>
        </w:tc>
      </w:tr>
      <w:tr>
        <w:tc>
          <w:tcPr>
            <w:tcW w:type="dxa" w:w="2520"/>
            <w:vAlign w:val="center"/>
          </w:tcPr>
          <w:p>
            <w:r>
              <w:t>Chapter 5 — Development effort</w:t>
            </w:r>
          </w:p>
        </w:tc>
        <w:tc>
          <w:tcPr>
            <w:tcW w:type="dxa" w:w="2520"/>
            <w:vAlign w:val="center"/>
          </w:tcPr>
          <w:p>
            <w:r>
              <w:t>Good</w:t>
            </w:r>
          </w:p>
        </w:tc>
        <w:tc>
          <w:tcPr>
            <w:tcW w:type="dxa" w:w="2520"/>
            <w:vAlign w:val="center"/>
          </w:tcPr>
          <w:p>
            <w:r>
              <w:t>The document explains the Iterative-and-Incremental Model, planned increments, review loop, lessons and a retrospective.</w:t>
            </w:r>
          </w:p>
        </w:tc>
        <w:tc>
          <w:tcPr>
            <w:tcW w:type="dxa" w:w="2520"/>
            <w:vAlign w:val="center"/>
          </w:tcPr>
          <w:p>
            <w:r>
              <w:t>The retrospective is partly reconstructed from the supplied weekly log and artefacts. Add dated iteration review notes, delivered-vs-planned evidence, decisions and lessons only where they can be supported.</w:t>
            </w:r>
          </w:p>
        </w:tc>
      </w:tr>
      <w:tr>
        <w:tc>
          <w:tcPr>
            <w:tcW w:type="dxa" w:w="2520"/>
            <w:vAlign w:val="center"/>
          </w:tcPr>
          <w:p>
            <w:r>
              <w:t>Chapter 6 — Design documentation</w:t>
            </w:r>
          </w:p>
        </w:tc>
        <w:tc>
          <w:tcPr>
            <w:tcW w:type="dxa" w:w="2520"/>
            <w:vAlign w:val="center"/>
          </w:tcPr>
          <w:p>
            <w:r>
              <w:t>Good to strong</w:t>
            </w:r>
          </w:p>
        </w:tc>
        <w:tc>
          <w:tcPr>
            <w:tcW w:type="dxa" w:w="2520"/>
            <w:vAlign w:val="center"/>
          </w:tcPr>
          <w:p>
            <w:r>
              <w:t>The design includes business objects, responsibilities, invariants, sequence flows, complex algorithms, layer interaction, technology motivation, security/failure handling and traceability. It respects the brief's focus on business-layer UML and detailed design for complex calculations.</w:t>
            </w:r>
          </w:p>
        </w:tc>
        <w:tc>
          <w:tcPr>
            <w:tcW w:type="dxa" w:w="2520"/>
            <w:vAlign w:val="center"/>
          </w:tcPr>
          <w:p>
            <w:r>
              <w:t>Validate multiplicities, operation signatures, lifecycle states and all FR-to-design mappings against the final specification. The brief asks for a brief explanation of how business objects link to the UI and data-access layer; ensure this is clearly about half a page and easy to find.</w:t>
            </w:r>
          </w:p>
        </w:tc>
      </w:tr>
      <w:tr>
        <w:tc>
          <w:tcPr>
            <w:tcW w:type="dxa" w:w="2520"/>
            <w:vAlign w:val="center"/>
          </w:tcPr>
          <w:p>
            <w:r>
              <w:t>Chapter 7 and Appendix J — Hours</w:t>
            </w:r>
          </w:p>
        </w:tc>
        <w:tc>
          <w:tcPr>
            <w:tcW w:type="dxa" w:w="2520"/>
            <w:vAlign w:val="center"/>
          </w:tcPr>
          <w:p>
            <w:r>
              <w:t>Good, pending verification</w:t>
            </w:r>
          </w:p>
        </w:tc>
        <w:tc>
          <w:tcPr>
            <w:tcW w:type="dxa" w:w="2520"/>
            <w:vAlign w:val="center"/>
          </w:tcPr>
          <w:p>
            <w:r>
              <w:t>The total of 583 is transparently labelled team-reported and is reconciled against the 560-hour estimate. “Other” is explained and weekly/member entries are included.</w:t>
            </w:r>
          </w:p>
        </w:tc>
        <w:tc>
          <w:tcPr>
            <w:tcW w:type="dxa" w:w="2520"/>
            <w:vAlign w:val="center"/>
          </w:tcPr>
          <w:p>
            <w:r>
              <w:t>Get member confirmations, especially any late-added/uncertain entries. Ensure all category names map directly to the brief: Requirements, Specification/Analysis, Design, Implementation, Other, Total.</w:t>
            </w:r>
          </w:p>
        </w:tc>
      </w:tr>
      <w:tr>
        <w:tc>
          <w:tcPr>
            <w:tcW w:type="dxa" w:w="2520"/>
            <w:vAlign w:val="center"/>
          </w:tcPr>
          <w:p>
            <w:r>
              <w:t>Chapter 8 and evidence appendices</w:t>
            </w:r>
          </w:p>
        </w:tc>
        <w:tc>
          <w:tcPr>
            <w:tcW w:type="dxa" w:w="2520"/>
            <w:vAlign w:val="center"/>
          </w:tcPr>
          <w:p>
            <w:r>
              <w:t>Useful but not a substitute for files</w:t>
            </w:r>
          </w:p>
        </w:tc>
        <w:tc>
          <w:tcPr>
            <w:tcW w:type="dxa" w:w="2520"/>
            <w:vAlign w:val="center"/>
          </w:tcPr>
          <w:p>
            <w:r>
              <w:t>The readiness checklist, version/decision/change/evidence registers and glossary make the package auditable.</w:t>
            </w:r>
          </w:p>
        </w:tc>
        <w:tc>
          <w:tcPr>
            <w:tcW w:type="dxa" w:w="2520"/>
            <w:vAlign w:val="center"/>
          </w:tcPr>
          <w:p>
            <w:r>
              <w:t>A register saying a required artefact is missing does not satisfy the requirement. Attach initial and final specification versions, any received feedback, final quotation, and authentic source/build evidence where available.</w:t>
            </w:r>
          </w:p>
        </w:tc>
      </w:tr>
      <w:tr>
        <w:tc>
          <w:tcPr>
            <w:tcW w:type="dxa" w:w="2520"/>
            <w:vAlign w:val="center"/>
          </w:tcPr>
          <w:p>
            <w:r>
              <w:t>Supplemental Appendix K — reference implementation</w:t>
            </w:r>
          </w:p>
        </w:tc>
        <w:tc>
          <w:tcPr>
            <w:tcW w:type="dxa" w:w="2520"/>
            <w:vAlign w:val="center"/>
          </w:tcPr>
          <w:p>
            <w:r>
              <w:t>Useful supplementary evidence</w:t>
            </w:r>
          </w:p>
        </w:tc>
        <w:tc>
          <w:tcPr>
            <w:tcW w:type="dxa" w:w="2520"/>
            <w:vAlign w:val="center"/>
          </w:tcPr>
          <w:p>
            <w:r>
              <w:t>The document carefully says the code is newly authored for the delivery pack, and the reported test run covers that code only.</w:t>
            </w:r>
          </w:p>
        </w:tc>
        <w:tc>
          <w:tcPr>
            <w:tcW w:type="dxa" w:w="2520"/>
            <w:vAlign w:val="center"/>
          </w:tcPr>
          <w:p>
            <w:r>
              <w:t>Keep it clearly marked supplemental. Do not claim it proves the original group's historical implementation. Include source files, setup instructions and repeatable test evidence in the final package if the lecturer expects an implementation artefact.</w:t>
            </w:r>
          </w:p>
        </w:tc>
      </w:tr>
      <w:tr>
        <w:tc>
          <w:tcPr>
            <w:tcW w:type="dxa" w:w="2520"/>
            <w:vAlign w:val="center"/>
          </w:tcPr>
          <w:p>
            <w:r>
              <w:t>Formatting and portfolio compliance</w:t>
            </w:r>
          </w:p>
        </w:tc>
        <w:tc>
          <w:tcPr>
            <w:tcW w:type="dxa" w:w="2520"/>
            <w:vAlign w:val="center"/>
          </w:tcPr>
          <w:p>
            <w:r>
              <w:t>Mostly strong</w:t>
            </w:r>
          </w:p>
        </w:tc>
        <w:tc>
          <w:tcPr>
            <w:tcW w:type="dxa" w:w="2520"/>
            <w:vAlign w:val="center"/>
          </w:tcPr>
          <w:p>
            <w:r>
              <w:t>The cover identifies the module, group and team; document control and contents are present; body text is designed around Arial 10.</w:t>
            </w:r>
          </w:p>
        </w:tc>
        <w:tc>
          <w:tcPr>
            <w:tcW w:type="dxa" w:w="2520"/>
            <w:vAlign w:val="center"/>
          </w:tcPr>
          <w:p>
            <w:r>
              <w:t>Verify the final compiled portfolio has a cover page for each required document where appropriate, all student names/numbers, page numbers, a current table of contents, DOCX format, and the prescribed filename. Check that the supplied Draw.io is the intended final diagram.</w:t>
            </w:r>
          </w:p>
        </w:tc>
      </w:tr>
    </w:tbl>
    <w:p/>
    <w:p>
      <w:pPr>
        <w:pStyle w:val="Heading1"/>
      </w:pPr>
      <w:r>
        <w:t>5. Required criteria versus extra recommendations</w:t>
      </w:r>
    </w:p>
    <w:p>
      <w:pPr>
        <w:pStyle w:val="Heading2"/>
      </w:pPr>
      <w:r>
        <w:t>5.1 Required by the official brief</w:t>
      </w:r>
    </w:p>
    <w:p>
      <w:pPr>
        <w:pStyle w:val="ListBullet"/>
      </w:pPr>
      <w:r>
        <w:t>Record actual project hours in the five specified categories and explain tasks placed under “Other”.</w:t>
      </w:r>
    </w:p>
    <w:p>
      <w:pPr>
        <w:pStyle w:val="ListBullet"/>
      </w:pPr>
      <w:r>
        <w:t>Submit the initial specification and final specification; include the final-version appendix listing changes. Incorporate lecturer/client feedback into the final version where feedback was provided.</w:t>
      </w:r>
    </w:p>
    <w:p>
      <w:pPr>
        <w:pStyle w:val="ListBullet"/>
      </w:pPr>
      <w:r>
        <w:t>Provide a complete SPMP with the example sections included or explicitly marked not applicable; use the Iterative-and-Incremental Model and estimate duration in hours.</w:t>
      </w:r>
    </w:p>
    <w:p>
      <w:pPr>
        <w:pStyle w:val="ListBullet"/>
      </w:pPr>
      <w:r>
        <w:t>Provide the quotation using R350 per team-member hour, 5% general expenses and 15% VAT; include full-project effort such as testing.</w:t>
      </w:r>
    </w:p>
    <w:p>
      <w:pPr>
        <w:pStyle w:val="ListBullet"/>
      </w:pPr>
      <w:r>
        <w:t>Provide a concise overview of how the Iterative-and-Incremental Model was applied and what would be done differently.</w:t>
      </w:r>
    </w:p>
    <w:p>
      <w:pPr>
        <w:pStyle w:val="ListBullet"/>
      </w:pPr>
      <w:r>
        <w:t>Provide object-oriented business-layer design documentation; detailed design is needed for complex calculations/algorithms. Explain how business objects link to UI and data-access layers, state technologies and motivate online versus Windows-based choice.</w:t>
      </w:r>
    </w:p>
    <w:p>
      <w:pPr>
        <w:pStyle w:val="ListBullet"/>
      </w:pPr>
      <w:r>
        <w:t>Submit the complete final portfolio in DOCX, use Arial 10 body text, include cover-page team details, contents and page numbers, use Draw.io or Visio for UML, follow the filename rule and submit via Blackboard.</w:t>
      </w:r>
    </w:p>
    <w:p>
      <w:pPr>
        <w:pStyle w:val="Heading2"/>
      </w:pPr>
      <w:r>
        <w:t>5.2 High-value recommendations, not explicit standalone brief requirements</w:t>
      </w:r>
    </w:p>
    <w:p>
      <w:pPr>
        <w:pStyle w:val="ListBullet"/>
      </w:pPr>
      <w:r>
        <w:t>Add CI automation, branch protections, peer-review evidence and reproducible test/build logs. The SPMP proposes these as good engineering controls, but the supplied brief does not separately assign them a numeric mark.</w:t>
      </w:r>
    </w:p>
    <w:p>
      <w:pPr>
        <w:pStyle w:val="ListBullet"/>
      </w:pPr>
      <w:r>
        <w:t>Retain a dated risk register, decision log, feedback/action log and iteration retrospectives to substantiate professionalism and project management.</w:t>
      </w:r>
    </w:p>
    <w:p>
      <w:pPr>
        <w:pStyle w:val="ListBullet"/>
      </w:pPr>
      <w:r>
        <w:t>Add member sign-offs for the hours log and trace each major estimate variance to a reason.</w:t>
      </w:r>
    </w:p>
    <w:p>
      <w:pPr>
        <w:pStyle w:val="ListBullet"/>
      </w:pPr>
      <w:r>
        <w:t>Use a requirements-to-class/operation/test matrix to check coverage, and validate multiplicities, types, enums and lifecycle transitions.</w:t>
      </w:r>
    </w:p>
    <w:p>
      <w:pPr>
        <w:pStyle w:val="ListBullet"/>
      </w:pPr>
      <w:r>
        <w:t>Attach original implementation source and evidence if it exists; otherwise keep the new reference implementation clearly labelled and do not overstate what it demonstrates.</w:t>
      </w:r>
    </w:p>
    <w:p>
      <w:pPr>
        <w:pStyle w:val="ListBullet"/>
      </w:pPr>
      <w:r>
        <w:t>Add a one-page submission manifest listing every deliverable, filename, version, owner and evidence status.</w:t>
      </w:r>
    </w:p>
    <w:p>
      <w:pPr>
        <w:pStyle w:val="Heading1"/>
      </w:pPr>
      <w:r>
        <w:t>6. Supplementary assessment rubric and estimated marks</w:t>
      </w:r>
    </w:p>
    <w:p>
      <w:r>
        <w:t>The following weighting is created for this review because the supplied official PDF does not show a numeric rubric. It maps directly to the brief's seven principal obligations and its professionalism/format rules. The marks are estimates based on the package provided, not official course weights.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Criterion aligned to brief</w:t>
            </w:r>
          </w:p>
        </w:tc>
        <w:tc>
          <w:tcPr>
            <w:tcW w:type="dxa" w:w="2520"/>
            <w:shd w:fill="D9EAF7"/>
          </w:tcPr>
          <w:p>
            <w:r>
              <w:rPr>
                <w:b/>
              </w:rPr>
              <w:t>Weight</w:t>
            </w:r>
          </w:p>
        </w:tc>
        <w:tc>
          <w:tcPr>
            <w:tcW w:type="dxa" w:w="2520"/>
            <w:shd w:fill="D9EAF7"/>
          </w:tcPr>
          <w:p>
            <w:r>
              <w:rPr>
                <w:b/>
              </w:rPr>
              <w:t>Estimated mark</w:t>
            </w:r>
          </w:p>
        </w:tc>
        <w:tc>
          <w:tcPr>
            <w:tcW w:type="dxa" w:w="2520"/>
            <w:shd w:fill="D9EAF7"/>
          </w:tcPr>
          <w:p>
            <w:r>
              <w:rPr>
                <w:b/>
              </w:rPr>
              <w:t>Reasoning</w:t>
            </w:r>
          </w:p>
        </w:tc>
      </w:tr>
      <w:tr>
        <w:tc>
          <w:tcPr>
            <w:tcW w:type="dxa" w:w="2520"/>
            <w:vAlign w:val="center"/>
          </w:tcPr>
          <w:p>
            <w:r>
              <w:t>1. Actual hours record and reconciliation</w:t>
            </w:r>
          </w:p>
        </w:tc>
        <w:tc>
          <w:tcPr>
            <w:tcW w:type="dxa" w:w="2520"/>
            <w:vAlign w:val="center"/>
          </w:tcPr>
          <w:p>
            <w:r>
              <w:t>10</w:t>
            </w:r>
          </w:p>
        </w:tc>
        <w:tc>
          <w:tcPr>
            <w:tcW w:type="dxa" w:w="2520"/>
            <w:vAlign w:val="center"/>
          </w:tcPr>
          <w:p>
            <w:r>
              <w:t>8</w:t>
            </w:r>
          </w:p>
        </w:tc>
        <w:tc>
          <w:tcPr>
            <w:tcW w:type="dxa" w:w="2520"/>
            <w:vAlign w:val="center"/>
          </w:tcPr>
          <w:p>
            <w:r>
              <w:t>Required categories, 583-hour total, variance and “Other” explanation are present. Deduct for unverified member confirmations/supporting records.</w:t>
            </w:r>
          </w:p>
        </w:tc>
      </w:tr>
      <w:tr>
        <w:tc>
          <w:tcPr>
            <w:tcW w:type="dxa" w:w="2520"/>
            <w:vAlign w:val="center"/>
          </w:tcPr>
          <w:p>
            <w:r>
              <w:t>2. Specification and UML coverage</w:t>
            </w:r>
          </w:p>
        </w:tc>
        <w:tc>
          <w:tcPr>
            <w:tcW w:type="dxa" w:w="2520"/>
            <w:vAlign w:val="center"/>
          </w:tcPr>
          <w:p>
            <w:r>
              <w:t>20</w:t>
            </w:r>
          </w:p>
        </w:tc>
        <w:tc>
          <w:tcPr>
            <w:tcW w:type="dxa" w:w="2520"/>
            <w:vAlign w:val="center"/>
          </w:tcPr>
          <w:p>
            <w:r>
              <w:t>11</w:t>
            </w:r>
          </w:p>
        </w:tc>
        <w:tc>
          <w:tcPr>
            <w:tcW w:type="dxa" w:w="2520"/>
            <w:vAlign w:val="center"/>
          </w:tcPr>
          <w:p>
            <w:r>
              <w:t>The consolidated document includes FR traceability and design mappings, but the separate complete initial and final specification artefacts and feedback incorporation cannot be confirmed in the supplied package.</w:t>
            </w:r>
          </w:p>
        </w:tc>
      </w:tr>
      <w:tr>
        <w:tc>
          <w:tcPr>
            <w:tcW w:type="dxa" w:w="2520"/>
            <w:vAlign w:val="center"/>
          </w:tcPr>
          <w:p>
            <w:r>
              <w:t>3. SPMP completeness and realism</w:t>
            </w:r>
          </w:p>
        </w:tc>
        <w:tc>
          <w:tcPr>
            <w:tcW w:type="dxa" w:w="2520"/>
            <w:vAlign w:val="center"/>
          </w:tcPr>
          <w:p>
            <w:r>
              <w:t>20</w:t>
            </w:r>
          </w:p>
        </w:tc>
        <w:tc>
          <w:tcPr>
            <w:tcW w:type="dxa" w:w="2520"/>
            <w:vAlign w:val="center"/>
          </w:tcPr>
          <w:p>
            <w:r>
              <w:t>17</w:t>
            </w:r>
          </w:p>
        </w:tc>
        <w:tc>
          <w:tcPr>
            <w:tcW w:type="dxa" w:w="2520"/>
            <w:vAlign w:val="center"/>
          </w:tcPr>
          <w:p>
            <w:r>
              <w:t>Broad and detailed plan with hour-based estimates, iterative model, blended working, DevOps, roles, risks, quality and change controls. Some controls remain planned rather than evidenced.</w:t>
            </w:r>
          </w:p>
        </w:tc>
      </w:tr>
      <w:tr>
        <w:tc>
          <w:tcPr>
            <w:tcW w:type="dxa" w:w="2520"/>
            <w:vAlign w:val="center"/>
          </w:tcPr>
          <w:p>
            <w:r>
              <w:t>4. Quotation correctness and completeness</w:t>
            </w:r>
          </w:p>
        </w:tc>
        <w:tc>
          <w:tcPr>
            <w:tcW w:type="dxa" w:w="2520"/>
            <w:vAlign w:val="center"/>
          </w:tcPr>
          <w:p>
            <w:r>
              <w:t>10</w:t>
            </w:r>
          </w:p>
        </w:tc>
        <w:tc>
          <w:tcPr>
            <w:tcW w:type="dxa" w:w="2520"/>
            <w:vAlign w:val="center"/>
          </w:tcPr>
          <w:p>
            <w:r>
              <w:t>9</w:t>
            </w:r>
          </w:p>
        </w:tc>
        <w:tc>
          <w:tcPr>
            <w:tcW w:type="dxa" w:w="2520"/>
            <w:vAlign w:val="center"/>
          </w:tcPr>
          <w:p>
            <w:r>
              <w:t>Arithmetic follows the prescribed rate/expenses/VAT. Slight deduction because a separately identifiable quotation/approval-ready deliverable and chosen formal estimate basis should be confirmed.</w:t>
            </w:r>
          </w:p>
        </w:tc>
      </w:tr>
      <w:tr>
        <w:tc>
          <w:tcPr>
            <w:tcW w:type="dxa" w:w="2520"/>
            <w:vAlign w:val="center"/>
          </w:tcPr>
          <w:p>
            <w:r>
              <w:t>5. Development-effort overview and retrospective</w:t>
            </w:r>
          </w:p>
        </w:tc>
        <w:tc>
          <w:tcPr>
            <w:tcW w:type="dxa" w:w="2520"/>
            <w:vAlign w:val="center"/>
          </w:tcPr>
          <w:p>
            <w:r>
              <w:t>10</w:t>
            </w:r>
          </w:p>
        </w:tc>
        <w:tc>
          <w:tcPr>
            <w:tcW w:type="dxa" w:w="2520"/>
            <w:vAlign w:val="center"/>
          </w:tcPr>
          <w:p>
            <w:r>
              <w:t>7</w:t>
            </w:r>
          </w:p>
        </w:tc>
        <w:tc>
          <w:tcPr>
            <w:tcW w:type="dxa" w:w="2520"/>
            <w:vAlign w:val="center"/>
          </w:tcPr>
          <w:p>
            <w:r>
              <w:t>Iterative increments and lessons are documented; evidence chronology is partly reconstructed rather than supported by actual release/meeting artefacts.</w:t>
            </w:r>
          </w:p>
        </w:tc>
      </w:tr>
      <w:tr>
        <w:tc>
          <w:tcPr>
            <w:tcW w:type="dxa" w:w="2520"/>
            <w:vAlign w:val="center"/>
          </w:tcPr>
          <w:p>
            <w:r>
              <w:t>6. Business-layer design and layer interaction</w:t>
            </w:r>
          </w:p>
        </w:tc>
        <w:tc>
          <w:tcPr>
            <w:tcW w:type="dxa" w:w="2520"/>
            <w:vAlign w:val="center"/>
          </w:tcPr>
          <w:p>
            <w:r>
              <w:t>20</w:t>
            </w:r>
          </w:p>
        </w:tc>
        <w:tc>
          <w:tcPr>
            <w:tcW w:type="dxa" w:w="2520"/>
            <w:vAlign w:val="center"/>
          </w:tcPr>
          <w:p>
            <w:r>
              <w:t>16</w:t>
            </w:r>
          </w:p>
        </w:tc>
        <w:tc>
          <w:tcPr>
            <w:tcW w:type="dxa" w:w="2520"/>
            <w:vAlign w:val="center"/>
          </w:tcPr>
          <w:p>
            <w:r>
              <w:t>Substantial design, sequences, algorithms, technology motivation and traceability. Need final validation against approved specification and final editable UML set.</w:t>
            </w:r>
          </w:p>
        </w:tc>
      </w:tr>
      <w:tr>
        <w:tc>
          <w:tcPr>
            <w:tcW w:type="dxa" w:w="2520"/>
            <w:vAlign w:val="center"/>
          </w:tcPr>
          <w:p>
            <w:r>
              <w:t>7. General submission format, completeness and professionalism</w:t>
            </w:r>
          </w:p>
        </w:tc>
        <w:tc>
          <w:tcPr>
            <w:tcW w:type="dxa" w:w="2520"/>
            <w:vAlign w:val="center"/>
          </w:tcPr>
          <w:p>
            <w:r>
              <w:t>10</w:t>
            </w:r>
          </w:p>
        </w:tc>
        <w:tc>
          <w:tcPr>
            <w:tcW w:type="dxa" w:w="2520"/>
            <w:vAlign w:val="center"/>
          </w:tcPr>
          <w:p>
            <w:r>
              <w:t>8</w:t>
            </w:r>
          </w:p>
        </w:tc>
        <w:tc>
          <w:tcPr>
            <w:tcW w:type="dxa" w:w="2520"/>
            <w:vAlign w:val="center"/>
          </w:tcPr>
          <w:p>
            <w:r>
              <w:t>Professional structure and caveats; remaining risks include missing companion deliverables, feedback/approval evidence, source provenance and portfolio assembly.</w:t>
            </w:r>
          </w:p>
        </w:tc>
      </w:tr>
    </w:tbl>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Criterion aligned to brief</w:t>
            </w:r>
          </w:p>
        </w:tc>
        <w:tc>
          <w:tcPr>
            <w:tcW w:type="dxa" w:w="2520"/>
            <w:shd w:fill="D9EAF7"/>
          </w:tcPr>
          <w:p>
            <w:r>
              <w:rPr>
                <w:b/>
              </w:rPr>
              <w:t>Weight</w:t>
            </w:r>
          </w:p>
        </w:tc>
        <w:tc>
          <w:tcPr>
            <w:tcW w:type="dxa" w:w="2520"/>
            <w:shd w:fill="D9EAF7"/>
          </w:tcPr>
          <w:p>
            <w:r>
              <w:rPr>
                <w:b/>
              </w:rPr>
              <w:t>Estimated mark</w:t>
            </w:r>
          </w:p>
        </w:tc>
        <w:tc>
          <w:tcPr>
            <w:tcW w:type="dxa" w:w="2520"/>
            <w:shd w:fill="D9EAF7"/>
          </w:tcPr>
          <w:p>
            <w:r>
              <w:rPr>
                <w:b/>
              </w:rPr>
              <w:t>Reasoning</w:t>
            </w:r>
          </w:p>
        </w:tc>
      </w:tr>
      <w:tr>
        <w:tc>
          <w:tcPr>
            <w:tcW w:type="dxa" w:w="2520"/>
            <w:vAlign w:val="center"/>
          </w:tcPr>
          <w:p>
            <w:r>
              <w:t>TOTAL</w:t>
            </w:r>
          </w:p>
        </w:tc>
        <w:tc>
          <w:tcPr>
            <w:tcW w:type="dxa" w:w="2520"/>
            <w:vAlign w:val="center"/>
          </w:tcPr>
          <w:p>
            <w:r>
              <w:t>100</w:t>
            </w:r>
          </w:p>
        </w:tc>
        <w:tc>
          <w:tcPr>
            <w:tcW w:type="dxa" w:w="2520"/>
            <w:vAlign w:val="center"/>
          </w:tcPr>
          <w:p>
            <w:r>
              <w:t>76/100</w:t>
            </w:r>
          </w:p>
        </w:tc>
        <w:tc>
          <w:tcPr>
            <w:tcW w:type="dxa" w:w="2520"/>
            <w:vAlign w:val="center"/>
          </w:tcPr>
          <w:p>
            <w:r>
              <w:t>The criterion marks above sum to 76/100. The conservative 62–74 range reflects uncertainty in the actual marking rubric and the risk that missing companion deliverables are treated as major omissions.</w:t>
            </w:r>
          </w:p>
        </w:tc>
      </w:tr>
    </w:tbl>
    <w:p/>
    <w:p>
      <w:r>
        <w:t>Scoring clarification: the table's illustrative criterion marks sum to 76/100. The conservative 62–74 range reflects the uncertainty of the actual marking rubric and the possibility that missing specification files are treated as major omissions. If the final submission is only the supplied consolidated document and does not include the separate required specification artefacts, a marker could reasonably score below the central estimate. If the complete required portfolio is supplied and authenticated, 72–82 is a plausible conditional range. The lecturer's actual rubric and the actual submitted portfolio take precedence.</w:t>
      </w:r>
    </w:p>
    <w:p>
      <w:pPr>
        <w:pStyle w:val="Heading1"/>
      </w:pPr>
      <w:r>
        <w:t>7. Supplementary quality score (not the official mark)</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Quality dimension</w:t>
            </w:r>
          </w:p>
        </w:tc>
        <w:tc>
          <w:tcPr>
            <w:tcW w:type="dxa" w:w="2520"/>
            <w:shd w:fill="D9EAF7"/>
          </w:tcPr>
          <w:p>
            <w:r>
              <w:rPr>
                <w:b/>
              </w:rPr>
              <w:t>Weight</w:t>
            </w:r>
          </w:p>
        </w:tc>
        <w:tc>
          <w:tcPr>
            <w:tcW w:type="dxa" w:w="2520"/>
            <w:shd w:fill="D9EAF7"/>
          </w:tcPr>
          <w:p>
            <w:r>
              <w:rPr>
                <w:b/>
              </w:rPr>
              <w:t>Score</w:t>
            </w:r>
          </w:p>
        </w:tc>
        <w:tc>
          <w:tcPr>
            <w:tcW w:type="dxa" w:w="2520"/>
            <w:shd w:fill="D9EAF7"/>
          </w:tcPr>
          <w:p>
            <w:r>
              <w:rPr>
                <w:b/>
              </w:rPr>
              <w:t>Reasoning</w:t>
            </w:r>
          </w:p>
        </w:tc>
      </w:tr>
      <w:tr>
        <w:tc>
          <w:tcPr>
            <w:tcW w:type="dxa" w:w="2520"/>
            <w:vAlign w:val="center"/>
          </w:tcPr>
          <w:p>
            <w:r>
              <w:t>Content coverage and coherence</w:t>
            </w:r>
          </w:p>
        </w:tc>
        <w:tc>
          <w:tcPr>
            <w:tcW w:type="dxa" w:w="2520"/>
            <w:vAlign w:val="center"/>
          </w:tcPr>
          <w:p>
            <w:r>
              <w:t>20</w:t>
            </w:r>
          </w:p>
        </w:tc>
        <w:tc>
          <w:tcPr>
            <w:tcW w:type="dxa" w:w="2520"/>
            <w:vAlign w:val="center"/>
          </w:tcPr>
          <w:p>
            <w:r>
              <w:t>18</w:t>
            </w:r>
          </w:p>
        </w:tc>
        <w:tc>
          <w:tcPr>
            <w:tcW w:type="dxa" w:w="2520"/>
            <w:vAlign w:val="center"/>
          </w:tcPr>
          <w:p>
            <w:r>
              <w:t>Scope and document structure are strong.</w:t>
            </w:r>
          </w:p>
        </w:tc>
      </w:tr>
      <w:tr>
        <w:tc>
          <w:tcPr>
            <w:tcW w:type="dxa" w:w="2520"/>
            <w:vAlign w:val="center"/>
          </w:tcPr>
          <w:p>
            <w:r>
              <w:t>Requirements/design traceability</w:t>
            </w:r>
          </w:p>
        </w:tc>
        <w:tc>
          <w:tcPr>
            <w:tcW w:type="dxa" w:w="2520"/>
            <w:vAlign w:val="center"/>
          </w:tcPr>
          <w:p>
            <w:r>
              <w:t>15</w:t>
            </w:r>
          </w:p>
        </w:tc>
        <w:tc>
          <w:tcPr>
            <w:tcW w:type="dxa" w:w="2520"/>
            <w:vAlign w:val="center"/>
          </w:tcPr>
          <w:p>
            <w:r>
              <w:t>12</w:t>
            </w:r>
          </w:p>
        </w:tc>
        <w:tc>
          <w:tcPr>
            <w:tcW w:type="dxa" w:w="2520"/>
            <w:vAlign w:val="center"/>
          </w:tcPr>
          <w:p>
            <w:r>
              <w:t>FR/business-rule/design mappings exist; external verification against the full approved specification remains.</w:t>
            </w:r>
          </w:p>
        </w:tc>
      </w:tr>
      <w:tr>
        <w:tc>
          <w:tcPr>
            <w:tcW w:type="dxa" w:w="2520"/>
            <w:vAlign w:val="center"/>
          </w:tcPr>
          <w:p>
            <w:r>
              <w:t>SPMP practicality and project control</w:t>
            </w:r>
          </w:p>
        </w:tc>
        <w:tc>
          <w:tcPr>
            <w:tcW w:type="dxa" w:w="2520"/>
            <w:vAlign w:val="center"/>
          </w:tcPr>
          <w:p>
            <w:r>
              <w:t>15</w:t>
            </w:r>
          </w:p>
        </w:tc>
        <w:tc>
          <w:tcPr>
            <w:tcW w:type="dxa" w:w="2520"/>
            <w:vAlign w:val="center"/>
          </w:tcPr>
          <w:p>
            <w:r>
              <w:t>13</w:t>
            </w:r>
          </w:p>
        </w:tc>
        <w:tc>
          <w:tcPr>
            <w:tcW w:type="dxa" w:w="2520"/>
            <w:vAlign w:val="center"/>
          </w:tcPr>
          <w:p>
            <w:r>
              <w:t>Detailed, role-aware plan; execution evidence is incomplete.</w:t>
            </w:r>
          </w:p>
        </w:tc>
      </w:tr>
      <w:tr>
        <w:tc>
          <w:tcPr>
            <w:tcW w:type="dxa" w:w="2520"/>
            <w:vAlign w:val="center"/>
          </w:tcPr>
          <w:p>
            <w:r>
              <w:t>Business-layer design quality</w:t>
            </w:r>
          </w:p>
        </w:tc>
        <w:tc>
          <w:tcPr>
            <w:tcW w:type="dxa" w:w="2520"/>
            <w:vAlign w:val="center"/>
          </w:tcPr>
          <w:p>
            <w:r>
              <w:t>15</w:t>
            </w:r>
          </w:p>
        </w:tc>
        <w:tc>
          <w:tcPr>
            <w:tcW w:type="dxa" w:w="2520"/>
            <w:vAlign w:val="center"/>
          </w:tcPr>
          <w:p>
            <w:r>
              <w:t>12</w:t>
            </w:r>
          </w:p>
        </w:tc>
        <w:tc>
          <w:tcPr>
            <w:tcW w:type="dxa" w:w="2520"/>
            <w:vAlign w:val="center"/>
          </w:tcPr>
          <w:p>
            <w:r>
              <w:t>Good depth; final UML/specification validation still required.</w:t>
            </w:r>
          </w:p>
        </w:tc>
      </w:tr>
      <w:tr>
        <w:tc>
          <w:tcPr>
            <w:tcW w:type="dxa" w:w="2520"/>
            <w:vAlign w:val="center"/>
          </w:tcPr>
          <w:p>
            <w:r>
              <w:t>Estimate, quotation and hours integrity</w:t>
            </w:r>
          </w:p>
        </w:tc>
        <w:tc>
          <w:tcPr>
            <w:tcW w:type="dxa" w:w="2520"/>
            <w:vAlign w:val="center"/>
          </w:tcPr>
          <w:p>
            <w:r>
              <w:t>10</w:t>
            </w:r>
          </w:p>
        </w:tc>
        <w:tc>
          <w:tcPr>
            <w:tcW w:type="dxa" w:w="2520"/>
            <w:vAlign w:val="center"/>
          </w:tcPr>
          <w:p>
            <w:r>
              <w:t>9</w:t>
            </w:r>
          </w:p>
        </w:tc>
        <w:tc>
          <w:tcPr>
            <w:tcW w:type="dxa" w:w="2520"/>
            <w:vAlign w:val="center"/>
          </w:tcPr>
          <w:p>
            <w:r>
              <w:t>Arithmetic reconciles; hours are reported but not independently verified.</w:t>
            </w:r>
          </w:p>
        </w:tc>
      </w:tr>
      <w:tr>
        <w:tc>
          <w:tcPr>
            <w:tcW w:type="dxa" w:w="2520"/>
            <w:vAlign w:val="center"/>
          </w:tcPr>
          <w:p>
            <w:r>
              <w:t>Evidence provenance and submission completeness</w:t>
            </w:r>
          </w:p>
        </w:tc>
        <w:tc>
          <w:tcPr>
            <w:tcW w:type="dxa" w:w="2520"/>
            <w:vAlign w:val="center"/>
          </w:tcPr>
          <w:p>
            <w:r>
              <w:t>15</w:t>
            </w:r>
          </w:p>
        </w:tc>
        <w:tc>
          <w:tcPr>
            <w:tcW w:type="dxa" w:w="2520"/>
            <w:vAlign w:val="center"/>
          </w:tcPr>
          <w:p>
            <w:r>
              <w:t>8</w:t>
            </w:r>
          </w:p>
        </w:tc>
        <w:tc>
          <w:tcPr>
            <w:tcW w:type="dxa" w:w="2520"/>
            <w:vAlign w:val="center"/>
          </w:tcPr>
          <w:p>
            <w:r>
              <w:t>Clear caveats are a strength, but key companion files and historical source evidence are not established by this package.</w:t>
            </w:r>
          </w:p>
        </w:tc>
      </w:tr>
      <w:tr>
        <w:tc>
          <w:tcPr>
            <w:tcW w:type="dxa" w:w="2520"/>
            <w:vAlign w:val="center"/>
          </w:tcPr>
          <w:p>
            <w:r>
              <w:t>Presentation and professionalism</w:t>
            </w:r>
          </w:p>
        </w:tc>
        <w:tc>
          <w:tcPr>
            <w:tcW w:type="dxa" w:w="2520"/>
            <w:vAlign w:val="center"/>
          </w:tcPr>
          <w:p>
            <w:r>
              <w:t>10</w:t>
            </w:r>
          </w:p>
        </w:tc>
        <w:tc>
          <w:tcPr>
            <w:tcW w:type="dxa" w:w="2520"/>
            <w:vAlign w:val="center"/>
          </w:tcPr>
          <w:p>
            <w:r>
              <w:t>8</w:t>
            </w:r>
          </w:p>
        </w:tc>
        <w:tc>
          <w:tcPr>
            <w:tcW w:type="dxa" w:w="2520"/>
            <w:vAlign w:val="center"/>
          </w:tcPr>
          <w:p>
            <w:r>
              <w:t>Professional document; confirm final file naming, separate deliverables and pagination/TOC after assembly.</w:t>
            </w:r>
          </w:p>
        </w:tc>
      </w:tr>
    </w:tbl>
    <w:p/>
    <w:p>
      <w:r>
        <w:t>Supplementary document quality score: 80/100. This is a reviewer-created quality index; it is not the module's official mark.</w:t>
      </w:r>
    </w:p>
    <w:p>
      <w:pPr>
        <w:pStyle w:val="Heading1"/>
      </w:pPr>
      <w:r>
        <w:t>8. Priority correction plan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tcPr>
          <w:p>
            <w:r>
              <w:rPr>
                <w:b/>
              </w:rPr>
              <w:t>Priority</w:t>
            </w:r>
          </w:p>
        </w:tc>
        <w:tc>
          <w:tcPr>
            <w:tcW w:type="dxa" w:w="2520"/>
            <w:shd w:fill="D9EAF7"/>
          </w:tcPr>
          <w:p>
            <w:r>
              <w:rPr>
                <w:b/>
              </w:rPr>
              <w:t>Action</w:t>
            </w:r>
          </w:p>
        </w:tc>
        <w:tc>
          <w:tcPr>
            <w:tcW w:type="dxa" w:w="2520"/>
            <w:shd w:fill="D9EAF7"/>
          </w:tcPr>
          <w:p>
            <w:r>
              <w:rPr>
                <w:b/>
              </w:rPr>
              <w:t>Why it matters</w:t>
            </w:r>
          </w:p>
        </w:tc>
        <w:tc>
          <w:tcPr>
            <w:tcW w:type="dxa" w:w="2520"/>
            <w:shd w:fill="D9EAF7"/>
          </w:tcPr>
          <w:p>
            <w:r>
              <w:rPr>
                <w:b/>
              </w:rPr>
              <w:t>Completion evidence</w:t>
            </w:r>
          </w:p>
        </w:tc>
      </w:tr>
      <w:tr>
        <w:tc>
          <w:tcPr>
            <w:tcW w:type="dxa" w:w="2520"/>
            <w:vAlign w:val="center"/>
          </w:tcPr>
          <w:p>
            <w:r>
              <w:t>P0 — Before submission</w:t>
            </w:r>
          </w:p>
        </w:tc>
        <w:tc>
          <w:tcPr>
            <w:tcW w:type="dxa" w:w="2520"/>
            <w:vAlign w:val="center"/>
          </w:tcPr>
          <w:p>
            <w:r>
              <w:t>Assemble the full portfolio: initial specification, final revised specification with change appendix, SPMP, quotation, development-effort overview, design documentation, hours register and any required supporting artefacts.</w:t>
            </w:r>
          </w:p>
        </w:tc>
        <w:tc>
          <w:tcPr>
            <w:tcW w:type="dxa" w:w="2520"/>
            <w:vAlign w:val="center"/>
          </w:tcPr>
          <w:p>
            <w:r>
              <w:t>The brief treats these as separate submission obligations; a polished SPMP cannot replace missing deliverables.</w:t>
            </w:r>
          </w:p>
        </w:tc>
        <w:tc>
          <w:tcPr>
            <w:tcW w:type="dxa" w:w="2520"/>
            <w:vAlign w:val="center"/>
          </w:tcPr>
          <w:p>
            <w:r>
              <w:t>Final folder/Blackboard manifest with exact filenames and version numbers.</w:t>
            </w:r>
          </w:p>
        </w:tc>
      </w:tr>
      <w:tr>
        <w:tc>
          <w:tcPr>
            <w:tcW w:type="dxa" w:w="2520"/>
            <w:vAlign w:val="center"/>
          </w:tcPr>
          <w:p>
            <w:r>
              <w:t>P0 — Before submission</w:t>
            </w:r>
          </w:p>
        </w:tc>
        <w:tc>
          <w:tcPr>
            <w:tcW w:type="dxa" w:w="2520"/>
            <w:vAlign w:val="center"/>
          </w:tcPr>
          <w:p>
            <w:r>
              <w:t>Attach actual lecturer/client feedback and show each accepted/rejected change, or state factually that no feedback was received if that is the truth.</w:t>
            </w:r>
          </w:p>
        </w:tc>
        <w:tc>
          <w:tcPr>
            <w:tcW w:type="dxa" w:w="2520"/>
            <w:vAlign w:val="center"/>
          </w:tcPr>
          <w:p>
            <w:r>
              <w:t>The brief says feedback must be incorporated into the final specification when provided.</w:t>
            </w:r>
          </w:p>
        </w:tc>
        <w:tc>
          <w:tcPr>
            <w:tcW w:type="dxa" w:w="2520"/>
            <w:vAlign w:val="center"/>
          </w:tcPr>
          <w:p>
            <w:r>
              <w:t>Dated feedback record + change matrix + updated specification.</w:t>
            </w:r>
          </w:p>
        </w:tc>
      </w:tr>
      <w:tr>
        <w:tc>
          <w:tcPr>
            <w:tcW w:type="dxa" w:w="2520"/>
            <w:vAlign w:val="center"/>
          </w:tcPr>
          <w:p>
            <w:r>
              <w:t>P0 — Before submission</w:t>
            </w:r>
          </w:p>
        </w:tc>
        <w:tc>
          <w:tcPr>
            <w:tcW w:type="dxa" w:w="2520"/>
            <w:vAlign w:val="center"/>
          </w:tcPr>
          <w:p>
            <w:r>
              <w:t>Confirm all six members' weekly hours and category totals.</w:t>
            </w:r>
          </w:p>
        </w:tc>
        <w:tc>
          <w:tcPr>
            <w:tcW w:type="dxa" w:w="2520"/>
            <w:vAlign w:val="center"/>
          </w:tcPr>
          <w:p>
            <w:r>
              <w:t>The brief explicitly requires actual hours, and the current log is team-reported.</w:t>
            </w:r>
          </w:p>
        </w:tc>
        <w:tc>
          <w:tcPr>
            <w:tcW w:type="dxa" w:w="2520"/>
            <w:vAlign w:val="center"/>
          </w:tcPr>
          <w:p>
            <w:r>
              <w:t>Member confirmation or signed/dated reconciliation record.</w:t>
            </w:r>
          </w:p>
        </w:tc>
      </w:tr>
      <w:tr>
        <w:tc>
          <w:tcPr>
            <w:tcW w:type="dxa" w:w="2520"/>
            <w:vAlign w:val="center"/>
          </w:tcPr>
          <w:p>
            <w:r>
              <w:t>P1 — High</w:t>
            </w:r>
          </w:p>
        </w:tc>
        <w:tc>
          <w:tcPr>
            <w:tcW w:type="dxa" w:w="2520"/>
            <w:vAlign w:val="center"/>
          </w:tcPr>
          <w:p>
            <w:r>
              <w:t>Check the quotation against the chosen estimate basis and label original estimate vs retrospective equivalent.</w:t>
            </w:r>
          </w:p>
        </w:tc>
        <w:tc>
          <w:tcPr>
            <w:tcW w:type="dxa" w:w="2520"/>
            <w:vAlign w:val="center"/>
          </w:tcPr>
          <w:p>
            <w:r>
              <w:t>Prevents conflicting costs and makes the formal quotation auditable.</w:t>
            </w:r>
          </w:p>
        </w:tc>
        <w:tc>
          <w:tcPr>
            <w:tcW w:type="dxa" w:w="2520"/>
            <w:vAlign w:val="center"/>
          </w:tcPr>
          <w:p>
            <w:r>
              <w:t>One final quotation amount, calculation sheet and assumptions.</w:t>
            </w:r>
          </w:p>
        </w:tc>
      </w:tr>
      <w:tr>
        <w:tc>
          <w:tcPr>
            <w:tcW w:type="dxa" w:w="2520"/>
            <w:vAlign w:val="center"/>
          </w:tcPr>
          <w:p>
            <w:r>
              <w:t>P1 — High</w:t>
            </w:r>
          </w:p>
        </w:tc>
        <w:tc>
          <w:tcPr>
            <w:tcW w:type="dxa" w:w="2520"/>
            <w:vAlign w:val="center"/>
          </w:tcPr>
          <w:p>
            <w:r>
              <w:t>Validate the business-layer diagram against every FR and relevant business rule; verify multiplicities, types, signatures and lifecycle states.</w:t>
            </w:r>
          </w:p>
        </w:tc>
        <w:tc>
          <w:tcPr>
            <w:tcW w:type="dxa" w:w="2520"/>
            <w:vAlign w:val="center"/>
          </w:tcPr>
          <w:p>
            <w:r>
              <w:t>Reduces design inconsistencies and improves maintainability.</w:t>
            </w:r>
          </w:p>
        </w:tc>
        <w:tc>
          <w:tcPr>
            <w:tcW w:type="dxa" w:w="2520"/>
            <w:vAlign w:val="center"/>
          </w:tcPr>
          <w:p>
            <w:r>
              <w:t>Completed traceability/diagram review checklist.</w:t>
            </w:r>
          </w:p>
        </w:tc>
      </w:tr>
      <w:tr>
        <w:tc>
          <w:tcPr>
            <w:tcW w:type="dxa" w:w="2520"/>
            <w:vAlign w:val="center"/>
          </w:tcPr>
          <w:p>
            <w:r>
              <w:t>P1 — High</w:t>
            </w:r>
          </w:p>
        </w:tc>
        <w:tc>
          <w:tcPr>
            <w:tcW w:type="dxa" w:w="2520"/>
            <w:vAlign w:val="center"/>
          </w:tcPr>
          <w:p>
            <w:r>
              <w:t>Include the intended final editable Draw.io diagram(s), not only the single supplied use-case diagram if the final design requires class/sequence diagrams.</w:t>
            </w:r>
          </w:p>
        </w:tc>
        <w:tc>
          <w:tcPr>
            <w:tcW w:type="dxa" w:w="2520"/>
            <w:vAlign w:val="center"/>
          </w:tcPr>
          <w:p>
            <w:r>
              <w:t>The brief requires UML design of business objects and design documentation.</w:t>
            </w:r>
          </w:p>
        </w:tc>
        <w:tc>
          <w:tcPr>
            <w:tcW w:type="dxa" w:w="2520"/>
            <w:vAlign w:val="center"/>
          </w:tcPr>
          <w:p>
            <w:r>
              <w:t>Editable files open correctly and match the document's figure references.</w:t>
            </w:r>
          </w:p>
        </w:tc>
      </w:tr>
      <w:tr>
        <w:tc>
          <w:tcPr>
            <w:tcW w:type="dxa" w:w="2520"/>
            <w:vAlign w:val="center"/>
          </w:tcPr>
          <w:p>
            <w:r>
              <w:t>P2 — Recommended</w:t>
            </w:r>
          </w:p>
        </w:tc>
        <w:tc>
          <w:tcPr>
            <w:tcW w:type="dxa" w:w="2520"/>
            <w:vAlign w:val="center"/>
          </w:tcPr>
          <w:p>
            <w:r>
              <w:t>Add genuine commit/PR, CI, test, review and retrospective evidence if it exists.</w:t>
            </w:r>
          </w:p>
        </w:tc>
        <w:tc>
          <w:tcPr>
            <w:tcW w:type="dxa" w:w="2520"/>
            <w:vAlign w:val="center"/>
          </w:tcPr>
          <w:p>
            <w:r>
              <w:t>Supports professionalism and strengthens claims without overstating.</w:t>
            </w:r>
          </w:p>
        </w:tc>
        <w:tc>
          <w:tcPr>
            <w:tcW w:type="dxa" w:w="2520"/>
            <w:vAlign w:val="center"/>
          </w:tcPr>
          <w:p>
            <w:r>
              <w:t>Links, logs, screenshots or exportable records.</w:t>
            </w:r>
          </w:p>
        </w:tc>
      </w:tr>
      <w:tr>
        <w:tc>
          <w:tcPr>
            <w:tcW w:type="dxa" w:w="2520"/>
            <w:vAlign w:val="center"/>
          </w:tcPr>
          <w:p>
            <w:r>
              <w:t>P2 — Recommended</w:t>
            </w:r>
          </w:p>
        </w:tc>
        <w:tc>
          <w:tcPr>
            <w:tcW w:type="dxa" w:w="2520"/>
            <w:vAlign w:val="center"/>
          </w:tcPr>
          <w:p>
            <w:r>
              <w:t>Keep the supplemental reference implementation explicitly separate from original team code.</w:t>
            </w:r>
          </w:p>
        </w:tc>
        <w:tc>
          <w:tcPr>
            <w:tcW w:type="dxa" w:w="2520"/>
            <w:vAlign w:val="center"/>
          </w:tcPr>
          <w:p>
            <w:r>
              <w:t>Protects evidence integrity and avoids accidental misrepresentation.</w:t>
            </w:r>
          </w:p>
        </w:tc>
        <w:tc>
          <w:tcPr>
            <w:tcW w:type="dxa" w:w="2520"/>
            <w:vAlign w:val="center"/>
          </w:tcPr>
          <w:p>
            <w:r>
              <w:t>Appendix label and source-provenance statement.</w:t>
            </w:r>
          </w:p>
        </w:tc>
      </w:tr>
    </w:tbl>
    <w:p/>
    <w:p>
      <w:pPr>
        <w:pStyle w:val="Heading1"/>
      </w:pPr>
      <w:r>
        <w:t>9. Suggested corrected wording for key areas</w:t>
      </w:r>
    </w:p>
    <w:p>
      <w:pPr>
        <w:pStyle w:val="Heading2"/>
      </w:pPr>
      <w:r>
        <w:t>9.1 Evidence status statement</w:t>
      </w:r>
    </w:p>
    <w:p>
      <w:r>
        <w:t>“This portfolio distinguishes between (a) artefacts created by the project team during the project, (b) retrospective summaries reconstructed from team-provided records, and (c) supplemental reference material created for this consolidated delivery. No supplemental code, test result, or reconstructed chronology is presented as proof of historical team implementation unless supported by an original repository record or contemporaneous evidence. Any lecturer/client feedback is recorded with its date, source, decision and affected requirements; if no feedback record was received, this is stated explicitly.”</w:t>
      </w:r>
    </w:p>
    <w:p>
      <w:pPr>
        <w:pStyle w:val="Heading2"/>
      </w:pPr>
      <w:r>
        <w:t>9.2 Hours reconciliation statement</w:t>
      </w:r>
    </w:p>
    <w:p>
      <w:r>
        <w:t>“The original estimate is 560 person-hours. The supplied team-reported log totals 583 person-hours, giving a variance of +23 hours (+4.1%). The quotation in Section 4 is based on the 560-hour estimate. A separate retrospective cost equivalent based on 583 reported hours is shown only for comparison and is not a replacement quotation unless the team formally adopts the revised estimate. Member confirmation and available supporting records should be retained with the final portfolio.”</w:t>
      </w:r>
    </w:p>
    <w:p>
      <w:pPr>
        <w:pStyle w:val="Heading2"/>
      </w:pPr>
      <w:r>
        <w:t>9.3 Prototype provenance statement</w:t>
      </w:r>
    </w:p>
    <w:p>
      <w:r>
        <w:t>“Appendix K describes a supplemental reference implementation authored for this delivery. Its reported test results apply only to that reference implementation and its synthetic/local environment. They do not verify the historical project team's application or live PeopleSoft, payment, map, sensor, ANPR, push/email/SMS or physical gate integrations. The original team's source and test evidence should be linked separately if available.”</w:t>
      </w:r>
    </w:p>
    <w:p>
      <w:pPr>
        <w:pStyle w:val="Heading1"/>
      </w:pPr>
      <w:r>
        <w:t>10. Final judgement</w:t>
      </w:r>
    </w:p>
    <w:p>
      <w:r>
        <w:t>The final SPMP/design document is detailed, candid about limitations and substantially addresses the planning/design issues raised by the earlier review. Its strongest elements are the hour-based incremental plan, remote/blended working arrangements, risk and quality controls, transparent estimate reconciliation, business-layer sequences/algorithms, and careful separation of simulated or supplemental evidence from production claims.</w:t>
      </w:r>
    </w:p>
    <w:p>
      <w:r>
        <w:t>The most consequential improvements are administrative and evidentiary: provide the initial and final specification documents as separate deliverables, show real feedback/change handling, confirm the hours log, package a clear quotation, and ensure the final editable UML and source evidence are actually present. Complete those mandatory items before spending time on optional polish such as additional CI or more advanced UML constructs.</w:t>
      </w:r>
    </w:p>
    <w:p>
      <w:r>
        <w:t>Bottom line: the consolidated document itself is approximately 80/100 on the supplementary quality index. A reasonable current package estimate is around 62–76/100 depending on how the assessor treats missing companion artefacts, with a conservative range of 62–74 if the portfolio is incomplete. A higher range is possible only after the required artefacts are assembled and verified.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