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SECTION-BY-SECTION CHANGE LOG AND ACADEMIC RATIONALE</w:t>
      </w:r>
    </w:p>
    <w:p>
      <w:pPr>
        <w:jc w:val="center"/>
      </w:pPr>
      <w:r>
        <w:rPr>
          <w:rFonts w:ascii="Arial" w:hAnsi="Arial"/>
          <w:sz w:val="24"/>
        </w:rPr>
        <w:t>University Smart Parking &amp; Permit Management System (USPMS)</w:t>
        <w:br/>
        <w:t>Group 16 — The Architects | CSIS3724 Software Engineering</w:t>
      </w:r>
    </w:p>
    <w:p>
      <w:pPr>
        <w:jc w:val="center"/>
      </w:pPr>
      <w:r>
        <w:rPr>
          <w:i/>
        </w:rPr>
        <w:t>Companion to Group16_USPMS_Final_Completed_Submission.docx</w:t>
      </w:r>
    </w:p>
    <w:p>
      <w:pPr>
        <w:pStyle w:val="Heading1"/>
      </w:pPr>
      <w:r>
        <w:t>1. Purpose, scope and assessor perspective</w:t>
      </w:r>
    </w:p>
    <w:p>
      <w:r>
        <w:t>This report records the principal corrections, clarifications and additions made to the consolidated SPMP and business-layer design document. Each change is linked to an academic or professional objective: completeness, traceability, consistency, provenance, cost/effort accuracy, verification readiness or final-submission control. It distinguishes edits made directly in the document from items that still require real team evidence or institutional confirmation.</w:t>
      </w:r>
    </w:p>
    <w:p>
      <w:r>
        <w:t>This is not an official lecturer mark, official rubric, client approval or certification of implementation. The reviewed project PDF describes required deliverables and presentation expectations but does not provide a complete numeric weighting table. Accordingly, this report does not invent official marks, lecturer feedback, member signatures, historical application test results or proof of Blackboard upload.</w:t>
      </w:r>
    </w:p>
    <w:p>
      <w:pPr>
        <w:pStyle w:val="Heading1"/>
      </w:pPr>
      <w:r>
        <w:t>2. Change classification</w:t>
      </w:r>
    </w:p>
    <w:p>
      <w:pPr>
        <w:pStyle w:val="ListBullet"/>
      </w:pPr>
      <w:r>
        <w:rPr>
          <w:b/>
        </w:rPr>
        <w:t xml:space="preserve">Correction: </w:t>
      </w:r>
      <w:r>
        <w:t>A wording, calculation, consistency or evidence-status issue has been clarified.</w:t>
      </w:r>
    </w:p>
    <w:p>
      <w:pPr>
        <w:pStyle w:val="ListBullet"/>
      </w:pPr>
      <w:r>
        <w:rPr>
          <w:b/>
        </w:rPr>
        <w:t xml:space="preserve">Strengthening: </w:t>
      </w:r>
      <w:r>
        <w:t>Existing content has been made more explicit, traceable or assessable without changing the underlying project facts.</w:t>
      </w:r>
    </w:p>
    <w:p>
      <w:pPr>
        <w:pStyle w:val="ListBullet"/>
      </w:pPr>
      <w:r>
        <w:rPr>
          <w:b/>
        </w:rPr>
        <w:t xml:space="preserve">Supplement: </w:t>
      </w:r>
      <w:r>
        <w:t>New closure guidance, validation checks or reconciliation material has been added.</w:t>
      </w:r>
    </w:p>
    <w:p>
      <w:pPr>
        <w:pStyle w:val="ListBullet"/>
      </w:pPr>
      <w:r>
        <w:rPr>
          <w:b/>
        </w:rPr>
        <w:t xml:space="preserve">Team action required: </w:t>
      </w:r>
      <w:r>
        <w:t>The document cannot manufacture missing evidence; Group 16 must attach or confirm the real underlying item.</w:t>
      </w:r>
    </w:p>
    <w:p>
      <w:pPr>
        <w:pStyle w:val="Heading1"/>
      </w:pPr>
      <w:r>
        <w:t>3. Summary of the most important changes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Area</w:t>
            </w:r>
          </w:p>
        </w:tc>
        <w:tc>
          <w:tcPr>
            <w:tcW w:type="dxa" w:w="3360"/>
            <w:shd w:fill="D9EAF7"/>
          </w:tcPr>
          <w:p>
            <w:r>
              <w:rPr>
                <w:b/>
              </w:rPr>
              <w:t>Change made</w:t>
            </w:r>
          </w:p>
        </w:tc>
        <w:tc>
          <w:tcPr>
            <w:tcW w:type="dxa" w:w="3360"/>
            <w:shd w:fill="D9EAF7"/>
          </w:tcPr>
          <w:p>
            <w:r>
              <w:rPr>
                <w:b/>
              </w:rPr>
              <w:t>Why it is better</w:t>
            </w:r>
          </w:p>
        </w:tc>
      </w:tr>
      <w:tr>
        <w:tc>
          <w:tcPr>
            <w:tcW w:type="dxa" w:w="3360"/>
          </w:tcPr>
          <w:p>
            <w:r>
              <w:t>Executive status and provenance</w:t>
            </w:r>
          </w:p>
        </w:tc>
        <w:tc>
          <w:tcPr>
            <w:tcW w:type="dxa" w:w="3360"/>
          </w:tcPr>
          <w:p>
            <w:r>
              <w:t>Rewrote the executive-status paragraphs to describe what the portfolio contains while explicitly separating the supplemental reference prototype from historical Group 16 source code.</w:t>
            </w:r>
          </w:p>
        </w:tc>
        <w:tc>
          <w:tcPr>
            <w:tcW w:type="dxa" w:w="3360"/>
          </w:tcPr>
          <w:p>
            <w:r>
              <w:t>Prevents unsupported claims and gives the assessor a fair account of what is directly inspectable.</w:t>
            </w:r>
          </w:p>
        </w:tc>
      </w:tr>
      <w:tr>
        <w:tc>
          <w:tcPr>
            <w:tcW w:type="dxa" w:w="3360"/>
          </w:tcPr>
          <w:p>
            <w:r>
              <w:t>Quotation and effort reconciliation</w:t>
            </w:r>
          </w:p>
        </w:tc>
        <w:tc>
          <w:tcPr>
            <w:tcW w:type="dxa" w:w="3360"/>
          </w:tcPr>
          <w:p>
            <w:r>
              <w:t>Added the exact retrospective calculation for 583 reported hours, while preserving the 560-hour estimate and R236,670.00 estimate-based quotation as separate records.</w:t>
            </w:r>
          </w:p>
        </w:tc>
        <w:tc>
          <w:tcPr>
            <w:tcW w:type="dxa" w:w="3360"/>
          </w:tcPr>
          <w:p>
            <w:r>
              <w:t>Makes cost variance auditable without silently revising the original baseline.</w:t>
            </w:r>
          </w:p>
        </w:tc>
      </w:tr>
      <w:tr>
        <w:tc>
          <w:tcPr>
            <w:tcW w:type="dxa" w:w="3360"/>
          </w:tcPr>
          <w:p>
            <w:r>
              <w:t>Iteration history</w:t>
            </w:r>
          </w:p>
        </w:tc>
        <w:tc>
          <w:tcPr>
            <w:tcW w:type="dxa" w:w="3360"/>
          </w:tcPr>
          <w:p>
            <w:r>
              <w:t>Added a statement that retrospective phase groupings are not proof of formal sprint approvals, releases, commits or lecturer-directed changes.</w:t>
            </w:r>
          </w:p>
        </w:tc>
        <w:tc>
          <w:tcPr>
            <w:tcW w:type="dxa" w:w="3360"/>
          </w:tcPr>
          <w:p>
            <w:r>
              <w:t>Avoids converting inferred chronology into an unsupported claim.</w:t>
            </w:r>
          </w:p>
        </w:tc>
      </w:tr>
      <w:tr>
        <w:tc>
          <w:tcPr>
            <w:tcW w:type="dxa" w:w="3360"/>
          </w:tcPr>
          <w:p>
            <w:r>
              <w:t>Design validation</w:t>
            </w:r>
          </w:p>
        </w:tc>
        <w:tc>
          <w:tcPr>
            <w:tcW w:type="dxa" w:w="3360"/>
          </w:tcPr>
          <w:p>
            <w:r>
              <w:t>Added a design sign-off gate covering requirement-to-design-to-test traceability and high-risk invariants for authorisation, visitor allocation, occupancy freshness and payment.</w:t>
            </w:r>
          </w:p>
        </w:tc>
        <w:tc>
          <w:tcPr>
            <w:tcW w:type="dxa" w:w="3360"/>
          </w:tcPr>
          <w:p>
            <w:r>
              <w:t>Turns broad design prose into specific checks that can be assessed and tested.</w:t>
            </w:r>
          </w:p>
        </w:tc>
      </w:tr>
      <w:tr>
        <w:tc>
          <w:tcPr>
            <w:tcW w:type="dxa" w:w="3360"/>
          </w:tcPr>
          <w:p>
            <w:r>
              <w:t>Hours log integrity</w:t>
            </w:r>
          </w:p>
        </w:tc>
        <w:tc>
          <w:tcPr>
            <w:tcW w:type="dxa" w:w="3360"/>
          </w:tcPr>
          <w:p>
            <w:r>
              <w:t>Reinforced that the 583-hour record must not be altered merely to match the estimate and that member confirmation and the under-described W12 task require follow-up.</w:t>
            </w:r>
          </w:p>
        </w:tc>
        <w:tc>
          <w:tcPr>
            <w:tcW w:type="dxa" w:w="3360"/>
          </w:tcPr>
          <w:p>
            <w:r>
              <w:t>Protects the reliability of reported effort and makes the limitation transparent.</w:t>
            </w:r>
          </w:p>
        </w:tc>
      </w:tr>
      <w:tr>
        <w:tc>
          <w:tcPr>
            <w:tcW w:type="dxa" w:w="3360"/>
          </w:tcPr>
          <w:p>
            <w:r>
              <w:t>Final submission readiness</w:t>
            </w:r>
          </w:p>
        </w:tc>
        <w:tc>
          <w:tcPr>
            <w:tcW w:type="dxa" w:w="3360"/>
          </w:tcPr>
          <w:p>
            <w:r>
              <w:t>Added Appendix L, a compliance/evidence closure register with owners, technical acceptance checks and a sign-off template.</w:t>
            </w:r>
          </w:p>
        </w:tc>
        <w:tc>
          <w:tcPr>
            <w:tcW w:type="dxa" w:w="3360"/>
          </w:tcPr>
          <w:p>
            <w:r>
              <w:t>Turns open issues into actionable closure tasks.</w:t>
            </w:r>
          </w:p>
        </w:tc>
      </w:tr>
      <w:tr>
        <w:tc>
          <w:tcPr>
            <w:tcW w:type="dxa" w:w="3360"/>
          </w:tcPr>
          <w:p>
            <w:r>
              <w:t>Cost reconciliation</w:t>
            </w:r>
          </w:p>
        </w:tc>
        <w:tc>
          <w:tcPr>
            <w:tcW w:type="dxa" w:w="3360"/>
          </w:tcPr>
          <w:p>
            <w:r>
              <w:t>Added Appendix M with a side-by-side table for planned and retrospective cost calculations.</w:t>
            </w:r>
          </w:p>
        </w:tc>
        <w:tc>
          <w:tcPr>
            <w:tcW w:type="dxa" w:w="3360"/>
          </w:tcPr>
          <w:p>
            <w:r>
              <w:t>Improves readability and helps prevent the estimate and retrospective equivalent from being confused.</w:t>
            </w:r>
          </w:p>
        </w:tc>
      </w:tr>
    </w:tbl>
    <w:p>
      <w:pPr>
        <w:pStyle w:val="Heading1"/>
      </w:pPr>
      <w:r>
        <w:t>4. Detailed section-by-section analysis</w:t>
      </w:r>
    </w:p>
    <w:p>
      <w:pPr>
        <w:pStyle w:val="Heading2"/>
      </w:pPr>
      <w:r>
        <w:t>Cover page and document control</w:t>
      </w:r>
    </w:p>
    <w:p>
      <w:r>
        <w:rPr>
          <w:b/>
        </w:rPr>
        <w:t xml:space="preserve">What changed: </w:t>
      </w:r>
      <w:r>
        <w:t>Preserved the existing UFS/CSIS3724 title treatment, Group 16 identity, team-role allocation and document-baseline framing. The final edition builds on the original document rather than replacing it with a different template.</w:t>
      </w:r>
    </w:p>
    <w:p>
      <w:r>
        <w:rPr>
          <w:b/>
        </w:rPr>
        <w:t xml:space="preserve">Why the change is better: </w:t>
      </w:r>
      <w:r>
        <w:t>The cover page gives the assessor immediate context, ownership and purpose. Preserving the original visual system maintains continuity with the submitted portfolio.</w:t>
      </w:r>
    </w:p>
    <w:p>
      <w:r>
        <w:rPr>
          <w:b/>
        </w:rPr>
        <w:t xml:space="preserve">Remaining team action: </w:t>
      </w:r>
      <w:r>
        <w:t>Confirm the team names, student numbers, module code, preparation date and final filename before upload.</w:t>
      </w:r>
    </w:p>
    <w:p>
      <w:pPr>
        <w:pStyle w:val="Heading2"/>
      </w:pPr>
      <w:r>
        <w:t>Document Control and How to Read This Edition</w:t>
      </w:r>
    </w:p>
    <w:p>
      <w:r>
        <w:rPr>
          <w:b/>
        </w:rPr>
        <w:t xml:space="preserve">What changed: </w:t>
      </w:r>
      <w:r>
        <w:t>Strengthened the executive status to identify the main deliverables and to distinguish directly inspectable material from claims dependent on external evidence. Clarified that the reference prototype in Appendix K was newly authored for the consolidation task.</w:t>
      </w:r>
    </w:p>
    <w:p>
      <w:r>
        <w:rPr>
          <w:b/>
        </w:rPr>
        <w:t xml:space="preserve">Why the change is better: </w:t>
      </w:r>
      <w:r>
        <w:t>Provenance matters academically. A polished document must not imply that supplemental code is the original team implementation or that missing records were verified.</w:t>
      </w:r>
    </w:p>
    <w:p>
      <w:r>
        <w:rPr>
          <w:b/>
        </w:rPr>
        <w:t xml:space="preserve">Remaining team action: </w:t>
      </w:r>
      <w:r>
        <w:t>Confirm that every artefact described as included is physically present in the package uploaded to the course site.</w:t>
      </w:r>
    </w:p>
    <w:p>
      <w:pPr>
        <w:pStyle w:val="Heading2"/>
      </w:pPr>
      <w:r>
        <w:t>Chapter 1 — Project Baseline and Scope</w:t>
      </w:r>
    </w:p>
    <w:p>
      <w:r>
        <w:rPr>
          <w:b/>
        </w:rPr>
        <w:t xml:space="preserve">What changed: </w:t>
      </w:r>
      <w:r>
        <w:t>Retained the problem, aim, stakeholders, boundaries and exclusions. Reinforced the package-wide distinction between intended integration boundaries and live production integrations.</w:t>
      </w:r>
    </w:p>
    <w:p>
      <w:r>
        <w:rPr>
          <w:b/>
        </w:rPr>
        <w:t xml:space="preserve">Why the change is better: </w:t>
      </w:r>
      <w:r>
        <w:t>This keeps the project feasible and prevents future integrations—such as PeopleSoft, payments, mapping, notifications, sensors or ANPR—from being mistaken for completed, tested production features.</w:t>
      </w:r>
    </w:p>
    <w:p>
      <w:r>
        <w:rPr>
          <w:b/>
        </w:rPr>
        <w:t xml:space="preserve">Remaining team action: </w:t>
      </w:r>
      <w:r>
        <w:t>If the lecturer/client has approved a scope change, attach the dated decision and update the scope baseline and traceability.</w:t>
      </w:r>
    </w:p>
    <w:p>
      <w:pPr>
        <w:pStyle w:val="Heading2"/>
      </w:pPr>
      <w:r>
        <w:t>Chapter 3 — Software Project Management Plan (overall)</w:t>
      </w:r>
    </w:p>
    <w:p>
      <w:r>
        <w:rPr>
          <w:b/>
        </w:rPr>
        <w:t xml:space="preserve">What changed: </w:t>
      </w:r>
      <w:r>
        <w:t>Preserved the detailed SPMP and linked it to the new compliance register. The closure register calls for review of deliverables, schedule, iteration, DevOps, blended work, roles, risks, quality, change/configuration, issue management, communication, training, maintenance, security and improvement.</w:t>
      </w:r>
    </w:p>
    <w:p>
      <w:r>
        <w:rPr>
          <w:b/>
        </w:rPr>
        <w:t xml:space="preserve">Why the change is better: </w:t>
      </w:r>
      <w:r>
        <w:t>A project-management plan is more useful when it is not only descriptive but can be checked against evidence, owners and completion conditions.</w:t>
      </w:r>
    </w:p>
    <w:p>
      <w:r>
        <w:rPr>
          <w:b/>
        </w:rPr>
        <w:t xml:space="preserve">Remaining team action: </w:t>
      </w:r>
      <w:r>
        <w:t>Check every example section required by the official brief; mark a genuinely inapplicable item explicitly and explain why.</w:t>
      </w:r>
    </w:p>
    <w:p>
      <w:pPr>
        <w:pStyle w:val="Heading2"/>
      </w:pPr>
      <w:r>
        <w:t>Chapter 3.4 — Effort estimate and schedule baseline</w:t>
      </w:r>
    </w:p>
    <w:p>
      <w:r>
        <w:rPr>
          <w:b/>
        </w:rPr>
        <w:t xml:space="preserve">What changed: </w:t>
      </w:r>
      <w:r>
        <w:t>Kept the 560-person-hour planned estimate as the baseline and the 583-hour team-reported log as a separate retrospective record.</w:t>
      </w:r>
    </w:p>
    <w:p>
      <w:r>
        <w:rPr>
          <w:b/>
        </w:rPr>
        <w:t xml:space="preserve">Why the change is better: </w:t>
      </w:r>
      <w:r>
        <w:t>Planned effort and actual effort are different measures. Keeping them separate makes variance visible and prevents retrospective rewriting of the plan.</w:t>
      </w:r>
    </w:p>
    <w:p>
      <w:r>
        <w:rPr>
          <w:b/>
        </w:rPr>
        <w:t xml:space="preserve">Remaining team action: </w:t>
      </w:r>
      <w:r>
        <w:t>Confirm the planned duration in hours is consistent with the official brief and that person-hours are not confused with elapsed calendar time.</w:t>
      </w:r>
    </w:p>
    <w:p>
      <w:pPr>
        <w:pStyle w:val="Heading2"/>
      </w:pPr>
      <w:r>
        <w:t>Chapter 3.5 and Chapter 5 — Iterative-and-Incremental Model</w:t>
      </w:r>
    </w:p>
    <w:p>
      <w:r>
        <w:rPr>
          <w:b/>
        </w:rPr>
        <w:t xml:space="preserve">What changed: </w:t>
      </w:r>
      <w:r>
        <w:t>Preserved the increment strategy, feedback loop, evidence table and retrospective. Added a warning that period groupings reconstructed from weekly records do not prove formal sprint reviews, releases, commits or client acceptance.</w:t>
      </w:r>
    </w:p>
    <w:p>
      <w:r>
        <w:rPr>
          <w:b/>
        </w:rPr>
        <w:t xml:space="preserve">Why the change is better: </w:t>
      </w:r>
      <w:r>
        <w:t>This improves evidence integrity: it explains development evolution without claiming that reconstructed stages were formally approved or recorded as releases.</w:t>
      </w:r>
    </w:p>
    <w:p>
      <w:r>
        <w:rPr>
          <w:b/>
        </w:rPr>
        <w:t xml:space="preserve">Remaining team action: </w:t>
      </w:r>
      <w:r>
        <w:t>Attach genuine review minutes, demonstration outcomes, acceptance records or change decisions where available.</w:t>
      </w:r>
    </w:p>
    <w:p>
      <w:pPr>
        <w:pStyle w:val="Heading2"/>
      </w:pPr>
      <w:r>
        <w:t>Chapter 3.6–3.20 — Operating and governance controls</w:t>
      </w:r>
    </w:p>
    <w:p>
      <w:r>
        <w:rPr>
          <w:b/>
        </w:rPr>
        <w:t xml:space="preserve">What changed: </w:t>
      </w:r>
      <w:r>
        <w:t>Preserved DevOps, blended/remote work, roles, resources, schedule control, risk, quality, requirements/change, configuration, issue handling, communications, training, maintenance, security/privacy and process-improvement material. Appendix L links these controls to final release readiness.</w:t>
      </w:r>
    </w:p>
    <w:p>
      <w:r>
        <w:rPr>
          <w:b/>
        </w:rPr>
        <w:t xml:space="preserve">Why the change is better: </w:t>
      </w:r>
      <w:r>
        <w:t>This creates a clearer connection between intended process and the evidence needed to show it was followed.</w:t>
      </w:r>
    </w:p>
    <w:p>
      <w:r>
        <w:rPr>
          <w:b/>
        </w:rPr>
        <w:t xml:space="preserve">Remaining team action: </w:t>
      </w:r>
      <w:r>
        <w:t>Add authentic issues, reviews, meetings, risks, test records and change decisions if they exist; do not recreate a record and describe it as contemporaneous.</w:t>
      </w:r>
    </w:p>
    <w:p>
      <w:pPr>
        <w:pStyle w:val="Heading2"/>
      </w:pPr>
      <w:r>
        <w:t>Chapter 4 — Quotation for the System</w:t>
      </w:r>
    </w:p>
    <w:p>
      <w:r>
        <w:rPr>
          <w:b/>
        </w:rPr>
        <w:t xml:space="preserve">What changed: </w:t>
      </w:r>
      <w:r>
        <w:t>Preserved the estimate: 560 hours × R350 = R196,000 labour; 5% expenses = R9,800; subtotal = R205,800; 15% VAT = R30,870; total = R236,670. Added the separate retrospective equivalent based on 583 reported hours, totalling R246,390.38.</w:t>
      </w:r>
    </w:p>
    <w:p>
      <w:r>
        <w:rPr>
          <w:b/>
        </w:rPr>
        <w:t xml:space="preserve">Why the change is better: </w:t>
      </w:r>
      <w:r>
        <w:t>The two figures answer different questions. The original quote remains the estimate baseline; the retrospective equivalent illustrates the financial effect of the reported effort variance.</w:t>
      </w:r>
    </w:p>
    <w:p>
      <w:r>
        <w:rPr>
          <w:b/>
        </w:rPr>
        <w:t xml:space="preserve">Remaining team action: </w:t>
      </w:r>
      <w:r>
        <w:t>Do not present the retrospective equivalent as an invoice or accepted revised quotation without approval.</w:t>
      </w:r>
    </w:p>
    <w:p>
      <w:pPr>
        <w:pStyle w:val="Heading2"/>
      </w:pPr>
      <w:r>
        <w:t>Chapter 4.2–4.3 — Quotation assumptions and variance</w:t>
      </w:r>
    </w:p>
    <w:p>
      <w:r>
        <w:rPr>
          <w:b/>
        </w:rPr>
        <w:t xml:space="preserve">What changed: </w:t>
      </w:r>
      <w:r>
        <w:t>Made the +23-hour (+4.1%) total variance and category variances explicit. Identified Other (+50 hours) as the largest positive category variance and directed the team to review descriptions and categorisation.</w:t>
      </w:r>
    </w:p>
    <w:p>
      <w:r>
        <w:rPr>
          <w:b/>
        </w:rPr>
        <w:t xml:space="preserve">Why the change is better: </w:t>
      </w:r>
      <w:r>
        <w:t>A variance analysis should explain where effort differs from plan and trigger investigation, not cosmetic adjustment.</w:t>
      </w:r>
    </w:p>
    <w:p>
      <w:r>
        <w:rPr>
          <w:b/>
        </w:rPr>
        <w:t xml:space="preserve">Remaining team action: </w:t>
      </w:r>
      <w:r>
        <w:t>Review the source log and course category definitions. Document any verified correction with the original value, corrected value, reason, date and member confirmation.</w:t>
      </w:r>
    </w:p>
    <w:p>
      <w:pPr>
        <w:pStyle w:val="Heading2"/>
      </w:pPr>
      <w:r>
        <w:t>Chapter 6 — Design Documentation</w:t>
      </w:r>
    </w:p>
    <w:p>
      <w:r>
        <w:rPr>
          <w:b/>
        </w:rPr>
        <w:t xml:space="preserve">What changed: </w:t>
      </w:r>
      <w:r>
        <w:t>Retained business objects, class responsibilities, sequences, algorithms, architecture, technology rationale, security/failure handling and traceability. Added a specific validation gate for requirement mapping, multiplicities and lifecycle invariants.</w:t>
      </w:r>
    </w:p>
    <w:p>
      <w:r>
        <w:rPr>
          <w:b/>
        </w:rPr>
        <w:t xml:space="preserve">Why the change is better: </w:t>
      </w:r>
      <w:r>
        <w:t>Assessors can more readily judge a design when requirements map to business responsibilities and verification methods rather than remaining only narrative.</w:t>
      </w:r>
    </w:p>
    <w:p>
      <w:r>
        <w:rPr>
          <w:b/>
        </w:rPr>
        <w:t xml:space="preserve">Remaining team action: </w:t>
      </w:r>
      <w:r>
        <w:t>Open and inspect the actual editable Draw.io sources. Check that the diagrams referenced in the text are present, editable and consistent with the final specification and any adopted code.</w:t>
      </w:r>
    </w:p>
    <w:p>
      <w:pPr>
        <w:pStyle w:val="Heading2"/>
      </w:pPr>
      <w:r>
        <w:t>Chapter 6.9 — Complex calculations and algorithms</w:t>
      </w:r>
    </w:p>
    <w:p>
      <w:r>
        <w:rPr>
          <w:b/>
        </w:rPr>
        <w:t xml:space="preserve">What changed: </w:t>
      </w:r>
      <w:r>
        <w:t>Reinforced the critical ordering and transaction rules: authorisation before ranking; conflict checks at reservation commit; temporary visitor credentials restricted to the approved resource and time window; and payment status changed only after confirmed or authorised settlement.</w:t>
      </w:r>
    </w:p>
    <w:p>
      <w:r>
        <w:rPr>
          <w:b/>
        </w:rPr>
        <w:t xml:space="preserve">Why the change is better: </w:t>
      </w:r>
      <w:r>
        <w:t>These are high-risk business invariants affecting safety, fairness, privacy and financial correctness. Making them explicit supports focused testing.</w:t>
      </w:r>
    </w:p>
    <w:p>
      <w:r>
        <w:rPr>
          <w:b/>
        </w:rPr>
        <w:t xml:space="preserve">Remaining team action: </w:t>
      </w:r>
      <w:r>
        <w:t>Confirm the design and adopted implementation apply the same rules, and attach genuine test outputs for the historical application if available.</w:t>
      </w:r>
    </w:p>
    <w:p>
      <w:pPr>
        <w:pStyle w:val="Heading2"/>
      </w:pPr>
      <w:r>
        <w:t>Chapter 7 — Record of Hours Spent</w:t>
      </w:r>
    </w:p>
    <w:p>
      <w:r>
        <w:rPr>
          <w:b/>
        </w:rPr>
        <w:t xml:space="preserve">What changed: </w:t>
      </w:r>
      <w:r>
        <w:t>Preserved the team-reported 583-hour record and per-member weekly detail. Added explicit direction not to change entries just to match the estimate, and to obtain member confirmation and clarification of Iviwe Faye's W12 Other task.</w:t>
      </w:r>
    </w:p>
    <w:p>
      <w:r>
        <w:rPr>
          <w:b/>
        </w:rPr>
        <w:t xml:space="preserve">Why the change is better: </w:t>
      </w:r>
      <w:r>
        <w:t>Transparent qualification is more credible than unsupported certainty. It lets the assessor distinguish an arithmetic reconciliation from independent audit.</w:t>
      </w:r>
    </w:p>
    <w:p>
      <w:r>
        <w:rPr>
          <w:b/>
        </w:rPr>
        <w:t xml:space="preserve">Remaining team action: </w:t>
      </w:r>
      <w:r>
        <w:t>Obtain confirmation from all six members and retain real supporting records where available.</w:t>
      </w:r>
    </w:p>
    <w:p>
      <w:pPr>
        <w:pStyle w:val="Heading2"/>
      </w:pPr>
      <w:r>
        <w:t>Chapter 8 — Final Portfolio Assembly and Submission Checklist</w:t>
      </w:r>
    </w:p>
    <w:p>
      <w:r>
        <w:rPr>
          <w:b/>
        </w:rPr>
        <w:t xml:space="preserve">What changed: </w:t>
      </w:r>
      <w:r>
        <w:t>Added an evidence-status distinction—directly inspectable, described but not included, team-reported but not independently corroborated, or not supplied in the reviewed package. Appendix L adds closure owners and a sign-off template.</w:t>
      </w:r>
    </w:p>
    <w:p>
      <w:r>
        <w:rPr>
          <w:b/>
        </w:rPr>
        <w:t xml:space="preserve">Why the change is better: </w:t>
      </w:r>
      <w:r>
        <w:t>This reduces ambiguity and turns last-minute completion into a manageable release checklist.</w:t>
      </w:r>
    </w:p>
    <w:p>
      <w:r>
        <w:rPr>
          <w:b/>
        </w:rPr>
        <w:t xml:space="preserve">Remaining team action: </w:t>
      </w:r>
      <w:r>
        <w:t>Refresh the Word contents and page fields, check page numbers and tables, verify file naming and format, and retain the actual upload receipt.</w:t>
      </w:r>
    </w:p>
    <w:p>
      <w:pPr>
        <w:pStyle w:val="Heading2"/>
      </w:pPr>
      <w:r>
        <w:t>Appendix A — Functional Requirements to Use-Case Traceability</w:t>
      </w:r>
    </w:p>
    <w:p>
      <w:r>
        <w:rPr>
          <w:b/>
        </w:rPr>
        <w:t xml:space="preserve">What changed: </w:t>
      </w:r>
      <w:r>
        <w:t>Retained the existing requirement mappings and reinforced the need to check every requirement against a use case, business object/service and acceptance check.</w:t>
      </w:r>
    </w:p>
    <w:p>
      <w:r>
        <w:rPr>
          <w:b/>
        </w:rPr>
        <w:t xml:space="preserve">Why the change is better: </w:t>
      </w:r>
      <w:r>
        <w:t>Traceability is a completeness control: requirements without a design and verification path are easy to omit or misinterpret.</w:t>
      </w:r>
    </w:p>
    <w:p>
      <w:r>
        <w:rPr>
          <w:b/>
        </w:rPr>
        <w:t xml:space="preserve">Remaining team action: </w:t>
      </w:r>
      <w:r>
        <w:t>Verify all 35 FRs, 15 NFRs and 31 business rules against the actual final specification.</w:t>
      </w:r>
    </w:p>
    <w:p>
      <w:pPr>
        <w:pStyle w:val="Heading2"/>
      </w:pPr>
      <w:r>
        <w:t>Appendix B — Version History</w:t>
      </w:r>
    </w:p>
    <w:p>
      <w:r>
        <w:rPr>
          <w:b/>
        </w:rPr>
        <w:t xml:space="preserve">What changed: </w:t>
      </w:r>
      <w:r>
        <w:t>Preserved the version history and source baseline, while maintaining the distinction between visible artefact refinements and undocumented approvals or feedback.</w:t>
      </w:r>
    </w:p>
    <w:p>
      <w:r>
        <w:rPr>
          <w:b/>
        </w:rPr>
        <w:t xml:space="preserve">Why the change is better: </w:t>
      </w:r>
      <w:r>
        <w:t>Version history should explain evolution without implying a formal sign-off that cannot be shown.</w:t>
      </w:r>
    </w:p>
    <w:p>
      <w:r>
        <w:rPr>
          <w:b/>
        </w:rPr>
        <w:t xml:space="preserve">Remaining team action: </w:t>
      </w:r>
      <w:r>
        <w:t>Use genuine file versions, dates and source references; add only supported history.</w:t>
      </w:r>
    </w:p>
    <w:p>
      <w:pPr>
        <w:pStyle w:val="Heading2"/>
      </w:pPr>
      <w:r>
        <w:t>Appendix C — Decision and Design Register</w:t>
      </w:r>
    </w:p>
    <w:p>
      <w:r>
        <w:rPr>
          <w:b/>
        </w:rPr>
        <w:t xml:space="preserve">What changed: </w:t>
      </w:r>
      <w:r>
        <w:t>Retained the documented decision structure and tied design decisions to the new final validation checks.</w:t>
      </w:r>
    </w:p>
    <w:p>
      <w:r>
        <w:rPr>
          <w:b/>
        </w:rPr>
        <w:t xml:space="preserve">Why the change is better: </w:t>
      </w:r>
      <w:r>
        <w:t>Decision records help an assessor understand why a choice was made and what requirements or components it affects.</w:t>
      </w:r>
    </w:p>
    <w:p>
      <w:r>
        <w:rPr>
          <w:b/>
        </w:rPr>
        <w:t xml:space="preserve">Remaining team action: </w:t>
      </w:r>
      <w:r>
        <w:t>For material decisions, record date, owner, alternatives, rationale and downstream impact.</w:t>
      </w:r>
    </w:p>
    <w:p>
      <w:pPr>
        <w:pStyle w:val="Heading2"/>
      </w:pPr>
      <w:r>
        <w:t>Appendix D — Feedback Register and Status</w:t>
      </w:r>
    </w:p>
    <w:p>
      <w:r>
        <w:rPr>
          <w:b/>
        </w:rPr>
        <w:t xml:space="preserve">What changed: </w:t>
      </w:r>
      <w:r>
        <w:t>Preserved the statement that no dated lecturer/client feedback log was located in the reviewed repository snapshot. The updated report continues not to invent feedback.</w:t>
      </w:r>
    </w:p>
    <w:p>
      <w:r>
        <w:rPr>
          <w:b/>
        </w:rPr>
        <w:t xml:space="preserve">Why the change is better: </w:t>
      </w:r>
      <w:r>
        <w:t>This is an important integrity safeguard: absence from the inspected package is not treated as proof that feedback never existed.</w:t>
      </w:r>
    </w:p>
    <w:p>
      <w:r>
        <w:rPr>
          <w:b/>
        </w:rPr>
        <w:t xml:space="preserve">Remaining team action: </w:t>
      </w:r>
      <w:r>
        <w:t>Search email, the learning platform and meeting records. If feedback exists, record its actual source and map it to a change.</w:t>
      </w:r>
    </w:p>
    <w:p>
      <w:pPr>
        <w:pStyle w:val="Heading2"/>
      </w:pPr>
      <w:r>
        <w:t>Appendix E — Source and Submission Evidence Index</w:t>
      </w:r>
    </w:p>
    <w:p>
      <w:r>
        <w:rPr>
          <w:b/>
        </w:rPr>
        <w:t xml:space="preserve">What changed: </w:t>
      </w:r>
      <w:r>
        <w:t>Preserved the repository inventory and its limitations. The closure register explicitly requires physical verification of all referenced diagrams, source, tests, time records and submission receipt.</w:t>
      </w:r>
    </w:p>
    <w:p>
      <w:r>
        <w:rPr>
          <w:b/>
        </w:rPr>
        <w:t xml:space="preserve">Why the change is better: </w:t>
      </w:r>
      <w:r>
        <w:t>An evidence index is only effective when its references point to real, accessible files.</w:t>
      </w:r>
    </w:p>
    <w:p>
      <w:r>
        <w:rPr>
          <w:b/>
        </w:rPr>
        <w:t xml:space="preserve">Remaining team action: </w:t>
      </w:r>
      <w:r>
        <w:t>Create a final manifest with exact filenames and test that each file opens on a clean machine or in a fresh environment.</w:t>
      </w:r>
    </w:p>
    <w:p>
      <w:pPr>
        <w:pStyle w:val="Heading2"/>
      </w:pPr>
      <w:r>
        <w:t>Appendix F — Specification Change and Reconciliation Register</w:t>
      </w:r>
    </w:p>
    <w:p>
      <w:r>
        <w:rPr>
          <w:b/>
        </w:rPr>
        <w:t xml:space="preserve">What changed: </w:t>
      </w:r>
      <w:r>
        <w:t>Preserved the distinction between artefact reconciliation and lecturer-directed changes. Clarified that actual feedback entries need source, date, affected requirement, decision, rationale, owner and evidence.</w:t>
      </w:r>
    </w:p>
    <w:p>
      <w:r>
        <w:rPr>
          <w:b/>
        </w:rPr>
        <w:t xml:space="preserve">Why the change is better: </w:t>
      </w:r>
      <w:r>
        <w:t>This creates a reproducible change trail and avoids unsupported attribution.</w:t>
      </w:r>
    </w:p>
    <w:p>
      <w:r>
        <w:rPr>
          <w:b/>
        </w:rPr>
        <w:t xml:space="preserve">Remaining team action: </w:t>
      </w:r>
      <w:r>
        <w:t>Add only genuine feedback and retain accepted/rejected decisions and reasoning.</w:t>
      </w:r>
    </w:p>
    <w:p>
      <w:pPr>
        <w:pStyle w:val="Heading2"/>
      </w:pPr>
      <w:r>
        <w:t>Appendix G — Glossary and Status Definitions</w:t>
      </w:r>
    </w:p>
    <w:p>
      <w:r>
        <w:rPr>
          <w:b/>
        </w:rPr>
        <w:t xml:space="preserve">What changed: </w:t>
      </w:r>
      <w:r>
        <w:t>Retained the glossary and applied evidence-status language consistently in the new compliance register.</w:t>
      </w:r>
    </w:p>
    <w:p>
      <w:r>
        <w:rPr>
          <w:b/>
        </w:rPr>
        <w:t xml:space="preserve">Why the change is better: </w:t>
      </w:r>
      <w:r>
        <w:t>Consistent terms reduce ambiguity across a long document and make status statements easier to assess.</w:t>
      </w:r>
    </w:p>
    <w:p>
      <w:r>
        <w:rPr>
          <w:b/>
        </w:rPr>
        <w:t xml:space="preserve">Remaining team action: </w:t>
      </w:r>
      <w:r>
        <w:t>Check that abbreviations and definitions match the final specification and diagrams.</w:t>
      </w:r>
    </w:p>
    <w:p>
      <w:pPr>
        <w:pStyle w:val="Heading2"/>
      </w:pPr>
      <w:r>
        <w:t>Appendix H — Nine detailed use-case modules</w:t>
      </w:r>
    </w:p>
    <w:p>
      <w:r>
        <w:rPr>
          <w:b/>
        </w:rPr>
        <w:t xml:space="preserve">What changed: </w:t>
      </w:r>
      <w:r>
        <w:t>Retained the nine-module summary index and its limitation that it is not a verbatim replacement for the full detailed use-case source. The executive status explicitly states the system-level summary is not a tenth module.</w:t>
      </w:r>
    </w:p>
    <w:p>
      <w:r>
        <w:rPr>
          <w:b/>
        </w:rPr>
        <w:t xml:space="preserve">Why the change is better: </w:t>
      </w:r>
      <w:r>
        <w:t>This prevents scope and counting inconsistencies and clarifies the controlled source artefact relationship.</w:t>
      </w:r>
    </w:p>
    <w:p>
      <w:r>
        <w:rPr>
          <w:b/>
        </w:rPr>
        <w:t xml:space="preserve">Remaining team action: </w:t>
      </w:r>
      <w:r>
        <w:t>Attach the complete detailed use-case document separately if required by the brief.</w:t>
      </w:r>
    </w:p>
    <w:p>
      <w:pPr>
        <w:pStyle w:val="Heading2"/>
      </w:pPr>
      <w:r>
        <w:t>Appendix I — Architecture, class models and sequences</w:t>
      </w:r>
    </w:p>
    <w:p>
      <w:r>
        <w:rPr>
          <w:b/>
        </w:rPr>
        <w:t xml:space="preserve">What changed: </w:t>
      </w:r>
      <w:r>
        <w:t>Retained the architecture, class-model and sequence captions and added a requirement to inspect the actual editable diagram files before submission.</w:t>
      </w:r>
    </w:p>
    <w:p>
      <w:r>
        <w:rPr>
          <w:b/>
        </w:rPr>
        <w:t xml:space="preserve">Why the change is better: </w:t>
      </w:r>
      <w:r>
        <w:t>A figure caption is not evidence that the diagram is included. Editable sources also make it possible to assess naming, multiplicities and message flow.</w:t>
      </w:r>
    </w:p>
    <w:p>
      <w:r>
        <w:rPr>
          <w:b/>
        </w:rPr>
        <w:t xml:space="preserve">Remaining team action: </w:t>
      </w:r>
      <w:r>
        <w:t>Ensure the final package contains the correct Draw.io source and that the architecture, class model(s) and three sequence diagrams open and match the text.</w:t>
      </w:r>
    </w:p>
    <w:p>
      <w:pPr>
        <w:pStyle w:val="Heading2"/>
      </w:pPr>
      <w:r>
        <w:t>Appendix J — Team-reported weekly hours register</w:t>
      </w:r>
    </w:p>
    <w:p>
      <w:r>
        <w:rPr>
          <w:b/>
        </w:rPr>
        <w:t xml:space="preserve">What changed: </w:t>
      </w:r>
      <w:r>
        <w:t>Preserved the per-member weekly entries and the 583-hour reconciliation. The update calls out the under-described W12 Other entry and member confirmation.</w:t>
      </w:r>
    </w:p>
    <w:p>
      <w:r>
        <w:rPr>
          <w:b/>
        </w:rPr>
        <w:t xml:space="preserve">Why the change is better: </w:t>
      </w:r>
      <w:r>
        <w:t>The log remains useful if its provenance and limitations are clear. It should not be edited to create an artificial match to the plan.</w:t>
      </w:r>
    </w:p>
    <w:p>
      <w:r>
        <w:rPr>
          <w:b/>
        </w:rPr>
        <w:t xml:space="preserve">Remaining team action: </w:t>
      </w:r>
      <w:r>
        <w:t>Ask the relevant member to clarify the original entry; preserve the original and any verified correction.</w:t>
      </w:r>
    </w:p>
    <w:p>
      <w:pPr>
        <w:pStyle w:val="Heading2"/>
      </w:pPr>
      <w:r>
        <w:t>Appendix K — Supplemental Reference Implementation and Test Evidence</w:t>
      </w:r>
    </w:p>
    <w:p>
      <w:r>
        <w:rPr>
          <w:b/>
        </w:rPr>
        <w:t xml:space="preserve">What changed: </w:t>
      </w:r>
      <w:r>
        <w:t>Kept the explicit provenance statement that the reference implementation was newly authored for this consolidation task. The 25 passing tests remain scoped to that reference implementation only.</w:t>
      </w:r>
    </w:p>
    <w:p>
      <w:r>
        <w:rPr>
          <w:b/>
        </w:rPr>
        <w:t xml:space="preserve">Why the change is better: </w:t>
      </w:r>
      <w:r>
        <w:t>This prevents the reference suite from being misrepresented as proof that a historical team application or live institutional integration was tested.</w:t>
      </w:r>
    </w:p>
    <w:p>
      <w:r>
        <w:rPr>
          <w:b/>
        </w:rPr>
        <w:t xml:space="preserve">Remaining team action: </w:t>
      </w:r>
      <w:r>
        <w:t>If adopting the reference implementation, approve it as a new baseline; otherwise attach the original source and its actual build/test outputs.</w:t>
      </w:r>
    </w:p>
    <w:p>
      <w:pPr>
        <w:pStyle w:val="Heading2"/>
      </w:pPr>
      <w:r>
        <w:t>Appendix L — Final Submission Compliance and Evidence Closure Register</w:t>
      </w:r>
    </w:p>
    <w:p>
      <w:r>
        <w:rPr>
          <w:b/>
        </w:rPr>
        <w:t xml:space="preserve">What changed: </w:t>
      </w:r>
      <w:r>
        <w:t>Added a closure table covering the required artefacts, current evidence status, final actions and responsible roles; added technical acceptance checks and a blank sign-off record.</w:t>
      </w:r>
    </w:p>
    <w:p>
      <w:r>
        <w:rPr>
          <w:b/>
        </w:rPr>
        <w:t xml:space="preserve">Why the change is better: </w:t>
      </w:r>
      <w:r>
        <w:t>This is a practical release-control mechanism that makes outstanding work visible rather than hiding it behind polished prose.</w:t>
      </w:r>
    </w:p>
    <w:p>
      <w:r>
        <w:rPr>
          <w:b/>
        </w:rPr>
        <w:t xml:space="preserve">Remaining team action: </w:t>
      </w:r>
      <w:r>
        <w:t>Complete the sign-off fields before upload; do not leave placeholders in the final version as if they were completed reviews.</w:t>
      </w:r>
    </w:p>
    <w:p>
      <w:pPr>
        <w:pStyle w:val="Heading2"/>
      </w:pPr>
      <w:r>
        <w:t>Appendix M — Cost and Effort Reconciliation Reference</w:t>
      </w:r>
    </w:p>
    <w:p>
      <w:r>
        <w:rPr>
          <w:b/>
        </w:rPr>
        <w:t xml:space="preserve">What changed: </w:t>
      </w:r>
      <w:r>
        <w:t>Added a side-by-side table comparing the planned 560-hour cost baseline with the retrospective equivalent based on 583 reported hours.</w:t>
      </w:r>
    </w:p>
    <w:p>
      <w:r>
        <w:rPr>
          <w:b/>
        </w:rPr>
        <w:t xml:space="preserve">Why the change is better: </w:t>
      </w:r>
      <w:r>
        <w:t>The table provides a concise audit trail for labour, expenses, subtotal, VAT and total, and reinforces that the original estimate remains separate.</w:t>
      </w:r>
    </w:p>
    <w:p>
      <w:r>
        <w:rPr>
          <w:b/>
        </w:rPr>
        <w:t xml:space="preserve">Remaining team action: </w:t>
      </w:r>
      <w:r>
        <w:t>Check the prescribed course calculation method and use any revised basis only if the official instruction requires it.</w:t>
      </w:r>
    </w:p>
    <w:p>
      <w:pPr>
        <w:pStyle w:val="Heading1"/>
      </w:pPr>
      <w:r>
        <w:t>5. Required criteria versus supplementary recommendations</w:t>
      </w:r>
    </w:p>
    <w:p>
      <w:r>
        <w:t>The required criteria below are derived from the project brief as reviewed. The extra closure tables and technical acceptance checks are supplementary quality controls; they are not represented as new official marking categories.</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D9EAF7"/>
          </w:tcPr>
          <w:p>
            <w:r>
              <w:rPr>
                <w:b/>
              </w:rPr>
              <w:t>Classification</w:t>
            </w:r>
          </w:p>
        </w:tc>
        <w:tc>
          <w:tcPr>
            <w:tcW w:type="dxa" w:w="5040"/>
            <w:shd w:fill="D9EAF7"/>
          </w:tcPr>
          <w:p>
            <w:r>
              <w:rPr>
                <w:b/>
              </w:rPr>
              <w:t>Interpretation / action</w:t>
            </w:r>
          </w:p>
        </w:tc>
      </w:tr>
      <w:tr>
        <w:tc>
          <w:tcPr>
            <w:tcW w:type="dxa" w:w="5040"/>
          </w:tcPr>
          <w:p>
            <w:r>
              <w:t>Required — initial and final specification</w:t>
            </w:r>
          </w:p>
        </w:tc>
        <w:tc>
          <w:tcPr>
            <w:tcW w:type="dxa" w:w="5040"/>
          </w:tcPr>
          <w:p>
            <w:r>
              <w:t>Attach both as separate artefacts; confirm the final specification includes the final-version change appendix and genuine feedback where available.</w:t>
            </w:r>
          </w:p>
        </w:tc>
      </w:tr>
      <w:tr>
        <w:tc>
          <w:tcPr>
            <w:tcW w:type="dxa" w:w="5040"/>
          </w:tcPr>
          <w:p>
            <w:r>
              <w:t>Required — complete SPMP and iterative approach</w:t>
            </w:r>
          </w:p>
        </w:tc>
        <w:tc>
          <w:tcPr>
            <w:tcW w:type="dxa" w:w="5040"/>
          </w:tcPr>
          <w:p>
            <w:r>
              <w:t>Check all required SPMP sections; describe use of the Iterative-and-Incremental Model and lessons learned.</w:t>
            </w:r>
          </w:p>
        </w:tc>
      </w:tr>
      <w:tr>
        <w:tc>
          <w:tcPr>
            <w:tcW w:type="dxa" w:w="5040"/>
          </w:tcPr>
          <w:p>
            <w:r>
              <w:t>Required — actual hours in prescribed categories</w:t>
            </w:r>
          </w:p>
        </w:tc>
        <w:tc>
          <w:tcPr>
            <w:tcW w:type="dxa" w:w="5040"/>
          </w:tcPr>
          <w:p>
            <w:r>
              <w:t>Keep the required categories and total, explain Other, and retain genuine member confirmation/support.</w:t>
            </w:r>
          </w:p>
        </w:tc>
      </w:tr>
      <w:tr>
        <w:tc>
          <w:tcPr>
            <w:tcW w:type="dxa" w:w="5040"/>
          </w:tcPr>
          <w:p>
            <w:r>
              <w:t>Required — quotation</w:t>
            </w:r>
          </w:p>
        </w:tc>
        <w:tc>
          <w:tcPr>
            <w:tcW w:type="dxa" w:w="5040"/>
          </w:tcPr>
          <w:p>
            <w:r>
              <w:t>Use R350 per team-member hour, 5% general expenses and 15% VAT in the prescribed order; include the full project effort, including testing.</w:t>
            </w:r>
          </w:p>
        </w:tc>
      </w:tr>
      <w:tr>
        <w:tc>
          <w:tcPr>
            <w:tcW w:type="dxa" w:w="5040"/>
          </w:tcPr>
          <w:p>
            <w:r>
              <w:t>Required — business-layer design</w:t>
            </w:r>
          </w:p>
        </w:tc>
        <w:tc>
          <w:tcPr>
            <w:tcW w:type="dxa" w:w="5040"/>
          </w:tcPr>
          <w:p>
            <w:r>
              <w:t>Provide business classes/responsibilities and significant interactions; explain UI and data-access boundaries; detail complex algorithms where relevant.</w:t>
            </w:r>
          </w:p>
        </w:tc>
      </w:tr>
      <w:tr>
        <w:tc>
          <w:tcPr>
            <w:tcW w:type="dxa" w:w="5040"/>
          </w:tcPr>
          <w:p>
            <w:r>
              <w:t>Required — portfolio format</w:t>
            </w:r>
          </w:p>
        </w:tc>
        <w:tc>
          <w:tcPr>
            <w:tcW w:type="dxa" w:w="5040"/>
          </w:tcPr>
          <w:p>
            <w:r>
              <w:t>Check cover-page team details, contents, page numbers, Arial 10 body text, editable UML artefacts, required filename and upload format.</w:t>
            </w:r>
          </w:p>
        </w:tc>
      </w:tr>
      <w:tr>
        <w:tc>
          <w:tcPr>
            <w:tcW w:type="dxa" w:w="5040"/>
          </w:tcPr>
          <w:p>
            <w:r>
              <w:t>Supplementary — technical acceptance checklist</w:t>
            </w:r>
          </w:p>
        </w:tc>
        <w:tc>
          <w:tcPr>
            <w:tcW w:type="dxa" w:w="5040"/>
          </w:tcPr>
          <w:p>
            <w:r>
              <w:t>Improves testability and readiness but does not replace the official rubric.</w:t>
            </w:r>
          </w:p>
        </w:tc>
      </w:tr>
      <w:tr>
        <w:tc>
          <w:tcPr>
            <w:tcW w:type="dxa" w:w="5040"/>
          </w:tcPr>
          <w:p>
            <w:r>
              <w:t>Supplementary — retrospective cost equivalent</w:t>
            </w:r>
          </w:p>
        </w:tc>
        <w:tc>
          <w:tcPr>
            <w:tcW w:type="dxa" w:w="5040"/>
          </w:tcPr>
          <w:p>
            <w:r>
              <w:t>Clarifies effort variance; it does not replace the estimate-based quotation or imply approval.</w:t>
            </w:r>
          </w:p>
        </w:tc>
      </w:tr>
    </w:tbl>
    <w:p>
      <w:pPr>
        <w:pStyle w:val="Heading1"/>
      </w:pPr>
      <w:r>
        <w:t>6. Academic quality judgement and remaining risks</w:t>
      </w:r>
    </w:p>
    <w:p>
      <w:r>
        <w:t>The updated portfolio is stronger because it separates estimates from reported actuals, clarifies the provenance of supplemental code, makes critical design invariants reviewable, and translates unresolved evidence gaps into named closure actions. These changes improve traceability, internal consistency and professional presentation. They do not eliminate the need for original evidence.</w:t>
      </w:r>
    </w:p>
    <w:p>
      <w:pPr>
        <w:pStyle w:val="ListBullet"/>
      </w:pPr>
      <w:r>
        <w:t>The lecturer/client feedback requirement remains open until actual feedback records are attached or the team accurately records that none was received.</w:t>
      </w:r>
    </w:p>
    <w:p>
      <w:pPr>
        <w:pStyle w:val="ListBullet"/>
      </w:pPr>
      <w:r>
        <w:t>The 583-hour log remains team-reported until members confirm their entries and the missing detail in Iviwe Faye's W12 Other task is clarified.</w:t>
      </w:r>
    </w:p>
    <w:p>
      <w:pPr>
        <w:pStyle w:val="ListBullet"/>
      </w:pPr>
      <w:r>
        <w:t>The supplemental reference implementation's 25 passing tests do not establish that a historical Group 16 implementation passed tests or that external UFS services are integrated.</w:t>
      </w:r>
    </w:p>
    <w:p>
      <w:pPr>
        <w:pStyle w:val="ListBullet"/>
      </w:pPr>
      <w:r>
        <w:t>The actual editable Draw.io files and all referenced diagrams must be checked in the final upload package.</w:t>
      </w:r>
    </w:p>
    <w:p>
      <w:pPr>
        <w:pStyle w:val="ListBullet"/>
      </w:pPr>
      <w:r>
        <w:t>The Word table of contents and page references should be refreshed in Microsoft Word after edits; automated fields may not recalculate in every viewer.</w:t>
      </w:r>
    </w:p>
    <w:p>
      <w:pPr>
        <w:pStyle w:val="ListBullet"/>
      </w:pPr>
      <w:r>
        <w:t>The official numeric rubric was not present in the reviewed project PDF. Any estimated mark or supplementary scoring must be labelled as an estimate, not a lecturer-issued result.</w:t>
      </w:r>
    </w:p>
    <w:p>
      <w:pPr>
        <w:pStyle w:val="Heading1"/>
      </w:pPr>
      <w:r>
        <w:t>7. Final assessor-style recommendation</w:t>
      </w:r>
    </w:p>
    <w:p>
      <w:r>
        <w:t>Treat the updated document as a strengthened final documentation baseline, then complete the evidence-closure actions before upload. The highest-priority checks are: (1) attach initial and final specifications separately; (2) attach genuine feedback/minutes if they exist; (3) obtain member confirmation of the hours log; (4) verify the editable UML files; (5) attach the original application source and genuine test evidence, or explicitly decide whether the supplemental reference implementation is to be adopted; (6) refresh the contents and page numbers; and (7) retain the actual submission receipt. An assessor should recognise the quality of the documented plan and design while withholding claims that depend on evidence not included in the reviewed package.</w:t>
      </w:r>
    </w:p>
    <w:p>
      <w:r>
        <w:t>This companion report explains and justifies the edits. It does not replace the official project brief, the final SPMP/design submission or any lecturer-issued marking rubric.</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Group 16 USPMS — Section-by-Section Change Log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