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SUPPLEMENTARY CORRECTED VERSION</w:t>
      </w:r>
    </w:p>
    <w:p>
      <w:pPr>
        <w:jc w:val="center"/>
      </w:pPr>
      <w:r>
        <w:rPr>
          <w:rFonts w:ascii="Arial" w:hAnsi="Arial"/>
          <w:sz w:val="22"/>
        </w:rPr>
        <w:t>University Smart Parking &amp; Permit Management System (USPMS)</w:t>
        <w:br/>
        <w:t>Group 16 — The Architects | CSIS3724 Software Engineering</w:t>
      </w:r>
    </w:p>
    <w:p>
      <w:r>
        <w:t>Prepared 10 October 2026 | Supplementary analytical document — not an official lecturer mark or approval.</w:t>
      </w:r>
    </w:p>
    <w:p>
      <w:r>
        <w:br w:type="page"/>
      </w:r>
    </w:p>
    <w:p>
      <w:pPr>
        <w:pStyle w:val="Heading1"/>
      </w:pPr>
      <w:r>
        <w:t>Purpose and use</w:t>
      </w:r>
    </w:p>
    <w:p>
      <w:r>
        <w:t>This document is a supplementary correction pack for Group 16's consolidated SPMP and business-layer design document. It provides replacement wording, a corrected evidence model, a submission manifest, a requirements-aligned assessment rubric and checklists for the highest-risk omissions. It is not a substitute for the official initial/final specification documents, actual lecturer feedback, the authentic source repository or Blackboard submission confirmation. Insert the approved text into the master portfolio only after the team verifies factual statements.</w:t>
      </w:r>
    </w:p>
    <w:p>
      <w:pPr>
        <w:pStyle w:val="Heading1"/>
      </w:pPr>
      <w:r>
        <w:t>1. Corrected executive summary (replacement text)</w:t>
      </w:r>
    </w:p>
    <w:p>
      <w:r>
        <w:t>The University Smart Parking &amp; Permit Management System (USPMS) is a proposed responsive web application for improving UFS campus parking administration. The mandatory baseline comprises parking permit management, parking-zone management, visitor parking management, and notifications and alerts. Supporting functions may include occupancy monitoring, authorised-first parking guidance, accessibility support, fine/payment handling, reporting and audit, provided these remain consistent with the approved specification.</w:t>
        <w:br/>
        <w:br/>
        <w:t>The system is designed around a user interface, application/business layer and relational persistence. The documented prototype stack is React/TypeScript/Vite, Node.js/Express, Prisma and SQLite. Production institutional identity, payment, maps, email/SMS/push notifications, physical occupancy sensors, ANPR and gate-control integrations remain external boundaries unless verified by approved integration evidence. Seeded accounts and simulated occupancy are for demonstration only and must be labelled accordingly.</w:t>
        <w:br/>
        <w:br/>
        <w:t>The SPMP uses an Iterative-and-Incremental Model and an original 560-person-hour planning baseline. The supplied team-reported log totals 583 hours, a variance of +23 hours (+4.1%). The 560-hour quotation is R236,670.00 using the prescribed rate, general expenses and VAT. The 583-hour retrospective cost equivalent is R246,390.38 and is shown for comparison only; it is not the formal quotation unless the team adopts the revised estimate.</w:t>
        <w:br/>
        <w:br/>
        <w:t>This portfolio distinguishes original team artefacts, retrospective reconstructions based on team-provided records, and supplemental reference material authored for this delivery. The supplemental reference implementation and its tests do not prove the existence or correctness of the historical team application. Claims of lecturer approval, live integrations, audited hours or official submission are made only when supported by direct evidence.</w:t>
      </w:r>
    </w:p>
    <w:p>
      <w:pPr>
        <w:pStyle w:val="Heading1"/>
      </w:pPr>
      <w:r>
        <w:t>2. Corrected evidence and provenance section (replacement text)</w:t>
      </w:r>
    </w:p>
    <w:p>
      <w:r>
        <w:t>Evidence is classified into three categories:</w:t>
        <w:br/>
        <w:t>A. Contemporaneous team artefacts: original specification versions, source files, commits, meeting records, feedback, time records and test/build outputs created during the project.</w:t>
        <w:br/>
        <w:t>B. Retrospective reconstruction: summaries assembled after the work from team-provided hours and existing artefacts. These are useful for explaining the process but are not represented as commit history, formal sign-off or independently audited records.</w:t>
        <w:br/>
        <w:t>C. Supplemental reference artefacts: material newly authored for this consolidated delivery, including the local reference implementation and its test results. These artefacts demonstrate a possible implementation of selected domain rules only; they are not attributed to the team's historical development unless the team explicitly reviews and adopts them.</w:t>
        <w:br/>
        <w:br/>
        <w:t>For each required deliverable, the final portfolio index records the exact filename, version/date, owner, evidence category, review status and outstanding action. Where evidence was not located, the portfolio says “not located in the reviewed package” rather than claiming the work never occurred.</w:t>
      </w:r>
    </w:p>
    <w:p>
      <w:pPr>
        <w:pStyle w:val="Heading1"/>
      </w:pPr>
      <w:r>
        <w:t>3. Corrected quotation and cost reconciliation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rPr>
                <w:b/>
              </w:rPr>
              <w:t>Item</w:t>
            </w:r>
          </w:p>
        </w:tc>
        <w:tc>
          <w:tcPr>
            <w:tcW w:type="dxa" w:w="3360"/>
            <w:shd w:fill="D9EAF7"/>
          </w:tcPr>
          <w:p>
            <w:r>
              <w:rPr>
                <w:b/>
              </w:rPr>
              <w:t>Calculation</w:t>
            </w:r>
          </w:p>
        </w:tc>
        <w:tc>
          <w:tcPr>
            <w:tcW w:type="dxa" w:w="3360"/>
            <w:shd w:fill="D9EAF7"/>
          </w:tcPr>
          <w:p>
            <w:r>
              <w:rPr>
                <w:b/>
              </w:rPr>
              <w:t>Amount</w:t>
            </w:r>
          </w:p>
        </w:tc>
      </w:tr>
      <w:tr>
        <w:tc>
          <w:tcPr>
            <w:tcW w:type="dxa" w:w="3360"/>
            <w:vAlign w:val="center"/>
          </w:tcPr>
          <w:p>
            <w:r>
              <w:t>Estimated labour</w:t>
            </w:r>
          </w:p>
        </w:tc>
        <w:tc>
          <w:tcPr>
            <w:tcW w:type="dxa" w:w="3360"/>
            <w:vAlign w:val="center"/>
          </w:tcPr>
          <w:p>
            <w:r>
              <w:t>560 hours × R350/hour</w:t>
            </w:r>
          </w:p>
        </w:tc>
        <w:tc>
          <w:tcPr>
            <w:tcW w:type="dxa" w:w="3360"/>
            <w:vAlign w:val="center"/>
          </w:tcPr>
          <w:p>
            <w:r>
              <w:t>R196,000.00</w:t>
            </w:r>
          </w:p>
        </w:tc>
      </w:tr>
      <w:tr>
        <w:tc>
          <w:tcPr>
            <w:tcW w:type="dxa" w:w="3360"/>
            <w:vAlign w:val="center"/>
          </w:tcPr>
          <w:p>
            <w:r>
              <w:t>General expenses</w:t>
            </w:r>
          </w:p>
        </w:tc>
        <w:tc>
          <w:tcPr>
            <w:tcW w:type="dxa" w:w="3360"/>
            <w:vAlign w:val="center"/>
          </w:tcPr>
          <w:p>
            <w:r>
              <w:t>5% × R196,000.00</w:t>
            </w:r>
          </w:p>
        </w:tc>
        <w:tc>
          <w:tcPr>
            <w:tcW w:type="dxa" w:w="3360"/>
            <w:vAlign w:val="center"/>
          </w:tcPr>
          <w:p>
            <w:r>
              <w:t>R9,800.00</w:t>
            </w:r>
          </w:p>
        </w:tc>
      </w:tr>
      <w:tr>
        <w:tc>
          <w:tcPr>
            <w:tcW w:type="dxa" w:w="3360"/>
            <w:vAlign w:val="center"/>
          </w:tcPr>
          <w:p>
            <w:r>
              <w:t>Subtotal before VAT</w:t>
            </w:r>
          </w:p>
        </w:tc>
        <w:tc>
          <w:tcPr>
            <w:tcW w:type="dxa" w:w="3360"/>
            <w:vAlign w:val="center"/>
          </w:tcPr>
          <w:p>
            <w:r>
              <w:t>R196,000.00 + R9,800.00</w:t>
            </w:r>
          </w:p>
        </w:tc>
        <w:tc>
          <w:tcPr>
            <w:tcW w:type="dxa" w:w="3360"/>
            <w:vAlign w:val="center"/>
          </w:tcPr>
          <w:p>
            <w:r>
              <w:t>R205,800.00</w:t>
            </w:r>
          </w:p>
        </w:tc>
      </w:tr>
      <w:tr>
        <w:tc>
          <w:tcPr>
            <w:tcW w:type="dxa" w:w="3360"/>
            <w:vAlign w:val="center"/>
          </w:tcPr>
          <w:p>
            <w:r>
              <w:t>VAT</w:t>
            </w:r>
          </w:p>
        </w:tc>
        <w:tc>
          <w:tcPr>
            <w:tcW w:type="dxa" w:w="3360"/>
            <w:vAlign w:val="center"/>
          </w:tcPr>
          <w:p>
            <w:r>
              <w:t>15% × R205,800.00</w:t>
            </w:r>
          </w:p>
        </w:tc>
        <w:tc>
          <w:tcPr>
            <w:tcW w:type="dxa" w:w="3360"/>
            <w:vAlign w:val="center"/>
          </w:tcPr>
          <w:p>
            <w:r>
              <w:t>R30,870.00</w:t>
            </w:r>
          </w:p>
        </w:tc>
      </w:tr>
      <w:tr>
        <w:tc>
          <w:tcPr>
            <w:tcW w:type="dxa" w:w="3360"/>
            <w:vAlign w:val="center"/>
          </w:tcPr>
          <w:p>
            <w:r>
              <w:t>Formal estimate-based quotation</w:t>
            </w:r>
          </w:p>
        </w:tc>
        <w:tc>
          <w:tcPr>
            <w:tcW w:type="dxa" w:w="3360"/>
            <w:vAlign w:val="center"/>
          </w:tcPr>
          <w:p>
            <w:r>
              <w:t>R205,800.00 + R30,870.00</w:t>
            </w:r>
          </w:p>
        </w:tc>
        <w:tc>
          <w:tcPr>
            <w:tcW w:type="dxa" w:w="3360"/>
            <w:vAlign w:val="center"/>
          </w:tcPr>
          <w:p>
            <w:r>
              <w:t>R236,670.00</w:t>
            </w:r>
          </w:p>
        </w:tc>
      </w:tr>
      <w:tr>
        <w:tc>
          <w:tcPr>
            <w:tcW w:type="dxa" w:w="3360"/>
            <w:vAlign w:val="center"/>
          </w:tcPr>
          <w:p>
            <w:r>
              <w:t>Retrospective comparison only</w:t>
            </w:r>
          </w:p>
        </w:tc>
        <w:tc>
          <w:tcPr>
            <w:tcW w:type="dxa" w:w="3360"/>
            <w:vAlign w:val="center"/>
          </w:tcPr>
          <w:p>
            <w:r>
              <w:t>583 hours × R350 = R204,050; +5% expenses = R214,252.50; +15% VAT = R246,390.375, rounded to cents</w:t>
            </w:r>
          </w:p>
        </w:tc>
        <w:tc>
          <w:tcPr>
            <w:tcW w:type="dxa" w:w="3360"/>
            <w:vAlign w:val="center"/>
          </w:tcPr>
          <w:p>
            <w:r>
              <w:t>R246,390.38</w:t>
            </w:r>
          </w:p>
        </w:tc>
      </w:tr>
    </w:tbl>
    <w:p/>
    <w:p>
      <w:r>
        <w:t>Recommended note beneath the quotation: “This is a quotation estimate based on 560 person-hours and the rates prescribed in the CSIS3724 project brief. The team-reported log totals 583 hours; this variance is disclosed for reconciliation and does not automatically replace the estimate-based quotation. Any revised quotation must be approved and issued as a distinct version.”</w:t>
      </w:r>
    </w:p>
    <w:p>
      <w:pPr>
        <w:pStyle w:val="Heading1"/>
      </w:pPr>
      <w:r>
        <w:t>4. Corrected hours record notes</w:t>
      </w:r>
    </w:p>
    <w:p>
      <w:r>
        <w:t>The required categories are Requirements; Specification / Analysis; Design; Implementation; Other; and Total. Documentation, administration, planning and management should be assigned to a category or categories and described clearly. The supplied register reports 583 hours against the original 560-hour plan.</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D9EAF7"/>
          </w:tcPr>
          <w:p>
            <w:r>
              <w:rPr>
                <w:b/>
              </w:rPr>
              <w:t>Category</w:t>
            </w:r>
          </w:p>
        </w:tc>
        <w:tc>
          <w:tcPr>
            <w:tcW w:type="dxa" w:w="2016"/>
            <w:shd w:fill="D9EAF7"/>
          </w:tcPr>
          <w:p>
            <w:r>
              <w:rPr>
                <w:b/>
              </w:rPr>
              <w:t>Planned</w:t>
            </w:r>
          </w:p>
        </w:tc>
        <w:tc>
          <w:tcPr>
            <w:tcW w:type="dxa" w:w="2016"/>
            <w:shd w:fill="D9EAF7"/>
          </w:tcPr>
          <w:p>
            <w:r>
              <w:rPr>
                <w:b/>
              </w:rPr>
              <w:t>Reported</w:t>
            </w:r>
          </w:p>
        </w:tc>
        <w:tc>
          <w:tcPr>
            <w:tcW w:type="dxa" w:w="2016"/>
            <w:shd w:fill="D9EAF7"/>
          </w:tcPr>
          <w:p>
            <w:r>
              <w:rPr>
                <w:b/>
              </w:rPr>
              <w:t>Variance</w:t>
            </w:r>
          </w:p>
        </w:tc>
        <w:tc>
          <w:tcPr>
            <w:tcW w:type="dxa" w:w="2016"/>
            <w:shd w:fill="D9EAF7"/>
          </w:tcPr>
          <w:p>
            <w:r>
              <w:rPr>
                <w:b/>
              </w:rPr>
              <w:t>Close-out check</w:t>
            </w:r>
          </w:p>
        </w:tc>
      </w:tr>
      <w:tr>
        <w:tc>
          <w:tcPr>
            <w:tcW w:type="dxa" w:w="2016"/>
            <w:vAlign w:val="center"/>
          </w:tcPr>
          <w:p>
            <w:r>
              <w:t>Requirements</w:t>
            </w:r>
          </w:p>
        </w:tc>
        <w:tc>
          <w:tcPr>
            <w:tcW w:type="dxa" w:w="2016"/>
            <w:vAlign w:val="center"/>
          </w:tcPr>
          <w:p>
            <w:r>
              <w:t>60</w:t>
            </w:r>
          </w:p>
        </w:tc>
        <w:tc>
          <w:tcPr>
            <w:tcW w:type="dxa" w:w="2016"/>
            <w:vAlign w:val="center"/>
          </w:tcPr>
          <w:p>
            <w:r>
              <w:t>47</w:t>
            </w:r>
          </w:p>
        </w:tc>
        <w:tc>
          <w:tcPr>
            <w:tcW w:type="dxa" w:w="2016"/>
            <w:vAlign w:val="center"/>
          </w:tcPr>
          <w:p>
            <w:r>
              <w:t>-13</w:t>
            </w:r>
          </w:p>
        </w:tc>
        <w:tc>
          <w:tcPr>
            <w:tcW w:type="dxa" w:w="2016"/>
            <w:vAlign w:val="center"/>
          </w:tcPr>
          <w:p>
            <w:r>
              <w:t>Confirm all requirements work is categorised consistently.</w:t>
            </w:r>
          </w:p>
        </w:tc>
      </w:tr>
      <w:tr>
        <w:tc>
          <w:tcPr>
            <w:tcW w:type="dxa" w:w="2016"/>
            <w:vAlign w:val="center"/>
          </w:tcPr>
          <w:p>
            <w:r>
              <w:t>Specification / Analysis</w:t>
            </w:r>
          </w:p>
        </w:tc>
        <w:tc>
          <w:tcPr>
            <w:tcW w:type="dxa" w:w="2016"/>
            <w:vAlign w:val="center"/>
          </w:tcPr>
          <w:p>
            <w:r>
              <w:t>105</w:t>
            </w:r>
          </w:p>
        </w:tc>
        <w:tc>
          <w:tcPr>
            <w:tcW w:type="dxa" w:w="2016"/>
            <w:vAlign w:val="center"/>
          </w:tcPr>
          <w:p>
            <w:r>
              <w:t>95</w:t>
            </w:r>
          </w:p>
        </w:tc>
        <w:tc>
          <w:tcPr>
            <w:tcW w:type="dxa" w:w="2016"/>
            <w:vAlign w:val="center"/>
          </w:tcPr>
          <w:p>
            <w:r>
              <w:t>-10</w:t>
            </w:r>
          </w:p>
        </w:tc>
        <w:tc>
          <w:tcPr>
            <w:tcW w:type="dxa" w:w="2016"/>
            <w:vAlign w:val="center"/>
          </w:tcPr>
          <w:p>
            <w:r>
              <w:t>Confirm use-case and business-rule analysis entries.</w:t>
            </w:r>
          </w:p>
        </w:tc>
      </w:tr>
      <w:tr>
        <w:tc>
          <w:tcPr>
            <w:tcW w:type="dxa" w:w="2016"/>
            <w:vAlign w:val="center"/>
          </w:tcPr>
          <w:p>
            <w:r>
              <w:t>Design</w:t>
            </w:r>
          </w:p>
        </w:tc>
        <w:tc>
          <w:tcPr>
            <w:tcW w:type="dxa" w:w="2016"/>
            <w:vAlign w:val="center"/>
          </w:tcPr>
          <w:p>
            <w:r>
              <w:t>80</w:t>
            </w:r>
          </w:p>
        </w:tc>
        <w:tc>
          <w:tcPr>
            <w:tcW w:type="dxa" w:w="2016"/>
            <w:vAlign w:val="center"/>
          </w:tcPr>
          <w:p>
            <w:r>
              <w:t>97</w:t>
            </w:r>
          </w:p>
        </w:tc>
        <w:tc>
          <w:tcPr>
            <w:tcW w:type="dxa" w:w="2016"/>
            <w:vAlign w:val="center"/>
          </w:tcPr>
          <w:p>
            <w:r>
              <w:t>+17</w:t>
            </w:r>
          </w:p>
        </w:tc>
        <w:tc>
          <w:tcPr>
            <w:tcW w:type="dxa" w:w="2016"/>
            <w:vAlign w:val="center"/>
          </w:tcPr>
          <w:p>
            <w:r>
              <w:t>Confirm design work and any rework are recorded.</w:t>
            </w:r>
          </w:p>
        </w:tc>
      </w:tr>
      <w:tr>
        <w:tc>
          <w:tcPr>
            <w:tcW w:type="dxa" w:w="2016"/>
            <w:vAlign w:val="center"/>
          </w:tcPr>
          <w:p>
            <w:r>
              <w:t>Implementation</w:t>
            </w:r>
          </w:p>
        </w:tc>
        <w:tc>
          <w:tcPr>
            <w:tcW w:type="dxa" w:w="2016"/>
            <w:vAlign w:val="center"/>
          </w:tcPr>
          <w:p>
            <w:r>
              <w:t>215</w:t>
            </w:r>
          </w:p>
        </w:tc>
        <w:tc>
          <w:tcPr>
            <w:tcW w:type="dxa" w:w="2016"/>
            <w:vAlign w:val="center"/>
          </w:tcPr>
          <w:p>
            <w:r>
              <w:t>194</w:t>
            </w:r>
          </w:p>
        </w:tc>
        <w:tc>
          <w:tcPr>
            <w:tcW w:type="dxa" w:w="2016"/>
            <w:vAlign w:val="center"/>
          </w:tcPr>
          <w:p>
            <w:r>
              <w:t>-21</w:t>
            </w:r>
          </w:p>
        </w:tc>
        <w:tc>
          <w:tcPr>
            <w:tcW w:type="dxa" w:w="2016"/>
            <w:vAlign w:val="center"/>
          </w:tcPr>
          <w:p>
            <w:r>
              <w:t>Confirm implementation, integration and validation work.</w:t>
            </w:r>
          </w:p>
        </w:tc>
      </w:tr>
      <w:tr>
        <w:tc>
          <w:tcPr>
            <w:tcW w:type="dxa" w:w="2016"/>
            <w:vAlign w:val="center"/>
          </w:tcPr>
          <w:p>
            <w:r>
              <w:t>Other</w:t>
            </w:r>
          </w:p>
        </w:tc>
        <w:tc>
          <w:tcPr>
            <w:tcW w:type="dxa" w:w="2016"/>
            <w:vAlign w:val="center"/>
          </w:tcPr>
          <w:p>
            <w:r>
              <w:t>100</w:t>
            </w:r>
          </w:p>
        </w:tc>
        <w:tc>
          <w:tcPr>
            <w:tcW w:type="dxa" w:w="2016"/>
            <w:vAlign w:val="center"/>
          </w:tcPr>
          <w:p>
            <w:r>
              <w:t>150</w:t>
            </w:r>
          </w:p>
        </w:tc>
        <w:tc>
          <w:tcPr>
            <w:tcW w:type="dxa" w:w="2016"/>
            <w:vAlign w:val="center"/>
          </w:tcPr>
          <w:p>
            <w:r>
              <w:t>+50</w:t>
            </w:r>
          </w:p>
        </w:tc>
        <w:tc>
          <w:tcPr>
            <w:tcW w:type="dxa" w:w="2016"/>
            <w:vAlign w:val="center"/>
          </w:tcPr>
          <w:p>
            <w:r>
              <w:t>Review the large variance; task descriptions must justify the category.</w:t>
            </w:r>
          </w:p>
        </w:tc>
      </w:tr>
      <w:tr>
        <w:tc>
          <w:tcPr>
            <w:tcW w:type="dxa" w:w="2016"/>
            <w:vAlign w:val="center"/>
          </w:tcPr>
          <w:p>
            <w:r>
              <w:t>TOTAL</w:t>
            </w:r>
          </w:p>
        </w:tc>
        <w:tc>
          <w:tcPr>
            <w:tcW w:type="dxa" w:w="2016"/>
            <w:vAlign w:val="center"/>
          </w:tcPr>
          <w:p>
            <w:r>
              <w:t>560</w:t>
            </w:r>
          </w:p>
        </w:tc>
        <w:tc>
          <w:tcPr>
            <w:tcW w:type="dxa" w:w="2016"/>
            <w:vAlign w:val="center"/>
          </w:tcPr>
          <w:p>
            <w:r>
              <w:t>583</w:t>
            </w:r>
          </w:p>
        </w:tc>
        <w:tc>
          <w:tcPr>
            <w:tcW w:type="dxa" w:w="2016"/>
            <w:vAlign w:val="center"/>
          </w:tcPr>
          <w:p>
            <w:r>
              <w:t>+23 (+4.1%)</w:t>
            </w:r>
          </w:p>
        </w:tc>
        <w:tc>
          <w:tcPr>
            <w:tcW w:type="dxa" w:w="2016"/>
            <w:vAlign w:val="center"/>
          </w:tcPr>
          <w:p>
            <w:r>
              <w:t>Obtain member confirmation and retain available support.</w:t>
            </w:r>
          </w:p>
        </w:tc>
      </w:tr>
    </w:tbl>
    <w:p/>
    <w:p>
      <w:r>
        <w:t>Do not alter hours merely to make the actual log match the estimate. Preserve the reported entries, explain variances honestly and correct only verified errors. Record each member's confirmation date and the person who reconciled the category totals.</w:t>
      </w:r>
    </w:p>
    <w:p>
      <w:pPr>
        <w:pStyle w:val="Heading1"/>
      </w:pPr>
      <w:r>
        <w:t>5. Corrected design validation checklist</w:t>
      </w:r>
    </w:p>
    <w:p>
      <w:pPr>
        <w:pStyle w:val="ListNumber"/>
      </w:pPr>
      <w:r>
        <w:t>Use the approved final specification as the authority for functional requirements, non-functional requirements and business rules.</w:t>
      </w:r>
    </w:p>
    <w:p>
      <w:pPr>
        <w:pStyle w:val="ListNumber"/>
      </w:pPr>
      <w:r>
        <w:t>For every functional requirement, identify the relevant business class(es), operation(s), relationship(s), sequence/algorithm if applicable, and verification method.</w:t>
      </w:r>
    </w:p>
    <w:p>
      <w:pPr>
        <w:pStyle w:val="ListNumber"/>
      </w:pPr>
      <w:r>
        <w:t>Check class names, attribute types, operation parameters/return types, optionality, lifecycle states and constraints.</w:t>
      </w:r>
    </w:p>
    <w:p>
      <w:pPr>
        <w:pStyle w:val="ListNumber"/>
      </w:pPr>
      <w:r>
        <w:t>Validate multiplicities against explicit rules. In particular, review User–Vehicle, PermitApplication–ParkingPermit, ParkingZone–ParkingAvailability, ParkingViolation–ParkingFine, and ParkingFine–Payment.</w:t>
      </w:r>
    </w:p>
    <w:p>
      <w:pPr>
        <w:pStyle w:val="ListNumber"/>
      </w:pPr>
      <w:r>
        <w:t>Confirm that role/permission modelling is intentional: use inheritance only if the domain has genuine specialisation; use role-based permissions if the distinction is authorisation rather than a different kind of entity.</w:t>
      </w:r>
    </w:p>
    <w:p>
      <w:pPr>
        <w:pStyle w:val="ListNumber"/>
      </w:pPr>
      <w:r>
        <w:t>Ensure authorisation is checked before availability ranking or reservation allocation. A recommendation must never override permit or temporary visitor credential rules.</w:t>
      </w:r>
    </w:p>
    <w:p>
      <w:pPr>
        <w:pStyle w:val="ListNumber"/>
      </w:pPr>
      <w:r>
        <w:t>Ensure visitor reservations bind the temporary credential to the correct visitor/vehicle, zone or bay, and approved time window; cancellation must release capacity.</w:t>
      </w:r>
    </w:p>
    <w:p>
      <w:pPr>
        <w:pStyle w:val="ListNumber"/>
      </w:pPr>
      <w:r>
        <w:t>Ensure availability/occupancy includes source and freshness; simulated data must be visibly identified and stale/unknown data must not be described as live.</w:t>
      </w:r>
    </w:p>
    <w:p>
      <w:pPr>
        <w:pStyle w:val="ListNumber"/>
      </w:pPr>
      <w:r>
        <w:t>Ensure fine status changes to paid only after confirmed payment success or an authorised settlement, and protect against duplicate settlement.</w:t>
      </w:r>
    </w:p>
    <w:p>
      <w:pPr>
        <w:pStyle w:val="ListNumber"/>
      </w:pPr>
      <w:r>
        <w:t>Confirm the business-object-to-interface and business-object-to-data-access explanation is brief, explicit and easy to locate; explain technologies and motivate the web-based choice.</w:t>
      </w:r>
    </w:p>
    <w:p>
      <w:pPr>
        <w:pStyle w:val="ListNumber"/>
      </w:pPr>
      <w:r>
        <w:t>Open each supplied Draw.io file and confirm that the editable diagram set contains the final business-layer class model and relevant sequence diagrams referenced in the document.</w:t>
      </w:r>
    </w:p>
    <w:p>
      <w:pPr>
        <w:pStyle w:val="Heading1"/>
      </w:pPr>
      <w:r>
        <w:t>6. Corrected submission manifest</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tcPr>
          <w:p>
            <w:r>
              <w:rPr>
                <w:b/>
              </w:rPr>
              <w:t>Deliverable required by brief</w:t>
            </w:r>
          </w:p>
        </w:tc>
        <w:tc>
          <w:tcPr>
            <w:tcW w:type="dxa" w:w="2520"/>
            <w:shd w:fill="D9EAF7"/>
          </w:tcPr>
          <w:p>
            <w:r>
              <w:rPr>
                <w:b/>
              </w:rPr>
              <w:t>Suggested filename / contents</w:t>
            </w:r>
          </w:p>
        </w:tc>
        <w:tc>
          <w:tcPr>
            <w:tcW w:type="dxa" w:w="2520"/>
            <w:shd w:fill="D9EAF7"/>
          </w:tcPr>
          <w:p>
            <w:r>
              <w:rPr>
                <w:b/>
              </w:rPr>
              <w:t>Status based on supplied package</w:t>
            </w:r>
          </w:p>
        </w:tc>
        <w:tc>
          <w:tcPr>
            <w:tcW w:type="dxa" w:w="2520"/>
            <w:shd w:fill="D9EAF7"/>
          </w:tcPr>
          <w:p>
            <w:r>
              <w:rPr>
                <w:b/>
              </w:rPr>
              <w:t>Required close-out</w:t>
            </w:r>
          </w:p>
        </w:tc>
      </w:tr>
      <w:tr>
        <w:tc>
          <w:tcPr>
            <w:tcW w:type="dxa" w:w="2520"/>
            <w:vAlign w:val="center"/>
          </w:tcPr>
          <w:p>
            <w:r>
              <w:t>Initial specification</w:t>
            </w:r>
          </w:p>
        </w:tc>
        <w:tc>
          <w:tcPr>
            <w:tcW w:type="dxa" w:w="2520"/>
            <w:vAlign w:val="center"/>
          </w:tcPr>
          <w:p>
            <w:r>
              <w:t>Group16_USPMS_Initial_Specification.docx</w:t>
            </w:r>
          </w:p>
        </w:tc>
        <w:tc>
          <w:tcPr>
            <w:tcW w:type="dxa" w:w="2520"/>
            <w:vAlign w:val="center"/>
          </w:tcPr>
          <w:p>
            <w:r>
              <w:t>Not separately supplied for this review</w:t>
            </w:r>
          </w:p>
        </w:tc>
        <w:tc>
          <w:tcPr>
            <w:tcW w:type="dxa" w:w="2520"/>
            <w:vAlign w:val="center"/>
          </w:tcPr>
          <w:p>
            <w:r>
              <w:t>Attach the original version exactly as submitted; do not reconstruct it and label it original.</w:t>
            </w:r>
          </w:p>
        </w:tc>
      </w:tr>
      <w:tr>
        <w:tc>
          <w:tcPr>
            <w:tcW w:type="dxa" w:w="2520"/>
            <w:vAlign w:val="center"/>
          </w:tcPr>
          <w:p>
            <w:r>
              <w:t>Final specification</w:t>
            </w:r>
          </w:p>
        </w:tc>
        <w:tc>
          <w:tcPr>
            <w:tcW w:type="dxa" w:w="2520"/>
            <w:vAlign w:val="center"/>
          </w:tcPr>
          <w:p>
            <w:r>
              <w:t>Group16_USPMS_Final_Specification.docx</w:t>
            </w:r>
          </w:p>
        </w:tc>
        <w:tc>
          <w:tcPr>
            <w:tcW w:type="dxa" w:w="2520"/>
            <w:vAlign w:val="center"/>
          </w:tcPr>
          <w:p>
            <w:r>
              <w:t>Not confirmed as a separate complete document</w:t>
            </w:r>
          </w:p>
        </w:tc>
        <w:tc>
          <w:tcPr>
            <w:tcW w:type="dxa" w:w="2520"/>
            <w:vAlign w:val="center"/>
          </w:tcPr>
          <w:p>
            <w:r>
              <w:t>Attach the complete revised specification and its UML/requirements.</w:t>
            </w:r>
          </w:p>
        </w:tc>
      </w:tr>
      <w:tr>
        <w:tc>
          <w:tcPr>
            <w:tcW w:type="dxa" w:w="2520"/>
            <w:vAlign w:val="center"/>
          </w:tcPr>
          <w:p>
            <w:r>
              <w:t>Specification change appendix</w:t>
            </w:r>
          </w:p>
        </w:tc>
        <w:tc>
          <w:tcPr>
            <w:tcW w:type="dxa" w:w="2520"/>
            <w:vAlign w:val="center"/>
          </w:tcPr>
          <w:p>
            <w:r>
              <w:t>Appendix in final specification</w:t>
            </w:r>
          </w:p>
        </w:tc>
        <w:tc>
          <w:tcPr>
            <w:tcW w:type="dxa" w:w="2520"/>
            <w:vAlign w:val="center"/>
          </w:tcPr>
          <w:p>
            <w:r>
              <w:t>A reconciliation register exists in the consolidated document</w:t>
            </w:r>
          </w:p>
        </w:tc>
        <w:tc>
          <w:tcPr>
            <w:tcW w:type="dxa" w:w="2520"/>
            <w:vAlign w:val="center"/>
          </w:tcPr>
          <w:p>
            <w:r>
              <w:t>Copy/adapt only verified changes into the final specification and preserve traceability.</w:t>
            </w:r>
          </w:p>
        </w:tc>
      </w:tr>
      <w:tr>
        <w:tc>
          <w:tcPr>
            <w:tcW w:type="dxa" w:w="2520"/>
            <w:vAlign w:val="center"/>
          </w:tcPr>
          <w:p>
            <w:r>
              <w:t>Lecturer/client feedback</w:t>
            </w:r>
          </w:p>
        </w:tc>
        <w:tc>
          <w:tcPr>
            <w:tcW w:type="dxa" w:w="2520"/>
            <w:vAlign w:val="center"/>
          </w:tcPr>
          <w:p>
            <w:r>
              <w:t>Feedback record and response matrix</w:t>
            </w:r>
          </w:p>
        </w:tc>
        <w:tc>
          <w:tcPr>
            <w:tcW w:type="dxa" w:w="2520"/>
            <w:vAlign w:val="center"/>
          </w:tcPr>
          <w:p>
            <w:r>
              <w:t>No dated record located in reviewed evidence set</w:t>
            </w:r>
          </w:p>
        </w:tc>
        <w:tc>
          <w:tcPr>
            <w:tcW w:type="dxa" w:w="2520"/>
            <w:vAlign w:val="center"/>
          </w:tcPr>
          <w:p>
            <w:r>
              <w:t>Attach actual feedback if received; otherwise state the factual status.</w:t>
            </w:r>
          </w:p>
        </w:tc>
      </w:tr>
      <w:tr>
        <w:tc>
          <w:tcPr>
            <w:tcW w:type="dxa" w:w="2520"/>
            <w:vAlign w:val="center"/>
          </w:tcPr>
          <w:p>
            <w:r>
              <w:t>SPMP</w:t>
            </w:r>
          </w:p>
        </w:tc>
        <w:tc>
          <w:tcPr>
            <w:tcW w:type="dxa" w:w="2520"/>
            <w:vAlign w:val="center"/>
          </w:tcPr>
          <w:p>
            <w:r>
              <w:t>Group16_USPMS_SPMP.docx</w:t>
            </w:r>
          </w:p>
        </w:tc>
        <w:tc>
          <w:tcPr>
            <w:tcW w:type="dxa" w:w="2520"/>
            <w:vAlign w:val="center"/>
          </w:tcPr>
          <w:p>
            <w:r>
              <w:t>Substantial SPMP is included in the consolidated document</w:t>
            </w:r>
          </w:p>
        </w:tc>
        <w:tc>
          <w:tcPr>
            <w:tcW w:type="dxa" w:w="2520"/>
            <w:vAlign w:val="center"/>
          </w:tcPr>
          <w:p>
            <w:r>
              <w:t>Approve the plan and ensure all example headings are present or marked not applicable.</w:t>
            </w:r>
          </w:p>
        </w:tc>
      </w:tr>
      <w:tr>
        <w:tc>
          <w:tcPr>
            <w:tcW w:type="dxa" w:w="2520"/>
            <w:vAlign w:val="center"/>
          </w:tcPr>
          <w:p>
            <w:r>
              <w:t>Quotation</w:t>
            </w:r>
          </w:p>
        </w:tc>
        <w:tc>
          <w:tcPr>
            <w:tcW w:type="dxa" w:w="2520"/>
            <w:vAlign w:val="center"/>
          </w:tcPr>
          <w:p>
            <w:r>
              <w:t>Group16_USPMS_Quotation.docx</w:t>
            </w:r>
          </w:p>
        </w:tc>
        <w:tc>
          <w:tcPr>
            <w:tcW w:type="dxa" w:w="2520"/>
            <w:vAlign w:val="center"/>
          </w:tcPr>
          <w:p>
            <w:r>
              <w:t>Calculation included in Chapter 4</w:t>
            </w:r>
          </w:p>
        </w:tc>
        <w:tc>
          <w:tcPr>
            <w:tcW w:type="dxa" w:w="2520"/>
            <w:vAlign w:val="center"/>
          </w:tcPr>
          <w:p>
            <w:r>
              <w:t>Produce a clearly identifiable quotation deliverable if required by the lecturer; state estimate basis.</w:t>
            </w:r>
          </w:p>
        </w:tc>
      </w:tr>
      <w:tr>
        <w:tc>
          <w:tcPr>
            <w:tcW w:type="dxa" w:w="2520"/>
            <w:vAlign w:val="center"/>
          </w:tcPr>
          <w:p>
            <w:r>
              <w:t>Development-effort overview</w:t>
            </w:r>
          </w:p>
        </w:tc>
        <w:tc>
          <w:tcPr>
            <w:tcW w:type="dxa" w:w="2520"/>
            <w:vAlign w:val="center"/>
          </w:tcPr>
          <w:p>
            <w:r>
              <w:t>Group16_USPMS_Development_Effort.docx or portfolio chapter</w:t>
            </w:r>
          </w:p>
        </w:tc>
        <w:tc>
          <w:tcPr>
            <w:tcW w:type="dxa" w:w="2520"/>
            <w:vAlign w:val="center"/>
          </w:tcPr>
          <w:p>
            <w:r>
              <w:t>Included in Chapter 5</w:t>
            </w:r>
          </w:p>
        </w:tc>
        <w:tc>
          <w:tcPr>
            <w:tcW w:type="dxa" w:w="2520"/>
            <w:vAlign w:val="center"/>
          </w:tcPr>
          <w:p>
            <w:r>
              <w:t>Retain concise explanation and lessons; substantiate chronology where possible.</w:t>
            </w:r>
          </w:p>
        </w:tc>
      </w:tr>
      <w:tr>
        <w:tc>
          <w:tcPr>
            <w:tcW w:type="dxa" w:w="2520"/>
            <w:vAlign w:val="center"/>
          </w:tcPr>
          <w:p>
            <w:r>
              <w:t>Design documentation</w:t>
            </w:r>
          </w:p>
        </w:tc>
        <w:tc>
          <w:tcPr>
            <w:tcW w:type="dxa" w:w="2520"/>
            <w:vAlign w:val="center"/>
          </w:tcPr>
          <w:p>
            <w:r>
              <w:t>Group16_USPMS_Business_Layer_Design.docx</w:t>
            </w:r>
          </w:p>
        </w:tc>
        <w:tc>
          <w:tcPr>
            <w:tcW w:type="dxa" w:w="2520"/>
            <w:vAlign w:val="center"/>
          </w:tcPr>
          <w:p>
            <w:r>
              <w:t>Included in Chapter 6 and appendices</w:t>
            </w:r>
          </w:p>
        </w:tc>
        <w:tc>
          <w:tcPr>
            <w:tcW w:type="dxa" w:w="2520"/>
            <w:vAlign w:val="center"/>
          </w:tcPr>
          <w:p>
            <w:r>
              <w:t>Validate against final specification and include editable diagrams.</w:t>
            </w:r>
          </w:p>
        </w:tc>
      </w:tr>
      <w:tr>
        <w:tc>
          <w:tcPr>
            <w:tcW w:type="dxa" w:w="2520"/>
            <w:vAlign w:val="center"/>
          </w:tcPr>
          <w:p>
            <w:r>
              <w:t>Hours record</w:t>
            </w:r>
          </w:p>
        </w:tc>
        <w:tc>
          <w:tcPr>
            <w:tcW w:type="dxa" w:w="2520"/>
            <w:vAlign w:val="center"/>
          </w:tcPr>
          <w:p>
            <w:r>
              <w:t>Group16_USPMS_Hours_Register.xlsx/docx</w:t>
            </w:r>
          </w:p>
        </w:tc>
        <w:tc>
          <w:tcPr>
            <w:tcW w:type="dxa" w:w="2520"/>
            <w:vAlign w:val="center"/>
          </w:tcPr>
          <w:p>
            <w:r>
              <w:t>583-hour register included in Appendix J</w:t>
            </w:r>
          </w:p>
        </w:tc>
        <w:tc>
          <w:tcPr>
            <w:tcW w:type="dxa" w:w="2520"/>
            <w:vAlign w:val="center"/>
          </w:tcPr>
          <w:p>
            <w:r>
              <w:t>Obtain member confirmations and retain the category/total reconciliation.</w:t>
            </w:r>
          </w:p>
        </w:tc>
      </w:tr>
      <w:tr>
        <w:tc>
          <w:tcPr>
            <w:tcW w:type="dxa" w:w="2520"/>
            <w:vAlign w:val="center"/>
          </w:tcPr>
          <w:p>
            <w:r>
              <w:t>Source / build / tests</w:t>
            </w:r>
          </w:p>
        </w:tc>
        <w:tc>
          <w:tcPr>
            <w:tcW w:type="dxa" w:w="2520"/>
            <w:vAlign w:val="center"/>
          </w:tcPr>
          <w:p>
            <w:r>
              <w:t>Repository link or source archive plus README/test results</w:t>
            </w:r>
          </w:p>
        </w:tc>
        <w:tc>
          <w:tcPr>
            <w:tcW w:type="dxa" w:w="2520"/>
            <w:vAlign w:val="center"/>
          </w:tcPr>
          <w:p>
            <w:r>
              <w:t>Supplemental reference implementation included; original source not in inspected snapshot</w:t>
            </w:r>
          </w:p>
        </w:tc>
        <w:tc>
          <w:tcPr>
            <w:tcW w:type="dxa" w:w="2520"/>
            <w:vAlign w:val="center"/>
          </w:tcPr>
          <w:p>
            <w:r>
              <w:t>Keep provenance clear; add original code evidence if it exists.</w:t>
            </w:r>
          </w:p>
        </w:tc>
      </w:tr>
      <w:tr>
        <w:tc>
          <w:tcPr>
            <w:tcW w:type="dxa" w:w="2520"/>
            <w:vAlign w:val="center"/>
          </w:tcPr>
          <w:p>
            <w:r>
              <w:t>Final portfolio</w:t>
            </w:r>
          </w:p>
        </w:tc>
        <w:tc>
          <w:tcPr>
            <w:tcW w:type="dxa" w:w="2520"/>
            <w:vAlign w:val="center"/>
          </w:tcPr>
          <w:p>
            <w:r>
              <w:t>Surname(StudentNumber)_GroupNumber_Assignment/portfolio filename per brief</w:t>
            </w:r>
          </w:p>
        </w:tc>
        <w:tc>
          <w:tcPr>
            <w:tcW w:type="dxa" w:w="2520"/>
            <w:vAlign w:val="center"/>
          </w:tcPr>
          <w:p>
            <w:r>
              <w:t>Readiness checklist exists; Blackboard receipt not included</w:t>
            </w:r>
          </w:p>
        </w:tc>
        <w:tc>
          <w:tcPr>
            <w:tcW w:type="dxa" w:w="2520"/>
            <w:vAlign w:val="center"/>
          </w:tcPr>
          <w:p>
            <w:r>
              <w:t>Check DOCX, Arial 10 body, cover-page team details, TOC, page numbers and final Blackboard submission.</w:t>
            </w:r>
          </w:p>
        </w:tc>
      </w:tr>
    </w:tbl>
    <w:p/>
    <w:p>
      <w:pPr>
        <w:pStyle w:val="Heading1"/>
      </w:pPr>
      <w:r>
        <w:t>7. Supplementary assessment rubric</w:t>
      </w:r>
    </w:p>
    <w:p>
      <w:r>
        <w:t>The official project brief supplied for this review lists required deliverables but does not include a numeric weighting table. The following is a supplementary rubric created to make self-assessment consistent; it must not be presented as the lecturer's official rubric.</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rPr>
                <w:b/>
              </w:rPr>
              <w:t>Criterion</w:t>
            </w:r>
          </w:p>
        </w:tc>
        <w:tc>
          <w:tcPr>
            <w:tcW w:type="dxa" w:w="3360"/>
            <w:shd w:fill="D9EAF7"/>
          </w:tcPr>
          <w:p>
            <w:r>
              <w:rPr>
                <w:b/>
              </w:rPr>
              <w:t>Weight</w:t>
            </w:r>
          </w:p>
        </w:tc>
        <w:tc>
          <w:tcPr>
            <w:tcW w:type="dxa" w:w="3360"/>
            <w:shd w:fill="D9EAF7"/>
          </w:tcPr>
          <w:p>
            <w:r>
              <w:rPr>
                <w:b/>
              </w:rPr>
              <w:t>Full-credit indicators</w:t>
            </w:r>
          </w:p>
        </w:tc>
      </w:tr>
      <w:tr>
        <w:tc>
          <w:tcPr>
            <w:tcW w:type="dxa" w:w="3360"/>
            <w:vAlign w:val="center"/>
          </w:tcPr>
          <w:p>
            <w:r>
              <w:t>Actual hours record</w:t>
            </w:r>
          </w:p>
        </w:tc>
        <w:tc>
          <w:tcPr>
            <w:tcW w:type="dxa" w:w="3360"/>
            <w:vAlign w:val="center"/>
          </w:tcPr>
          <w:p>
            <w:r>
              <w:t>10</w:t>
            </w:r>
          </w:p>
        </w:tc>
        <w:tc>
          <w:tcPr>
            <w:tcW w:type="dxa" w:w="3360"/>
            <w:vAlign w:val="center"/>
          </w:tcPr>
          <w:p>
            <w:r>
              <w:t>All five categories and total; task explanation for Other; arithmetic reconciles; member confirmation/support.</w:t>
            </w:r>
          </w:p>
        </w:tc>
      </w:tr>
      <w:tr>
        <w:tc>
          <w:tcPr>
            <w:tcW w:type="dxa" w:w="3360"/>
            <w:vAlign w:val="center"/>
          </w:tcPr>
          <w:p>
            <w:r>
              <w:t>Specification and UML</w:t>
            </w:r>
          </w:p>
        </w:tc>
        <w:tc>
          <w:tcPr>
            <w:tcW w:type="dxa" w:w="3360"/>
            <w:vAlign w:val="center"/>
          </w:tcPr>
          <w:p>
            <w:r>
              <w:t>20</w:t>
            </w:r>
          </w:p>
        </w:tc>
        <w:tc>
          <w:tcPr>
            <w:tcW w:type="dxa" w:w="3360"/>
            <w:vAlign w:val="center"/>
          </w:tcPr>
          <w:p>
            <w:r>
              <w:t>Initial and final specifications supplied; final changes appendix; feedback incorporated; requirements and business-layer UML consistent.</w:t>
            </w:r>
          </w:p>
        </w:tc>
      </w:tr>
      <w:tr>
        <w:tc>
          <w:tcPr>
            <w:tcW w:type="dxa" w:w="3360"/>
            <w:vAlign w:val="center"/>
          </w:tcPr>
          <w:p>
            <w:r>
              <w:t>SPMP</w:t>
            </w:r>
          </w:p>
        </w:tc>
        <w:tc>
          <w:tcPr>
            <w:tcW w:type="dxa" w:w="3360"/>
            <w:vAlign w:val="center"/>
          </w:tcPr>
          <w:p>
            <w:r>
              <w:t>20</w:t>
            </w:r>
          </w:p>
        </w:tc>
        <w:tc>
          <w:tcPr>
            <w:tcW w:type="dxa" w:w="3360"/>
            <w:vAlign w:val="center"/>
          </w:tcPr>
          <w:p>
            <w:r>
              <w:t>Relevant example sections included or marked not applicable; realistic hours-based schedule; Iterative-and-Incremental Model; team resources and blended work; risk, quality and change controls.</w:t>
            </w:r>
          </w:p>
        </w:tc>
      </w:tr>
      <w:tr>
        <w:tc>
          <w:tcPr>
            <w:tcW w:type="dxa" w:w="3360"/>
            <w:vAlign w:val="center"/>
          </w:tcPr>
          <w:p>
            <w:r>
              <w:t>Quotation</w:t>
            </w:r>
          </w:p>
        </w:tc>
        <w:tc>
          <w:tcPr>
            <w:tcW w:type="dxa" w:w="3360"/>
            <w:vAlign w:val="center"/>
          </w:tcPr>
          <w:p>
            <w:r>
              <w:t>10</w:t>
            </w:r>
          </w:p>
        </w:tc>
        <w:tc>
          <w:tcPr>
            <w:tcW w:type="dxa" w:w="3360"/>
            <w:vAlign w:val="center"/>
          </w:tcPr>
          <w:p>
            <w:r>
              <w:t>R350/hour; 5% general expenses; 15% VAT; whole-project estimate including testing; arithmetic and assumptions transparent.</w:t>
            </w:r>
          </w:p>
        </w:tc>
      </w:tr>
      <w:tr>
        <w:tc>
          <w:tcPr>
            <w:tcW w:type="dxa" w:w="3360"/>
            <w:vAlign w:val="center"/>
          </w:tcPr>
          <w:p>
            <w:r>
              <w:t>Development-effort overview</w:t>
            </w:r>
          </w:p>
        </w:tc>
        <w:tc>
          <w:tcPr>
            <w:tcW w:type="dxa" w:w="3360"/>
            <w:vAlign w:val="center"/>
          </w:tcPr>
          <w:p>
            <w:r>
              <w:t>10</w:t>
            </w:r>
          </w:p>
        </w:tc>
        <w:tc>
          <w:tcPr>
            <w:tcW w:type="dxa" w:w="3360"/>
            <w:vAlign w:val="center"/>
          </w:tcPr>
          <w:p>
            <w:r>
              <w:t>Concise explanation of increments, actual process, lessons and changes that would be made on a similar project.</w:t>
            </w:r>
          </w:p>
        </w:tc>
      </w:tr>
      <w:tr>
        <w:tc>
          <w:tcPr>
            <w:tcW w:type="dxa" w:w="3360"/>
            <w:vAlign w:val="center"/>
          </w:tcPr>
          <w:p>
            <w:r>
              <w:t>Design documentation</w:t>
            </w:r>
          </w:p>
        </w:tc>
        <w:tc>
          <w:tcPr>
            <w:tcW w:type="dxa" w:w="3360"/>
            <w:vAlign w:val="center"/>
          </w:tcPr>
          <w:p>
            <w:r>
              <w:t>20</w:t>
            </w:r>
          </w:p>
        </w:tc>
        <w:tc>
          <w:tcPr>
            <w:tcW w:type="dxa" w:w="3360"/>
            <w:vAlign w:val="center"/>
          </w:tcPr>
          <w:p>
            <w:r>
              <w:t>Business-layer object-oriented design; complex algorithms detailed; UI/data-access link explained; technology and online/Windows choice motivated.</w:t>
            </w:r>
          </w:p>
        </w:tc>
      </w:tr>
      <w:tr>
        <w:tc>
          <w:tcPr>
            <w:tcW w:type="dxa" w:w="3360"/>
            <w:vAlign w:val="center"/>
          </w:tcPr>
          <w:p>
            <w:r>
              <w:t>Format and professionalism</w:t>
            </w:r>
          </w:p>
        </w:tc>
        <w:tc>
          <w:tcPr>
            <w:tcW w:type="dxa" w:w="3360"/>
            <w:vAlign w:val="center"/>
          </w:tcPr>
          <w:p>
            <w:r>
              <w:t>10</w:t>
            </w:r>
          </w:p>
        </w:tc>
        <w:tc>
          <w:tcPr>
            <w:tcW w:type="dxa" w:w="3360"/>
            <w:vAlign w:val="center"/>
          </w:tcPr>
          <w:p>
            <w:r>
              <w:t>DOCX, Arial 10 body, team cover details, contents/page numbers, filename convention, complete portfolio, clear evidence and deadlines.</w:t>
            </w:r>
          </w:p>
        </w:tc>
      </w:tr>
    </w:tbl>
    <w:p/>
    <w:p>
      <w:pPr>
        <w:pStyle w:val="Heading1"/>
      </w:pPr>
      <w:r>
        <w:t>8. Final readiness checklist</w:t>
      </w:r>
    </w:p>
    <w:p>
      <w:pPr>
        <w:pStyle w:val="ListBullet"/>
      </w:pPr>
      <w:r>
        <w:t>Every mandatory deliverable is present as a file or clearly identified portfolio section.</w:t>
      </w:r>
    </w:p>
    <w:p>
      <w:pPr>
        <w:pStyle w:val="ListBullet"/>
      </w:pPr>
      <w:r>
        <w:t>Initial and final specifications are distinct and correctly labelled.</w:t>
      </w:r>
    </w:p>
    <w:p>
      <w:pPr>
        <w:pStyle w:val="ListBullet"/>
      </w:pPr>
      <w:r>
        <w:t>The final specification's change appendix is based on actual differences, not invented feedback.</w:t>
      </w:r>
    </w:p>
    <w:p>
      <w:pPr>
        <w:pStyle w:val="ListBullet"/>
      </w:pPr>
      <w:r>
        <w:t>All feedback received is traced to a decision and affected artefact.</w:t>
      </w:r>
    </w:p>
    <w:p>
      <w:pPr>
        <w:pStyle w:val="ListBullet"/>
      </w:pPr>
      <w:r>
        <w:t>Quotation amount and hours estimate basis are consistent across the portfolio.</w:t>
      </w:r>
    </w:p>
    <w:p>
      <w:pPr>
        <w:pStyle w:val="ListBullet"/>
      </w:pPr>
      <w:r>
        <w:t>The 583-hour log is confirmed by the six team members or clearly marked pending confirmation.</w:t>
      </w:r>
    </w:p>
    <w:p>
      <w:pPr>
        <w:pStyle w:val="ListBullet"/>
      </w:pPr>
      <w:r>
        <w:t>The Draw.io source opens and corresponds to the diagrams referenced in the document.</w:t>
      </w:r>
    </w:p>
    <w:p>
      <w:pPr>
        <w:pStyle w:val="ListBullet"/>
      </w:pPr>
      <w:r>
        <w:t>The supplemental reference implementation is not described as historical team source code.</w:t>
      </w:r>
    </w:p>
    <w:p>
      <w:pPr>
        <w:pStyle w:val="ListBullet"/>
      </w:pPr>
      <w:r>
        <w:t>Every claim of test success, integration, approval or submission has matching evidence.</w:t>
      </w:r>
    </w:p>
    <w:p>
      <w:pPr>
        <w:pStyle w:val="ListBullet"/>
      </w:pPr>
      <w:r>
        <w:t>All DOCX files use Arial 10 body text, have the required cover details, contents and page numbers, and follow the required naming convention.</w:t>
      </w:r>
    </w:p>
    <w:p>
      <w:pPr>
        <w:pStyle w:val="ListBullet"/>
      </w:pPr>
      <w:r>
        <w:t>A final team review checks spelling, table-of-contents page numbers, diagram readability, cross-references, and consistency of USPMS terminology.</w:t>
      </w:r>
    </w:p>
    <w:p>
      <w:pPr>
        <w:pStyle w:val="Heading1"/>
      </w:pPr>
      <w:r>
        <w:t>9. Recommended final conclusion (replacement text)</w:t>
      </w:r>
    </w:p>
    <w:p>
      <w:r>
        <w:t>The USPMS project establishes a coherent proposed parking-management solution and a substantial software project management and business-layer design baseline. The plan defines an incremental delivery approach, roles, risks, quality controls, hour-based estimates, cost assumptions and key business rules. The design describes the business objects and interactions needed to support the approved workflows, subject to final validation against the complete specification.</w:t>
        <w:br/>
        <w:br/>
        <w:t>The original planning estimate is 560 person-hours and the supplied team-reported record totals 583 hours. The estimate-based quotation is R236,670.00 under the rates prescribed in the project brief. The difference between estimated and reported effort is disclosed and should be explained rather than concealed.</w:t>
        <w:br/>
        <w:br/>
        <w:t>Before final submission, the team must verify that the initial and final specification documents, final change appendix, quotation, development-effort overview, design documentation and hours record are all included in the final portfolio. Any lecturer feedback, original implementation evidence and team confirmations should be attached where available. Supplemental reference code and tests remain clearly labelled as supplemental and are not evidence of the historical application unless formally adopted and verified by the team.</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