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USPMS Software Project Management Plan</w:t>
        <w:br/>
        <w:t>Submission Review Summary</w:t>
      </w:r>
    </w:p>
    <w:p>
      <w:pPr>
        <w:jc w:val="center"/>
      </w:pPr>
      <w:r>
        <w:rPr>
          <w:i/>
        </w:rPr>
        <w:t>Priority corrections and improvement checklist</w:t>
      </w:r>
    </w:p>
    <w:p>
      <w:r>
        <w:rPr>
          <w:b/>
        </w:rPr>
        <w:t xml:space="preserve">Purpose. </w:t>
      </w:r>
      <w:r>
        <w:t>This document summarises the review of the University Smart Parking &amp; Permit Management System (USPMS) Software Project Management Plan (SPMP). The mark estimate below is provisional because the official CSIS3724 marking rubric/project brief was not provided.</w:t>
      </w:r>
    </w:p>
    <w:p>
      <w:pPr>
        <w:pStyle w:val="Heading1"/>
      </w:pPr>
      <w:r>
        <w:t>1. Provisional marking rubric</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Criterion</w:t>
            </w:r>
          </w:p>
        </w:tc>
        <w:tc>
          <w:tcPr>
            <w:tcW w:type="dxa" w:w="3408"/>
          </w:tcPr>
          <w:p>
            <w:r>
              <w:t>Available</w:t>
            </w:r>
          </w:p>
        </w:tc>
        <w:tc>
          <w:tcPr>
            <w:tcW w:type="dxa" w:w="3408"/>
          </w:tcPr>
          <w:p>
            <w:r>
              <w:t>Provisional</w:t>
            </w:r>
          </w:p>
        </w:tc>
      </w:tr>
      <w:tr>
        <w:tc>
          <w:tcPr>
            <w:tcW w:type="dxa" w:w="3408"/>
            <w:vAlign w:val="center"/>
          </w:tcPr>
          <w:p>
            <w:r>
              <w:t>SPMP overview, purpose and scope</w:t>
            </w:r>
          </w:p>
        </w:tc>
        <w:tc>
          <w:tcPr>
            <w:tcW w:type="dxa" w:w="3408"/>
            <w:vAlign w:val="center"/>
          </w:tcPr>
          <w:p>
            <w:r>
              <w:t>8</w:t>
            </w:r>
          </w:p>
        </w:tc>
        <w:tc>
          <w:tcPr>
            <w:tcW w:type="dxa" w:w="3408"/>
            <w:vAlign w:val="center"/>
          </w:tcPr>
          <w:p>
            <w:r>
              <w:t>7</w:t>
            </w:r>
          </w:p>
        </w:tc>
      </w:tr>
      <w:tr>
        <w:tc>
          <w:tcPr>
            <w:tcW w:type="dxa" w:w="3408"/>
            <w:vAlign w:val="center"/>
          </w:tcPr>
          <w:p>
            <w:r>
              <w:t>Assumptions, constraints and deliverables</w:t>
            </w:r>
          </w:p>
        </w:tc>
        <w:tc>
          <w:tcPr>
            <w:tcW w:type="dxa" w:w="3408"/>
            <w:vAlign w:val="center"/>
          </w:tcPr>
          <w:p>
            <w:r>
              <w:t>7</w:t>
            </w:r>
          </w:p>
        </w:tc>
        <w:tc>
          <w:tcPr>
            <w:tcW w:type="dxa" w:w="3408"/>
            <w:vAlign w:val="center"/>
          </w:tcPr>
          <w:p>
            <w:r>
              <w:t>6</w:t>
            </w:r>
          </w:p>
        </w:tc>
      </w:tr>
      <w:tr>
        <w:tc>
          <w:tcPr>
            <w:tcW w:type="dxa" w:w="3408"/>
            <w:vAlign w:val="center"/>
          </w:tcPr>
          <w:p>
            <w:r>
              <w:t>Schedule and effort estimation</w:t>
            </w:r>
          </w:p>
        </w:tc>
        <w:tc>
          <w:tcPr>
            <w:tcW w:type="dxa" w:w="3408"/>
            <w:vAlign w:val="center"/>
          </w:tcPr>
          <w:p>
            <w:r>
              <w:t>12</w:t>
            </w:r>
          </w:p>
        </w:tc>
        <w:tc>
          <w:tcPr>
            <w:tcW w:type="dxa" w:w="3408"/>
            <w:vAlign w:val="center"/>
          </w:tcPr>
          <w:p>
            <w:r>
              <w:t>7</w:t>
            </w:r>
          </w:p>
        </w:tc>
      </w:tr>
      <w:tr>
        <w:tc>
          <w:tcPr>
            <w:tcW w:type="dxa" w:w="3408"/>
            <w:vAlign w:val="center"/>
          </w:tcPr>
          <w:p>
            <w:r>
              <w:t>Iterative-and-incremental development</w:t>
            </w:r>
          </w:p>
        </w:tc>
        <w:tc>
          <w:tcPr>
            <w:tcW w:type="dxa" w:w="3408"/>
            <w:vAlign w:val="center"/>
          </w:tcPr>
          <w:p>
            <w:r>
              <w:t>8</w:t>
            </w:r>
          </w:p>
        </w:tc>
        <w:tc>
          <w:tcPr>
            <w:tcW w:type="dxa" w:w="3408"/>
            <w:vAlign w:val="center"/>
          </w:tcPr>
          <w:p>
            <w:r>
              <w:t>7</w:t>
            </w:r>
          </w:p>
        </w:tc>
      </w:tr>
      <w:tr>
        <w:tc>
          <w:tcPr>
            <w:tcW w:type="dxa" w:w="3408"/>
            <w:vAlign w:val="center"/>
          </w:tcPr>
          <w:p>
            <w:r>
              <w:t>DevOps and configuration management</w:t>
            </w:r>
          </w:p>
        </w:tc>
        <w:tc>
          <w:tcPr>
            <w:tcW w:type="dxa" w:w="3408"/>
            <w:vAlign w:val="center"/>
          </w:tcPr>
          <w:p>
            <w:r>
              <w:t>8</w:t>
            </w:r>
          </w:p>
        </w:tc>
        <w:tc>
          <w:tcPr>
            <w:tcW w:type="dxa" w:w="3408"/>
            <w:vAlign w:val="center"/>
          </w:tcPr>
          <w:p>
            <w:r>
              <w:t>7</w:t>
            </w:r>
          </w:p>
        </w:tc>
      </w:tr>
      <w:tr>
        <w:tc>
          <w:tcPr>
            <w:tcW w:type="dxa" w:w="3408"/>
            <w:vAlign w:val="center"/>
          </w:tcPr>
          <w:p>
            <w:r>
              <w:t>Team organisation and staffing</w:t>
            </w:r>
          </w:p>
        </w:tc>
        <w:tc>
          <w:tcPr>
            <w:tcW w:type="dxa" w:w="3408"/>
            <w:vAlign w:val="center"/>
          </w:tcPr>
          <w:p>
            <w:r>
              <w:t>8</w:t>
            </w:r>
          </w:p>
        </w:tc>
        <w:tc>
          <w:tcPr>
            <w:tcW w:type="dxa" w:w="3408"/>
            <w:vAlign w:val="center"/>
          </w:tcPr>
          <w:p>
            <w:r>
              <w:t>5</w:t>
            </w:r>
          </w:p>
        </w:tc>
      </w:tr>
      <w:tr>
        <w:tc>
          <w:tcPr>
            <w:tcW w:type="dxa" w:w="3408"/>
            <w:vAlign w:val="center"/>
          </w:tcPr>
          <w:p>
            <w:r>
              <w:t>Estimation and cost management</w:t>
            </w:r>
          </w:p>
        </w:tc>
        <w:tc>
          <w:tcPr>
            <w:tcW w:type="dxa" w:w="3408"/>
            <w:vAlign w:val="center"/>
          </w:tcPr>
          <w:p>
            <w:r>
              <w:t>8</w:t>
            </w:r>
          </w:p>
        </w:tc>
        <w:tc>
          <w:tcPr>
            <w:tcW w:type="dxa" w:w="3408"/>
            <w:vAlign w:val="center"/>
          </w:tcPr>
          <w:p>
            <w:r>
              <w:t>6</w:t>
            </w:r>
          </w:p>
        </w:tc>
      </w:tr>
      <w:tr>
        <w:tc>
          <w:tcPr>
            <w:tcW w:type="dxa" w:w="3408"/>
            <w:vAlign w:val="center"/>
          </w:tcPr>
          <w:p>
            <w:r>
              <w:t>Risk management</w:t>
            </w:r>
          </w:p>
        </w:tc>
        <w:tc>
          <w:tcPr>
            <w:tcW w:type="dxa" w:w="3408"/>
            <w:vAlign w:val="center"/>
          </w:tcPr>
          <w:p>
            <w:r>
              <w:t>8</w:t>
            </w:r>
          </w:p>
        </w:tc>
        <w:tc>
          <w:tcPr>
            <w:tcW w:type="dxa" w:w="3408"/>
            <w:vAlign w:val="center"/>
          </w:tcPr>
          <w:p>
            <w:r>
              <w:t>7</w:t>
            </w:r>
          </w:p>
        </w:tc>
      </w:tr>
      <w:tr>
        <w:tc>
          <w:tcPr>
            <w:tcW w:type="dxa" w:w="3408"/>
            <w:vAlign w:val="center"/>
          </w:tcPr>
          <w:p>
            <w:r>
              <w:t>Quality management and testing</w:t>
            </w:r>
          </w:p>
        </w:tc>
        <w:tc>
          <w:tcPr>
            <w:tcW w:type="dxa" w:w="3408"/>
            <w:vAlign w:val="center"/>
          </w:tcPr>
          <w:p>
            <w:r>
              <w:t>8</w:t>
            </w:r>
          </w:p>
        </w:tc>
        <w:tc>
          <w:tcPr>
            <w:tcW w:type="dxa" w:w="3408"/>
            <w:vAlign w:val="center"/>
          </w:tcPr>
          <w:p>
            <w:r>
              <w:t>7</w:t>
            </w:r>
          </w:p>
        </w:tc>
      </w:tr>
      <w:tr>
        <w:tc>
          <w:tcPr>
            <w:tcW w:type="dxa" w:w="3408"/>
            <w:vAlign w:val="center"/>
          </w:tcPr>
          <w:p>
            <w:r>
              <w:t>Requirements and change control</w:t>
            </w:r>
          </w:p>
        </w:tc>
        <w:tc>
          <w:tcPr>
            <w:tcW w:type="dxa" w:w="3408"/>
            <w:vAlign w:val="center"/>
          </w:tcPr>
          <w:p>
            <w:r>
              <w:t>5</w:t>
            </w:r>
          </w:p>
        </w:tc>
        <w:tc>
          <w:tcPr>
            <w:tcW w:type="dxa" w:w="3408"/>
            <w:vAlign w:val="center"/>
          </w:tcPr>
          <w:p>
            <w:r>
              <w:t>5</w:t>
            </w:r>
          </w:p>
        </w:tc>
      </w:tr>
      <w:tr>
        <w:tc>
          <w:tcPr>
            <w:tcW w:type="dxa" w:w="3408"/>
            <w:vAlign w:val="center"/>
          </w:tcPr>
          <w:p>
            <w:r>
              <w:t>Communication, issue management and knowledge transfer</w:t>
            </w:r>
          </w:p>
        </w:tc>
        <w:tc>
          <w:tcPr>
            <w:tcW w:type="dxa" w:w="3408"/>
            <w:vAlign w:val="center"/>
          </w:tcPr>
          <w:p>
            <w:r>
              <w:t>5</w:t>
            </w:r>
          </w:p>
        </w:tc>
        <w:tc>
          <w:tcPr>
            <w:tcW w:type="dxa" w:w="3408"/>
            <w:vAlign w:val="center"/>
          </w:tcPr>
          <w:p>
            <w:r>
              <w:t>4</w:t>
            </w:r>
          </w:p>
        </w:tc>
      </w:tr>
      <w:tr>
        <w:tc>
          <w:tcPr>
            <w:tcW w:type="dxa" w:w="3408"/>
            <w:vAlign w:val="center"/>
          </w:tcPr>
          <w:p>
            <w:r>
              <w:t>Maintenance, security and privacy</w:t>
            </w:r>
          </w:p>
        </w:tc>
        <w:tc>
          <w:tcPr>
            <w:tcW w:type="dxa" w:w="3408"/>
            <w:vAlign w:val="center"/>
          </w:tcPr>
          <w:p>
            <w:r>
              <w:t>5</w:t>
            </w:r>
          </w:p>
        </w:tc>
        <w:tc>
          <w:tcPr>
            <w:tcW w:type="dxa" w:w="3408"/>
            <w:vAlign w:val="center"/>
          </w:tcPr>
          <w:p>
            <w:r>
              <w:t>4</w:t>
            </w:r>
          </w:p>
        </w:tc>
      </w:tr>
      <w:tr>
        <w:tc>
          <w:tcPr>
            <w:tcW w:type="dxa" w:w="3408"/>
            <w:vAlign w:val="center"/>
          </w:tcPr>
          <w:p>
            <w:r>
              <w:t>Process improvement and conclusion</w:t>
            </w:r>
          </w:p>
        </w:tc>
        <w:tc>
          <w:tcPr>
            <w:tcW w:type="dxa" w:w="3408"/>
            <w:vAlign w:val="center"/>
          </w:tcPr>
          <w:p>
            <w:r>
              <w:t>2</w:t>
            </w:r>
          </w:p>
        </w:tc>
        <w:tc>
          <w:tcPr>
            <w:tcW w:type="dxa" w:w="3408"/>
            <w:vAlign w:val="center"/>
          </w:tcPr>
          <w:p>
            <w:r>
              <w:t>2</w:t>
            </w:r>
          </w:p>
        </w:tc>
      </w:tr>
      <w:tr>
        <w:tc>
          <w:tcPr>
            <w:tcW w:type="dxa" w:w="3408"/>
            <w:vAlign w:val="center"/>
          </w:tcPr>
          <w:p>
            <w:r>
              <w:t>Professional presentation and consistency</w:t>
            </w:r>
          </w:p>
        </w:tc>
        <w:tc>
          <w:tcPr>
            <w:tcW w:type="dxa" w:w="3408"/>
            <w:vAlign w:val="center"/>
          </w:tcPr>
          <w:p>
            <w:r>
              <w:t>6</w:t>
            </w:r>
          </w:p>
        </w:tc>
        <w:tc>
          <w:tcPr>
            <w:tcW w:type="dxa" w:w="3408"/>
            <w:vAlign w:val="center"/>
          </w:tcPr>
          <w:p>
            <w:r>
              <w:t>4</w:t>
            </w:r>
          </w:p>
        </w:tc>
      </w:tr>
      <w:tr>
        <w:tc>
          <w:tcPr>
            <w:tcW w:type="dxa" w:w="3408"/>
          </w:tcPr>
          <w:p>
            <w:r>
              <w:rPr>
                <w:b/>
              </w:rPr>
              <w:t>TOTAL</w:t>
            </w:r>
          </w:p>
        </w:tc>
        <w:tc>
          <w:tcPr>
            <w:tcW w:type="dxa" w:w="3408"/>
          </w:tcPr>
          <w:p>
            <w:r>
              <w:rPr>
                <w:b/>
              </w:rPr>
              <w:t>100</w:t>
            </w:r>
          </w:p>
        </w:tc>
        <w:tc>
          <w:tcPr>
            <w:tcW w:type="dxa" w:w="3408"/>
          </w:tcPr>
          <w:p>
            <w:r>
              <w:rPr>
                <w:b/>
              </w:rPr>
              <w:t>78/100</w:t>
            </w:r>
          </w:p>
        </w:tc>
      </w:tr>
    </w:tbl>
    <w:p>
      <w:r>
        <w:t>Interpretation: 78/100 is an informed review estimate of the SPMP document, not an official mark or a prediction of the final module grade. The strongest areas are broad project-management coverage, project-specific risks, and acknowledgement of simulated external services. The main weaknesses are schedule detail, consistency of project records, evidence behind estimates, and clarity about planned versus completed work.</w:t>
      </w:r>
    </w:p>
    <w:p>
      <w:pPr>
        <w:pStyle w:val="Heading1"/>
      </w:pPr>
      <w:r>
        <w:t>2. Critical corrections before submission</w:t>
      </w:r>
    </w:p>
    <w:p>
      <w:pPr>
        <w:pStyle w:val="ListNumber"/>
      </w:pPr>
      <w:r>
        <w:rPr>
          <w:b/>
        </w:rPr>
        <w:t xml:space="preserve">Submission dates and version status — cover page; Sections 3.1.6, 3.3, 3.10.3; Appendix A: </w:t>
      </w:r>
      <w:r>
        <w:t>The document lists 5 October 2026 as the submission date, although the planned submission is tomorrow (11 October 2026). Update the actual submission deadline and current version/status where relevant. Preserve dates that record historical work; do not replace every occurrence automatically.</w:t>
      </w:r>
    </w:p>
    <w:p>
      <w:pPr>
        <w:pStyle w:val="ListNumber"/>
      </w:pPr>
      <w:r>
        <w:rPr>
          <w:b/>
        </w:rPr>
        <w:t xml:space="preserve">Team size and effort record — cover page; Sections 3.4, 3.8 and 3.21: </w:t>
      </w:r>
      <w:r>
        <w:t>Six people are named on the cover, while the effort record and conclusion refer to seven members. Verify the actual group size and hours log. Six members × 3 hours × 6 weeks = 108 person-hours; seven members × 3 hours × 6 weeks = 126 person-hours. Keep the figure supported by actual records, not assumption.</w:t>
      </w:r>
    </w:p>
    <w:p>
      <w:pPr>
        <w:pStyle w:val="ListNumber"/>
      </w:pPr>
      <w:r>
        <w:rPr>
          <w:b/>
        </w:rPr>
        <w:t xml:space="preserve">Schedule detail — Section 3.4: </w:t>
      </w:r>
      <w:r>
        <w:t>Keep the effort table, but add planned start/end dates, milestones, dependencies, responsible roles and status for each major activity. Use actual project dates. Show how the remaining 174 planned hours relate to the time left before submission.</w:t>
      </w:r>
    </w:p>
    <w:p>
      <w:pPr>
        <w:pStyle w:val="ListNumber"/>
      </w:pPr>
      <w:r>
        <w:rPr>
          <w:b/>
        </w:rPr>
        <w:t xml:space="preserve">Cost estimate audit trail — Section 3.10.6: </w:t>
      </w:r>
      <w:r>
        <w:t>The stated arithmetic is correct if the assumptions are correct: labour 300 × R350 = R105,000; expenses at 5% = R5,250; subtotal = R110,250; VAT at 15% = R16,537.50; total = R126,787.50. Add a cost breakdown by work category and verify rates/VAT treatment against the official brief.</w:t>
      </w:r>
    </w:p>
    <w:p>
      <w:pPr>
        <w:pStyle w:val="ListNumber"/>
      </w:pPr>
      <w:r>
        <w:rPr>
          <w:b/>
        </w:rPr>
        <w:t xml:space="preserve">Risk rating method — Section 3.11: </w:t>
      </w:r>
      <w:r>
        <w:t>Define what High, Medium and Low mean for probability and impact. For high-priority risks, consider adding status, last review date, residual risk, next action and owner.</w:t>
      </w:r>
    </w:p>
    <w:p>
      <w:pPr>
        <w:pStyle w:val="ListNumber"/>
      </w:pPr>
      <w:r>
        <w:rPr>
          <w:b/>
        </w:rPr>
        <w:t xml:space="preserve">Measurable quality criteria — Section 3.12: </w:t>
      </w:r>
      <w:r>
        <w:t>Add acceptance criteria and verification evidence for functional requirements, access controls, payment scenarios, stale/unavailable occupancy data, regression testing and documentation consistency. Record whether checks are Complete, In Progress or Planned; do not claim tests passed without results.</w:t>
      </w:r>
    </w:p>
    <w:p>
      <w:pPr>
        <w:pStyle w:val="Heading1"/>
      </w:pPr>
      <w:r>
        <w:t>3. Other section-by-section improvements</w:t>
      </w:r>
    </w:p>
    <w:p>
      <w:pPr>
        <w:pStyle w:val="ListBullet"/>
      </w:pPr>
      <w:r>
        <w:rPr>
          <w:b/>
        </w:rPr>
        <w:t xml:space="preserve">3.2 Assumptions and constraints: </w:t>
      </w:r>
      <w:r>
        <w:t>Explain what the team will do if an assumption fails; align fallback actions with the risk plan.</w:t>
      </w:r>
    </w:p>
    <w:p>
      <w:pPr>
        <w:pStyle w:val="ListBullet"/>
      </w:pPr>
      <w:r>
        <w:rPr>
          <w:b/>
        </w:rPr>
        <w:t xml:space="preserve">3.3 Deliverables: </w:t>
      </w:r>
      <w:r>
        <w:t>Add acceptance criteria and evidence of completion for each major deliverable.</w:t>
      </w:r>
    </w:p>
    <w:p>
      <w:pPr>
        <w:pStyle w:val="ListBullet"/>
      </w:pPr>
      <w:r>
        <w:rPr>
          <w:b/>
        </w:rPr>
        <w:t xml:space="preserve">3.5 Iterative development: </w:t>
      </w:r>
      <w:r>
        <w:t>Identify which iterations are Completed, In Progress or Planned, supported by real artefacts, repository revisions, reviews or test evidence.</w:t>
      </w:r>
    </w:p>
    <w:p>
      <w:pPr>
        <w:pStyle w:val="ListBullet"/>
      </w:pPr>
      <w:r>
        <w:rPr>
          <w:b/>
        </w:rPr>
        <w:t xml:space="preserve">3.6 DevOps: </w:t>
      </w:r>
      <w:r>
        <w:t>Separate practices already implemented from practices that remain planned; document manual checks where automation is not available.</w:t>
      </w:r>
    </w:p>
    <w:p>
      <w:pPr>
        <w:pStyle w:val="ListBullet"/>
      </w:pPr>
      <w:r>
        <w:rPr>
          <w:b/>
        </w:rPr>
        <w:t xml:space="preserve">3.7 Communication: </w:t>
      </w:r>
      <w:r>
        <w:t>Specify agreed response expectations and how blockers or unavailability are escalated.</w:t>
      </w:r>
    </w:p>
    <w:p>
      <w:pPr>
        <w:pStyle w:val="ListBullet"/>
      </w:pPr>
      <w:r>
        <w:rPr>
          <w:b/>
        </w:rPr>
        <w:t xml:space="preserve">3.8 Project organisation: </w:t>
      </w:r>
      <w:r>
        <w:t>Clarify approval responsibilities for routine tasks, scope changes and critical quality/security issues; ensure this matches the team's actual process.</w:t>
      </w:r>
    </w:p>
    <w:p>
      <w:pPr>
        <w:pStyle w:val="ListBullet"/>
      </w:pPr>
      <w:r>
        <w:rPr>
          <w:b/>
        </w:rPr>
        <w:t xml:space="preserve">3.12 Quality management: </w:t>
      </w:r>
      <w:r>
        <w:t>Make Definition of Done numbering consistent. Consider making Verification Mechanisms a peer subsection of Reviews and Inspections, then update cross-references and contents.</w:t>
      </w:r>
    </w:p>
    <w:p>
      <w:pPr>
        <w:pStyle w:val="ListBullet"/>
      </w:pPr>
      <w:r>
        <w:rPr>
          <w:b/>
        </w:rPr>
        <w:t xml:space="preserve">3.14 Configuration management: </w:t>
      </w:r>
      <w:r>
        <w:t>Identify the current approved version, storage location and owner for the specification, UML, source code, SPMP, hours log and test evidence.</w:t>
      </w:r>
    </w:p>
    <w:p>
      <w:pPr>
        <w:pStyle w:val="ListBullet"/>
      </w:pPr>
      <w:r>
        <w:rPr>
          <w:b/>
        </w:rPr>
        <w:t xml:space="preserve">3.15–3.20: </w:t>
      </w:r>
      <w:r>
        <w:t>Where appropriate, clarify issue response expectations, reporting frequency, completion evidence for handovers, post-submission support boundaries and actual lessons learned.</w:t>
      </w:r>
    </w:p>
    <w:p>
      <w:pPr>
        <w:pStyle w:val="ListBullet"/>
      </w:pPr>
      <w:r>
        <w:rPr>
          <w:b/>
        </w:rPr>
        <w:t xml:space="preserve">3.21 Conclusion and Appendix A: </w:t>
      </w:r>
      <w:r>
        <w:t>Reconcile dates, team size, effort figures and project status with the main body.</w:t>
      </w:r>
    </w:p>
    <w:p>
      <w:pPr>
        <w:pStyle w:val="Heading1"/>
      </w:pPr>
      <w:r>
        <w:t>4. Cost breakdown by work category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Work category</w:t>
            </w:r>
          </w:p>
        </w:tc>
        <w:tc>
          <w:tcPr>
            <w:tcW w:type="dxa" w:w="3408"/>
          </w:tcPr>
          <w:p>
            <w:r>
              <w:t>Planned hours</w:t>
            </w:r>
          </w:p>
        </w:tc>
        <w:tc>
          <w:tcPr>
            <w:tcW w:type="dxa" w:w="3408"/>
          </w:tcPr>
          <w:p>
            <w:r>
              <w:t>Estimated labour cost at R350/hour</w:t>
            </w:r>
          </w:p>
        </w:tc>
      </w:tr>
      <w:tr>
        <w:tc>
          <w:tcPr>
            <w:tcW w:type="dxa" w:w="3408"/>
          </w:tcPr>
          <w:p>
            <w:r>
              <w:t>Requirements</w:t>
            </w:r>
          </w:p>
        </w:tc>
        <w:tc>
          <w:tcPr>
            <w:tcW w:type="dxa" w:w="3408"/>
          </w:tcPr>
          <w:p>
            <w:r>
              <w:t>40</w:t>
            </w:r>
          </w:p>
        </w:tc>
        <w:tc>
          <w:tcPr>
            <w:tcW w:type="dxa" w:w="3408"/>
          </w:tcPr>
          <w:p>
            <w:r>
              <w:t>R14,000.00</w:t>
            </w:r>
          </w:p>
        </w:tc>
      </w:tr>
      <w:tr>
        <w:tc>
          <w:tcPr>
            <w:tcW w:type="dxa" w:w="3408"/>
          </w:tcPr>
          <w:p>
            <w:r>
              <w:t>Specification / Analysis</w:t>
            </w:r>
          </w:p>
        </w:tc>
        <w:tc>
          <w:tcPr>
            <w:tcW w:type="dxa" w:w="3408"/>
          </w:tcPr>
          <w:p>
            <w:r>
              <w:t>60</w:t>
            </w:r>
          </w:p>
        </w:tc>
        <w:tc>
          <w:tcPr>
            <w:tcW w:type="dxa" w:w="3408"/>
          </w:tcPr>
          <w:p>
            <w:r>
              <w:t>R21,000.00</w:t>
            </w:r>
          </w:p>
        </w:tc>
      </w:tr>
      <w:tr>
        <w:tc>
          <w:tcPr>
            <w:tcW w:type="dxa" w:w="3408"/>
          </w:tcPr>
          <w:p>
            <w:r>
              <w:t>Design</w:t>
            </w:r>
          </w:p>
        </w:tc>
        <w:tc>
          <w:tcPr>
            <w:tcW w:type="dxa" w:w="3408"/>
          </w:tcPr>
          <w:p>
            <w:r>
              <w:t>50</w:t>
            </w:r>
          </w:p>
        </w:tc>
        <w:tc>
          <w:tcPr>
            <w:tcW w:type="dxa" w:w="3408"/>
          </w:tcPr>
          <w:p>
            <w:r>
              <w:t>R17,500.00</w:t>
            </w:r>
          </w:p>
        </w:tc>
      </w:tr>
      <w:tr>
        <w:tc>
          <w:tcPr>
            <w:tcW w:type="dxa" w:w="3408"/>
          </w:tcPr>
          <w:p>
            <w:r>
              <w:t>Implementation</w:t>
            </w:r>
          </w:p>
        </w:tc>
        <w:tc>
          <w:tcPr>
            <w:tcW w:type="dxa" w:w="3408"/>
          </w:tcPr>
          <w:p>
            <w:r>
              <w:t>120</w:t>
            </w:r>
          </w:p>
        </w:tc>
        <w:tc>
          <w:tcPr>
            <w:tcW w:type="dxa" w:w="3408"/>
          </w:tcPr>
          <w:p>
            <w:r>
              <w:t>R42,000.00</w:t>
            </w:r>
          </w:p>
        </w:tc>
      </w:tr>
      <w:tr>
        <w:tc>
          <w:tcPr>
            <w:tcW w:type="dxa" w:w="3408"/>
          </w:tcPr>
          <w:p>
            <w:r>
              <w:t>Other</w:t>
            </w:r>
          </w:p>
        </w:tc>
        <w:tc>
          <w:tcPr>
            <w:tcW w:type="dxa" w:w="3408"/>
          </w:tcPr>
          <w:p>
            <w:r>
              <w:t>30</w:t>
            </w:r>
          </w:p>
        </w:tc>
        <w:tc>
          <w:tcPr>
            <w:tcW w:type="dxa" w:w="3408"/>
          </w:tcPr>
          <w:p>
            <w:r>
              <w:t>R10,500.00</w:t>
            </w:r>
          </w:p>
        </w:tc>
      </w:tr>
      <w:tr>
        <w:tc>
          <w:tcPr>
            <w:tcW w:type="dxa" w:w="3408"/>
          </w:tcPr>
          <w:p>
            <w:r>
              <w:rPr>
                <w:b/>
              </w:rPr>
              <w:t>TOTAL</w:t>
            </w:r>
          </w:p>
        </w:tc>
        <w:tc>
          <w:tcPr>
            <w:tcW w:type="dxa" w:w="3408"/>
          </w:tcPr>
          <w:p>
            <w:r>
              <w:rPr>
                <w:b/>
              </w:rPr>
              <w:t>300</w:t>
            </w:r>
          </w:p>
        </w:tc>
        <w:tc>
          <w:tcPr>
            <w:tcW w:type="dxa" w:w="3408"/>
          </w:tcPr>
          <w:p>
            <w:r>
              <w:rPr>
                <w:b/>
              </w:rPr>
              <w:t>R105,000.00</w:t>
            </w:r>
          </w:p>
        </w:tc>
      </w:tr>
    </w:tbl>
    <w:p>
      <w:pPr>
        <w:pStyle w:val="Heading1"/>
      </w:pPr>
      <w:r>
        <w:t>5. Final submission checklist</w:t>
      </w:r>
    </w:p>
    <w:p>
      <w:pPr>
        <w:pStyle w:val="ListBullet"/>
      </w:pPr>
      <w:r>
        <w:t>☐ Correct the submission date and version/status information while preserving accurate historical dates.</w:t>
      </w:r>
    </w:p>
    <w:p>
      <w:pPr>
        <w:pStyle w:val="ListBullet"/>
      </w:pPr>
      <w:r>
        <w:t>☐ Verify actual team membership and reconcile hours across the cover page, effort table, organisation section, conclusion and Appendix A.</w:t>
      </w:r>
    </w:p>
    <w:p>
      <w:pPr>
        <w:pStyle w:val="ListBullet"/>
      </w:pPr>
      <w:r>
        <w:t>☐ Add a dated schedule with dependencies, owners, milestone status and remaining-work allocation.</w:t>
      </w:r>
    </w:p>
    <w:p>
      <w:pPr>
        <w:pStyle w:val="ListBullet"/>
      </w:pPr>
      <w:r>
        <w:t>☐ Add the cost-by-category breakdown and confirm assumptions against the official project brief.</w:t>
      </w:r>
    </w:p>
    <w:p>
      <w:pPr>
        <w:pStyle w:val="ListBullet"/>
      </w:pPr>
      <w:r>
        <w:t>☐ Define the risk rating scale and update high-priority risk records.</w:t>
      </w:r>
    </w:p>
    <w:p>
      <w:pPr>
        <w:pStyle w:val="ListBullet"/>
      </w:pPr>
      <w:r>
        <w:t>☐ Add measurable quality criteria and accurate verification statuses/evidence.</w:t>
      </w:r>
    </w:p>
    <w:p>
      <w:pPr>
        <w:pStyle w:val="ListBullet"/>
      </w:pPr>
      <w:r>
        <w:t>☐ Distinguish planned from implemented DevOps practices and completed from planned iterations.</w:t>
      </w:r>
    </w:p>
    <w:p>
      <w:pPr>
        <w:pStyle w:val="ListBullet"/>
      </w:pPr>
      <w:r>
        <w:t>☐ Confirm the approved versions and locations of key project artefacts.</w:t>
      </w:r>
    </w:p>
    <w:p>
      <w:pPr>
        <w:pStyle w:val="ListBullet"/>
      </w:pPr>
      <w:r>
        <w:t>☐ Fix heading/list numbering and refresh the contents page/page numbers if required.</w:t>
      </w:r>
    </w:p>
    <w:p>
      <w:pPr>
        <w:pStyle w:val="ListBullet"/>
      </w:pPr>
      <w:r>
        <w:t>☐ Remove DRAFT from the filename/status only when the document is genuinely final.</w:t>
      </w:r>
    </w:p>
    <w:p>
      <w:pPr>
        <w:pStyle w:val="ListBullet"/>
      </w:pPr>
      <w:r>
        <w:t>☐ Export to PDF and inspect every page for broken tables, awkward page breaks, blank pages, headers/footers and page numbers.</w:t>
      </w:r>
    </w:p>
    <w:p>
      <w:pPr>
        <w:pStyle w:val="Heading1"/>
      </w:pPr>
      <w:r>
        <w:t>6. Recommended order of work</w:t>
      </w:r>
    </w:p>
    <w:p>
      <w:r>
        <w:t>First correct dates and the team-size/hours discrepancy. Next improve the schedule and cost audit trail. Then define risk ratings and quality acceptance criteria. Finally reconcile the appendix, tidy numbering and inspect the exported PDF.</w:t>
      </w:r>
    </w:p>
    <w:p/>
    <w:p>
      <w:r>
        <w:rPr>
          <w:b/>
        </w:rPr>
        <w:t xml:space="preserve">Important limitation: </w:t>
      </w:r>
      <w:r>
        <w:t>The official assignment rubric and project brief were not available for this review. Before treating the score as definitive, compare this summary against the lecturer's actual requirements. Do not invent dates, team contributions, test results or implementation status; use the project's real records.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