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1"/>
        <w:pBdr>
          <w:left w:val="nil"/>
          <w:right w:val="nil"/>
          <w:top w:val="nil"/>
          <w:bottom w:val="nil"/>
          <w:between w:val="nil"/>
        </w:pBdr>
        <w:shd w:val="clear" w:color="auto" w:fill="auto"/>
        <w:rPr/>
      </w:pPr>
      <w:r>
        <w:rPr/>
        <w:t>OvaryVision: Rigorous Methodology for Ovarian Tumor Classification and Risk Stratification via Ultrasound Computer Vision</w:t>
      </w:r>
    </w:p>
    <w:p w14:paraId="00000002">
      <w:pPr>
        <w:pStyle w:val="style2"/>
        <w:pBdr>
          <w:left w:val="nil"/>
          <w:right w:val="nil"/>
          <w:top w:val="nil"/>
          <w:bottom w:val="nil"/>
          <w:between w:val="nil"/>
        </w:pBdr>
        <w:shd w:val="clear" w:color="auto" w:fill="auto"/>
        <w:spacing w:before="0"/>
        <w:rPr/>
      </w:pPr>
      <w:r>
        <w:rPr/>
        <w:t>A. Executive Summary</w:t>
      </w:r>
    </w:p>
    <w:p w14:paraId="00000003">
      <w:pPr>
        <w:pStyle w:val="style0"/>
        <w:pBdr>
          <w:left w:val="nil"/>
          <w:right w:val="nil"/>
          <w:top w:val="nil"/>
          <w:bottom w:val="nil"/>
          <w:between w:val="nil"/>
        </w:pBdr>
        <w:shd w:val="clear" w:color="auto" w:fill="auto"/>
        <w:rPr/>
      </w:pPr>
      <w:r>
        <w:rPr/>
        <w:t>The OvaryVision project is an academic research initiative aimed at developing a methodology for automated ovarian lesion classification and risk stratification using pelvic B-mode ultrasound images. Ovarian cancer remains the most lethal gynecological malignancy globally, primarily because over 70% of patients are diagnosed at advanced metastatic stages. While transvaginal ultrasonography (TVUS) serves as the primary frontline screening tool, diagnostic accuracy varies considerably across operator skill levels, leading to high inter-observer variability, unnecessary invasive surgeries for benign masses, and delayed interventions for early-stage malignancies.</w:t>
      </w:r>
    </w:p>
    <w:p w14:paraId="00000004">
      <w:pPr>
        <w:pStyle w:val="style0"/>
        <w:pBdr>
          <w:left w:val="nil"/>
          <w:right w:val="nil"/>
          <w:top w:val="nil"/>
          <w:bottom w:val="nil"/>
          <w:between w:val="nil"/>
        </w:pBdr>
        <w:shd w:val="clear" w:color="auto" w:fill="auto"/>
        <w:rPr/>
      </w:pPr>
      <w:r>
        <w:rPr/>
        <w:t>Rather than delivering a standard machine learning demonstration or a simplistic binary classifier, OvaryVision addresses systemic methodological flaws prevalent in existing medical computer vision literature. A rigorous audit of prior work reveals that many published models achieve artificially inflated accuracy metrics by exploiting synthetic annotation symbols—such as measurement calipers, crosses, and doctor-annotated border lines—superimposed on B-mode scans. Furthermore, prevalent protocols frequently fail to enforce patient-level data partitioning, causing severe test-set contamination across duplicate patient scans.</w:t>
      </w:r>
    </w:p>
    <w:p w14:paraId="00000005">
      <w:pPr>
        <w:pStyle w:val="style0"/>
        <w:pBdr>
          <w:left w:val="nil"/>
          <w:right w:val="nil"/>
          <w:top w:val="nil"/>
          <w:bottom w:val="nil"/>
          <w:between w:val="nil"/>
        </w:pBdr>
        <w:shd w:val="clear" w:color="auto" w:fill="auto"/>
        <w:spacing w:after="225"/>
        <w:rPr/>
      </w:pPr>
      <w:r>
        <w:rPr/>
        <w:t>OvaryVision introduces an artifact-aware, multi-task deep learning architecture designed for calibrated multi-class risk stratification (Benign, Borderline, Malignant) alongside explicit lesion boundary segmentation. By incorporating a Mask-Guided Generative Adversarial Network (MGGAN) preprocessing step to remove clinical measurement symbols, OvaryVision forces the network to rely on genuine anatomical tissue echotexture. Coupled with ConvNeXt multi-scale feature extraction, probability calibration via Temperature Scaling, and Pointing Game visual explainability, OvaryVision yields a scientifically defensible model optimized for clinical relevance, out-of-domain robustness, and publication in high-impact medical imaging journals.</w:t>
      </w:r>
    </w:p>
    <w:p w14:paraId="00000006">
      <w:pPr>
        <w:pStyle w:val="style2"/>
        <w:pBdr>
          <w:left w:val="nil"/>
          <w:right w:val="nil"/>
          <w:top w:val="nil"/>
          <w:bottom w:val="nil"/>
          <w:between w:val="nil"/>
        </w:pBdr>
        <w:shd w:val="clear" w:color="auto" w:fill="auto"/>
        <w:spacing w:before="0" w:after="240"/>
        <w:rPr/>
      </w:pPr>
      <w:r>
        <w:rPr/>
        <w:t>B. Clinical Background &amp; Systematic Literature Review</w:t>
      </w:r>
    </w:p>
    <w:p w14:paraId="00000007">
      <w:pPr>
        <w:pStyle w:val="style3"/>
        <w:pBdr>
          <w:left w:val="nil"/>
          <w:right w:val="nil"/>
          <w:top w:val="nil"/>
          <w:bottom w:val="nil"/>
          <w:between w:val="nil"/>
        </w:pBdr>
        <w:shd w:val="clear" w:color="auto" w:fill="auto"/>
        <w:spacing w:before="0"/>
        <w:rPr/>
      </w:pPr>
      <w:r>
        <w:rPr/>
        <w:t>Clinical Problem Statement and Pathological Continuum</w:t>
      </w:r>
    </w:p>
    <w:p w14:paraId="00000008">
      <w:pPr>
        <w:pStyle w:val="style0"/>
        <w:pBdr>
          <w:left w:val="nil"/>
          <w:right w:val="nil"/>
          <w:top w:val="nil"/>
          <w:bottom w:val="nil"/>
          <w:between w:val="nil"/>
        </w:pBdr>
        <w:shd w:val="clear" w:color="auto" w:fill="auto"/>
        <w:rPr/>
      </w:pPr>
      <w:r>
        <w:rPr/>
        <w:t>Ovarian lesions represent a complex histopathological spectrum that extends far beyond a simple binary distinction between benign and malignant tissue. Clinically relevant ovarian masses fall into three primary diagnostic tiers:</w:t>
      </w:r>
    </w:p>
    <w:p w14:paraId="00000009">
      <w:pPr>
        <w:pStyle w:val="style0"/>
        <w:numPr>
          <w:ilvl w:val="0"/>
          <w:numId w:val="1"/>
        </w:numPr>
        <w:pBdr>
          <w:left w:val="nil"/>
          <w:right w:val="nil"/>
          <w:top w:val="nil"/>
          <w:bottom w:val="nil"/>
          <w:between w:val="nil"/>
        </w:pBdr>
        <w:shd w:val="clear" w:color="auto" w:fill="auto"/>
        <w:ind w:left="600" w:hanging="360"/>
        <w:rPr/>
      </w:pPr>
      <w:r>
        <w:rPr>
          <w:b/>
          <w:bCs/>
        </w:rPr>
        <w:t>Physiological and Non-Neoplastic Conditions</w:t>
      </w:r>
      <w:r>
        <w:rPr/>
        <w:t>: Functional follicular cysts, polycystic ovarian morphology (PCOM), and corpus luteum cysts. These conditions are self-limiting or managed medically, requiring no surgical excision.</w:t>
      </w:r>
    </w:p>
    <w:p w14:paraId="0000000A">
      <w:pPr>
        <w:pStyle w:val="style0"/>
        <w:numPr>
          <w:ilvl w:val="0"/>
          <w:numId w:val="1"/>
        </w:numPr>
        <w:pBdr>
          <w:left w:val="nil"/>
          <w:right w:val="nil"/>
          <w:top w:val="nil"/>
          <w:bottom w:val="nil"/>
          <w:between w:val="nil"/>
        </w:pBdr>
        <w:shd w:val="clear" w:color="auto" w:fill="auto"/>
        <w:ind w:left="600" w:hanging="360"/>
        <w:rPr/>
      </w:pPr>
      <w:r>
        <w:rPr>
          <w:b/>
          <w:bCs/>
        </w:rPr>
        <w:t>Benign Neoplasms</w:t>
      </w:r>
      <w:r>
        <w:rPr/>
        <w:t>: Serous cystadenomas, mucinous cystadenomas, endometriomas, mature cystic teratomas (dermoid cysts), and ovarian fibromas. These benign lesions display diverse acoustic properties—such as ground-glass internal echogenicity in endometriomas or hyperechoic Rokitansky nodules with posterior acoustic shadowing in teratomas—which require conservative surgical management or serial monitoring.</w:t>
      </w:r>
    </w:p>
    <w:p w14:paraId="0000000B">
      <w:pPr>
        <w:pStyle w:val="style0"/>
        <w:numPr>
          <w:ilvl w:val="0"/>
          <w:numId w:val="1"/>
        </w:numPr>
        <w:pBdr>
          <w:left w:val="nil"/>
          <w:right w:val="nil"/>
          <w:top w:val="nil"/>
          <w:bottom w:val="nil"/>
          <w:between w:val="nil"/>
        </w:pBdr>
        <w:shd w:val="clear" w:color="auto" w:fill="auto"/>
        <w:ind w:left="600" w:hanging="360"/>
        <w:rPr/>
      </w:pPr>
      <w:r>
        <w:rPr>
          <w:b/>
          <w:bCs/>
        </w:rPr>
        <w:t>Borderline Ovarian Tumors (BOTs) and Invasive Malignancies</w:t>
      </w:r>
      <w:r>
        <w:rPr/>
        <w:t>: Borderline ovarian tumors occupy a distinct clinical intermediate stage characterized by cellular atypia without stromal invasion. Invasive malignancies include primary epithelial carcinomas (high-grade serous, clear cell, endometrioid), sex cord-stromal tumors, and metastatic lesions (e.g., Krukenberg tumors). Invasive cancers frequently manifest as irregular solid components, multilocular-solid architectures, and ascites.</w:t>
      </w:r>
    </w:p>
    <w:p w14:paraId="0000000C">
      <w:pPr>
        <w:pStyle w:val="style0"/>
        <w:pBdr>
          <w:left w:val="nil"/>
          <w:right w:val="nil"/>
          <w:top w:val="nil"/>
          <w:bottom w:val="nil"/>
          <w:between w:val="nil"/>
        </w:pBdr>
        <w:shd w:val="clear" w:color="auto" w:fill="auto"/>
        <w:spacing w:after="240"/>
        <w:rPr/>
      </w:pPr>
      <w:r>
        <w:rPr/>
        <w:t>Distinguishing borderline ovarian tumors from complex benign neoplasms and early-stage invasive carcinomas presents a major clinical challenge. Standard binary deep learning models routinely misclassify borderline tumors, producing false-negative rates that compromise patient care.</w:t>
      </w:r>
    </w:p>
    <w:p w14:paraId="0000000D">
      <w:pPr>
        <w:pStyle w:val="style3"/>
        <w:pBdr>
          <w:left w:val="nil"/>
          <w:right w:val="nil"/>
          <w:top w:val="nil"/>
          <w:bottom w:val="nil"/>
          <w:between w:val="nil"/>
        </w:pBdr>
        <w:shd w:val="clear" w:color="auto" w:fill="auto"/>
        <w:spacing w:before="0"/>
        <w:rPr/>
      </w:pPr>
      <w:r>
        <w:rPr/>
        <w:t>Standardized Clinical Risk-Stratification Frameworks</w:t>
      </w:r>
    </w:p>
    <w:p w14:paraId="0000000E">
      <w:pPr>
        <w:pStyle w:val="style0"/>
        <w:pBdr>
          <w:left w:val="nil"/>
          <w:right w:val="nil"/>
          <w:top w:val="nil"/>
          <w:bottom w:val="nil"/>
          <w:between w:val="nil"/>
        </w:pBdr>
        <w:shd w:val="clear" w:color="auto" w:fill="auto"/>
        <w:rPr/>
      </w:pPr>
      <w:r>
        <w:rPr/>
        <w:t>To standardize ultrasound interpretation, international clinical bodies have established consensus risk-scoring systems:</w:t>
      </w:r>
    </w:p>
    <w:p w14:paraId="0000000F">
      <w:pPr>
        <w:pStyle w:val="style0"/>
        <w:numPr>
          <w:ilvl w:val="0"/>
          <w:numId w:val="18"/>
        </w:numPr>
        <w:pBdr>
          <w:left w:val="nil"/>
          <w:right w:val="nil"/>
          <w:top w:val="nil"/>
          <w:bottom w:val="nil"/>
          <w:between w:val="nil"/>
        </w:pBdr>
        <w:shd w:val="clear" w:color="auto" w:fill="auto"/>
        <w:ind w:left="600" w:hanging="360"/>
        <w:rPr/>
      </w:pPr>
      <w:r>
        <w:rPr>
          <w:b/>
          <w:bCs/>
        </w:rPr>
        <w:t>IOTA Simple Rules</w:t>
      </w:r>
      <w:r>
        <w:rPr/>
        <w:t>: Formulated by the International Ovarian Tumor Analysis group, this system classifies masses using five benign features (B-rules: unilocular, solid component &lt;7 mm, acoustic shadows, smooth multilocular &lt;100 mm, absent blood flow) and five malignant features (M-rules: irregular solid tumor, ascites, \ge 4 papillary structures, irregular multilocular-solid &gt;100 mm, strong blood flow). Masses are categorized as Benign, Malignant, or Unclassifiable.</w:t>
      </w:r>
    </w:p>
    <w:p w14:paraId="00000010">
      <w:pPr>
        <w:pStyle w:val="style0"/>
        <w:numPr>
          <w:ilvl w:val="0"/>
          <w:numId w:val="18"/>
        </w:numPr>
        <w:pBdr>
          <w:left w:val="nil"/>
          <w:right w:val="nil"/>
          <w:top w:val="nil"/>
          <w:bottom w:val="nil"/>
          <w:between w:val="nil"/>
        </w:pBdr>
        <w:shd w:val="clear" w:color="auto" w:fill="auto"/>
        <w:ind w:left="600" w:hanging="360"/>
        <w:rPr/>
      </w:pPr>
      <w:r>
        <w:rPr>
          <w:b/>
          <w:bCs/>
        </w:rPr>
        <w:t>IOTA ADNEX Model</w:t>
      </w:r>
      <w:r>
        <w:rPr/>
        <w:t>: A multivariable Bayesian risk model calculating absolute individual probabilities for five distinct pathological classes: benign, borderline, stage I primary cancer, stage II–IV primary cancer, and secondary metastatic cancer.</w:t>
      </w:r>
    </w:p>
    <w:p w14:paraId="00000011">
      <w:pPr>
        <w:pStyle w:val="style0"/>
        <w:numPr>
          <w:ilvl w:val="0"/>
          <w:numId w:val="18"/>
        </w:numPr>
        <w:pBdr>
          <w:left w:val="nil"/>
          <w:right w:val="nil"/>
          <w:top w:val="nil"/>
          <w:bottom w:val="nil"/>
          <w:between w:val="nil"/>
        </w:pBdr>
        <w:shd w:val="clear" w:color="auto" w:fill="auto"/>
        <w:ind w:left="600" w:hanging="360"/>
        <w:rPr/>
      </w:pPr>
      <w:r>
        <w:rPr>
          <w:b/>
          <w:bCs/>
        </w:rPr>
        <w:t>ACR O-RADS US (Ovarian-Adnexal Reporting and Data System)</w:t>
      </w:r>
      <w:r>
        <w:rPr/>
        <w:t>: Established by the American College of Radiology, O-RADS assigns adnexal lesions to six standardized risk categories (O-RADS 1: normal; O-RADS 2: almost certainly benign &lt;1\% risk; O-RADS 3: low risk 1 to &lt;10\%; O-RADS 4: intermediate risk 10 to &lt;50\%; O-RADS 5: high risk \ge 50\%) to guide clinical management.</w:t>
      </w:r>
    </w:p>
    <w:p w14:paraId="00000012">
      <w:pPr>
        <w:pStyle w:val="style3"/>
        <w:pBdr>
          <w:left w:val="nil"/>
          <w:right w:val="nil"/>
          <w:top w:val="nil"/>
          <w:bottom w:val="nil"/>
          <w:between w:val="nil"/>
        </w:pBdr>
        <w:shd w:val="clear" w:color="auto" w:fill="auto"/>
        <w:rPr/>
      </w:pPr>
      <w:r>
        <w:rPr/>
        <w:t>Systematic Literature Review (2018–2026)</w:t>
      </w:r>
    </w:p>
    <w:p w14:paraId="00000013">
      <w:pPr>
        <w:pStyle w:val="style0"/>
        <w:pBdr>
          <w:left w:val="nil"/>
          <w:right w:val="nil"/>
          <w:top w:val="nil"/>
          <w:bottom w:val="nil"/>
          <w:between w:val="nil"/>
        </w:pBdr>
        <w:shd w:val="clear" w:color="auto" w:fill="auto"/>
        <w:rPr/>
      </w:pPr>
      <w:r>
        <w:rPr/>
        <w:t>A systematic review of computer-aided ovarian mass analysis highlights a clear evolution from hand-crafted radiomic classifiers to modern deep learning architectures:</w:t>
      </w:r>
    </w:p>
    <w:p w14:paraId="00000014">
      <w:pPr>
        <w:pStyle w:val="style0"/>
        <w:numPr>
          <w:ilvl w:val="0"/>
          <w:numId w:val="22"/>
        </w:numPr>
        <w:pBdr>
          <w:left w:val="nil"/>
          <w:right w:val="nil"/>
          <w:top w:val="nil"/>
          <w:bottom w:val="nil"/>
          <w:between w:val="nil"/>
        </w:pBdr>
        <w:shd w:val="clear" w:color="auto" w:fill="auto"/>
        <w:ind w:left="600" w:hanging="360"/>
        <w:rPr/>
      </w:pPr>
      <w:r>
        <w:rPr>
          <w:b/>
          <w:bCs/>
        </w:rPr>
        <w:t>Handcrafted Radiomics &amp; Early Deep Learning (2015–2020)</w:t>
      </w:r>
      <w:r>
        <w:rPr/>
        <w:t>: Initial machine learning solutions relied on manual region-of-interest (ROI) annotations, extracting Gray-Level Co-occurrence Matrix (GLCM) texture descriptors and training Support Vector Machines (SVM). Acharya et al. demonstrated that texture features could separate benign and malignant cysts, but these models exhibited poor generalization across different ultrasound machines. Wu et al. introduced transfer learning ensembles using AlexNet, GoogLeNet, and ResNet, achieving binary classification accuracies of 92.15%. However, their evaluation relied on random image-level splitting, introducing severe patient-level data leakage.</w:t>
      </w:r>
    </w:p>
    <w:p w14:paraId="00000015">
      <w:pPr>
        <w:pStyle w:val="style0"/>
        <w:numPr>
          <w:ilvl w:val="0"/>
          <w:numId w:val="22"/>
        </w:numPr>
        <w:pBdr>
          <w:left w:val="nil"/>
          <w:right w:val="nil"/>
          <w:top w:val="nil"/>
          <w:bottom w:val="nil"/>
          <w:between w:val="nil"/>
        </w:pBdr>
        <w:shd w:val="clear" w:color="auto" w:fill="auto"/>
        <w:ind w:left="600" w:hanging="360"/>
        <w:rPr/>
      </w:pPr>
      <w:r>
        <w:rPr>
          <w:b/>
          <w:bCs/>
        </w:rPr>
        <w:t>Benchmark Datasets &amp; Domain Adaptation (2021–2023)</w:t>
      </w:r>
      <w:r>
        <w:rPr/>
        <w:t>: The release of the Multi-Modality Ovarian Tumor Ultrasound (MMOTU) dataset by Zhao et al. provided 1,469 2D B-mode scans (OTU_2D) and 170 Contrast-Enhanced Ultrasound scans (OTU_CEUS) with pixel-level annotations. Zhao et al. proposed the Dual-Scheme Domain-Selected Network (DS2Net) to perform unsupervised cross-domain semantic segmentation between 2D B-mode and CEUS modalities.</w:t>
      </w:r>
    </w:p>
    <w:p w14:paraId="00000016">
      <w:pPr>
        <w:pStyle w:val="style0"/>
        <w:numPr>
          <w:ilvl w:val="0"/>
          <w:numId w:val="22"/>
        </w:numPr>
        <w:pBdr>
          <w:left w:val="nil"/>
          <w:right w:val="nil"/>
          <w:top w:val="nil"/>
          <w:bottom w:val="nil"/>
          <w:between w:val="nil"/>
        </w:pBdr>
        <w:shd w:val="clear" w:color="auto" w:fill="auto"/>
        <w:ind w:left="600" w:hanging="360"/>
        <w:rPr/>
      </w:pPr>
      <w:r>
        <w:rPr>
          <w:b/>
          <w:bCs/>
        </w:rPr>
        <w:t>Data Artifact Identification &amp; Inpainting (2023)</w:t>
      </w:r>
      <w:r>
        <w:rPr/>
        <w:t>: Wang et al. published a landmark study revealing that B-mode scans in MMOTU were heavily contaminated with synthetic clinical annotations, measurement calipers, and yellow border lines. They developed the Mask-Guided Generative Adversarial Network (MGGAN), utilizing Fast Fourier Convolutions (FFC) to clean and inpaint these symbols. Their findings demonstrated that standard networks trained on un-inpainted scans learned shortcut representations based on doctor markers rather than pathology. Inpainting these symbols improved real-world UNet segmentation performance from 71.51% to 76.06% on clean diagnostic scans.</w:t>
      </w:r>
    </w:p>
    <w:p w14:paraId="00000017">
      <w:pPr>
        <w:pStyle w:val="style0"/>
        <w:numPr>
          <w:ilvl w:val="0"/>
          <w:numId w:val="22"/>
        </w:numPr>
        <w:pBdr>
          <w:left w:val="nil"/>
          <w:right w:val="nil"/>
          <w:top w:val="nil"/>
          <w:bottom w:val="nil"/>
          <w:between w:val="nil"/>
        </w:pBdr>
        <w:shd w:val="clear" w:color="auto" w:fill="auto"/>
        <w:ind w:left="600" w:hanging="360"/>
        <w:rPr/>
      </w:pPr>
      <w:r>
        <w:rPr>
          <w:b/>
          <w:bCs/>
        </w:rPr>
        <w:t>Modern Multi-Class &amp; Hybrid Frameworks (2024–2026)</w:t>
      </w:r>
      <w:r>
        <w:rPr/>
        <w:t>: EfficientOvaNet introduced a dual-branch EfficientNet-B3 architecture combining cropped ROI features with global B-mode context. Evaluated via 5-fold cross-validation on MMOTU, it achieved a 91.9% mean accuracy and 0.98 AUC. Concurrently, Li et al. evaluated 849 patients using a combined Deep Learning Radiomic Signature (DLR_Sig) to differentiate benign, borderline, and malignant tumors. While standard CNNs achieved 0% sensitivity for borderline tumors, the fused DLR_Sig model correctly identified 54.55% of borderline masses. Comparative evaluations on modern 2025 datasets established that modern CNN backbones (ConvNeXt-Base) outperform pure Vision Transformers (Swin-Base, ViT-Base) on modest ultrasound cohorts due to superior spatial inductive bias. Large-scale pretraining models, such as the Ultrasound Multitasking Dataset (UMTD) covering 120,354 images across 3,600 patients, have further advanced self-supervised representation learning.</w:t>
      </w:r>
    </w:p>
    <w:p w14:paraId="00000018">
      <w:pPr>
        <w:pStyle w:val="style2"/>
        <w:pBdr>
          <w:left w:val="nil"/>
          <w:right w:val="nil"/>
          <w:top w:val="nil"/>
          <w:bottom w:val="nil"/>
          <w:between w:val="nil"/>
        </w:pBdr>
        <w:shd w:val="clear" w:color="auto" w:fill="auto"/>
        <w:rPr/>
      </w:pPr>
      <w:r>
        <w:rPr/>
        <w:t>C. Literature Comparison Table</w:t>
      </w:r>
    </w:p>
    <w:tbl>
      <w:tblPr>
        <w:tblStyle w:val="style4099"/>
        <w:tblW w:w="936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14:paraId="15BC068F">
        <w:trPr>
          <w:cantSplit w:val="false"/>
          <w:tblHeader/>
          <w:jc w:val="left"/>
        </w:trPr>
        <w:tc>
          <w:tcPr>
            <w:tcW w:w="0" w:type="auto"/>
            <w:tcBorders/>
            <w:shd w:val="clear" w:color="auto" w:fill="auto"/>
            <w:tcMar>
              <w:top w:w="0" w:type="dxa"/>
              <w:left w:w="0" w:type="dxa"/>
              <w:bottom w:w="0" w:type="dxa"/>
              <w:right w:w="0" w:type="dxa"/>
            </w:tcMar>
          </w:tcPr>
          <w:p w14:paraId="00000019">
            <w:pPr>
              <w:pStyle w:val="style0"/>
              <w:pBdr>
                <w:left w:val="nil"/>
                <w:right w:val="nil"/>
                <w:top w:val="nil"/>
                <w:bottom w:val="nil"/>
                <w:between w:val="nil"/>
              </w:pBdr>
              <w:shd w:val="clear" w:color="auto" w:fill="auto"/>
              <w:rPr/>
            </w:pPr>
            <w:r>
              <w:rPr/>
              <w:t>Citation &amp; Year</w:t>
            </w:r>
          </w:p>
        </w:tc>
        <w:tc>
          <w:tcPr>
            <w:tcW w:w="0" w:type="auto"/>
            <w:tcBorders/>
            <w:shd w:val="clear" w:color="auto" w:fill="auto"/>
            <w:tcMar>
              <w:top w:w="0" w:type="dxa"/>
              <w:left w:w="0" w:type="dxa"/>
              <w:bottom w:w="0" w:type="dxa"/>
              <w:right w:w="0" w:type="dxa"/>
            </w:tcMar>
          </w:tcPr>
          <w:p w14:paraId="0000001A">
            <w:pPr>
              <w:pStyle w:val="style0"/>
              <w:pBdr>
                <w:left w:val="nil"/>
                <w:right w:val="nil"/>
                <w:top w:val="nil"/>
                <w:bottom w:val="nil"/>
                <w:between w:val="nil"/>
              </w:pBdr>
              <w:shd w:val="clear" w:color="auto" w:fill="auto"/>
              <w:rPr/>
            </w:pPr>
            <w:r>
              <w:rPr/>
              <w:t>Dataset &amp; Patient Cohort</w:t>
            </w:r>
          </w:p>
        </w:tc>
        <w:tc>
          <w:tcPr>
            <w:tcW w:w="0" w:type="auto"/>
            <w:tcBorders/>
            <w:shd w:val="clear" w:color="auto" w:fill="auto"/>
            <w:tcMar>
              <w:top w:w="0" w:type="dxa"/>
              <w:left w:w="0" w:type="dxa"/>
              <w:bottom w:w="0" w:type="dxa"/>
              <w:right w:w="0" w:type="dxa"/>
            </w:tcMar>
          </w:tcPr>
          <w:p w14:paraId="0000001B">
            <w:pPr>
              <w:pStyle w:val="style0"/>
              <w:pBdr>
                <w:left w:val="nil"/>
                <w:right w:val="nil"/>
                <w:top w:val="nil"/>
                <w:bottom w:val="nil"/>
                <w:between w:val="nil"/>
              </w:pBdr>
              <w:shd w:val="clear" w:color="auto" w:fill="auto"/>
              <w:rPr/>
            </w:pPr>
            <w:r>
              <w:rPr/>
              <w:t>Task &amp; Class Spectrum</w:t>
            </w:r>
          </w:p>
        </w:tc>
        <w:tc>
          <w:tcPr>
            <w:tcW w:w="0" w:type="auto"/>
            <w:tcBorders/>
            <w:shd w:val="clear" w:color="auto" w:fill="auto"/>
            <w:tcMar>
              <w:top w:w="0" w:type="dxa"/>
              <w:left w:w="0" w:type="dxa"/>
              <w:bottom w:w="0" w:type="dxa"/>
              <w:right w:w="0" w:type="dxa"/>
            </w:tcMar>
          </w:tcPr>
          <w:p w14:paraId="0000001C">
            <w:pPr>
              <w:pStyle w:val="style0"/>
              <w:pBdr>
                <w:left w:val="nil"/>
                <w:right w:val="nil"/>
                <w:top w:val="nil"/>
                <w:bottom w:val="nil"/>
                <w:between w:val="nil"/>
              </w:pBdr>
              <w:shd w:val="clear" w:color="auto" w:fill="auto"/>
              <w:rPr/>
            </w:pPr>
            <w:r>
              <w:rPr/>
              <w:t>Modality &amp; Dimension</w:t>
            </w:r>
          </w:p>
        </w:tc>
        <w:tc>
          <w:tcPr>
            <w:tcW w:w="0" w:type="auto"/>
            <w:tcBorders/>
            <w:shd w:val="clear" w:color="auto" w:fill="auto"/>
            <w:tcMar>
              <w:top w:w="0" w:type="dxa"/>
              <w:left w:w="0" w:type="dxa"/>
              <w:bottom w:w="0" w:type="dxa"/>
              <w:right w:w="0" w:type="dxa"/>
            </w:tcMar>
          </w:tcPr>
          <w:p w14:paraId="0000001D">
            <w:pPr>
              <w:pStyle w:val="style0"/>
              <w:pBdr>
                <w:left w:val="nil"/>
                <w:right w:val="nil"/>
                <w:top w:val="nil"/>
                <w:bottom w:val="nil"/>
                <w:between w:val="nil"/>
              </w:pBdr>
              <w:shd w:val="clear" w:color="auto" w:fill="auto"/>
              <w:rPr/>
            </w:pPr>
            <w:r>
              <w:rPr/>
              <w:t>Validation Strategy</w:t>
            </w:r>
          </w:p>
        </w:tc>
        <w:tc>
          <w:tcPr>
            <w:tcW w:w="0" w:type="auto"/>
            <w:tcBorders/>
            <w:shd w:val="clear" w:color="auto" w:fill="auto"/>
            <w:tcMar>
              <w:top w:w="0" w:type="dxa"/>
              <w:left w:w="0" w:type="dxa"/>
              <w:bottom w:w="0" w:type="dxa"/>
              <w:right w:w="0" w:type="dxa"/>
            </w:tcMar>
          </w:tcPr>
          <w:p w14:paraId="0000001E">
            <w:pPr>
              <w:pStyle w:val="style0"/>
              <w:pBdr>
                <w:left w:val="nil"/>
                <w:right w:val="nil"/>
                <w:top w:val="nil"/>
                <w:bottom w:val="nil"/>
                <w:between w:val="nil"/>
              </w:pBdr>
              <w:shd w:val="clear" w:color="auto" w:fill="auto"/>
              <w:rPr/>
            </w:pPr>
            <w:r>
              <w:rPr/>
              <w:t>Core Architecture</w:t>
            </w:r>
          </w:p>
        </w:tc>
        <w:tc>
          <w:tcPr>
            <w:tcW w:w="0" w:type="auto"/>
            <w:tcBorders/>
            <w:shd w:val="clear" w:color="auto" w:fill="auto"/>
            <w:tcMar>
              <w:top w:w="0" w:type="dxa"/>
              <w:left w:w="0" w:type="dxa"/>
              <w:bottom w:w="0" w:type="dxa"/>
              <w:right w:w="0" w:type="dxa"/>
            </w:tcMar>
          </w:tcPr>
          <w:p w14:paraId="0000001F">
            <w:pPr>
              <w:pStyle w:val="style0"/>
              <w:pBdr>
                <w:left w:val="nil"/>
                <w:right w:val="nil"/>
                <w:top w:val="nil"/>
                <w:bottom w:val="nil"/>
                <w:between w:val="nil"/>
              </w:pBdr>
              <w:shd w:val="clear" w:color="auto" w:fill="auto"/>
              <w:rPr/>
            </w:pPr>
            <w:r>
              <w:rPr/>
              <w:t>Primary Reported Metrics</w:t>
            </w:r>
          </w:p>
        </w:tc>
        <w:tc>
          <w:tcPr>
            <w:tcW w:w="0" w:type="auto"/>
            <w:tcBorders/>
            <w:shd w:val="clear" w:color="auto" w:fill="auto"/>
            <w:tcMar>
              <w:top w:w="0" w:type="dxa"/>
              <w:left w:w="0" w:type="dxa"/>
              <w:bottom w:w="0" w:type="dxa"/>
              <w:right w:w="0" w:type="dxa"/>
            </w:tcMar>
          </w:tcPr>
          <w:p w14:paraId="00000020">
            <w:pPr>
              <w:pStyle w:val="style0"/>
              <w:pBdr>
                <w:left w:val="nil"/>
                <w:right w:val="nil"/>
                <w:top w:val="nil"/>
                <w:bottom w:val="nil"/>
                <w:between w:val="nil"/>
              </w:pBdr>
              <w:shd w:val="clear" w:color="auto" w:fill="auto"/>
              <w:rPr/>
            </w:pPr>
            <w:r>
              <w:rPr/>
              <w:t>Methodological Vulnerabilities &amp; Limitations</w:t>
            </w:r>
          </w:p>
        </w:tc>
        <w:tc>
          <w:tcPr>
            <w:tcW w:w="0" w:type="auto"/>
            <w:tcBorders/>
            <w:shd w:val="clear" w:color="auto" w:fill="auto"/>
            <w:tcMar>
              <w:top w:w="0" w:type="dxa"/>
              <w:left w:w="0" w:type="dxa"/>
              <w:bottom w:w="0" w:type="dxa"/>
              <w:right w:w="0" w:type="dxa"/>
            </w:tcMar>
          </w:tcPr>
          <w:p w14:paraId="00000021">
            <w:pPr>
              <w:pStyle w:val="style0"/>
              <w:pBdr>
                <w:left w:val="nil"/>
                <w:right w:val="nil"/>
                <w:top w:val="nil"/>
                <w:bottom w:val="nil"/>
                <w:between w:val="nil"/>
              </w:pBdr>
              <w:shd w:val="clear" w:color="auto" w:fill="auto"/>
              <w:rPr/>
            </w:pPr>
            <w:r>
              <w:rPr/>
              <w:t>Code/Data Availability</w:t>
            </w:r>
          </w:p>
        </w:tc>
      </w:tr>
      <w:tr w14:paraId="F1C794D4">
        <w:tblPrEx/>
        <w:trPr>
          <w:cantSplit w:val="false"/>
          <w:tblHeader w:val="false"/>
          <w:jc w:val="left"/>
        </w:trPr>
        <w:tc>
          <w:tcPr>
            <w:tcW w:w="0" w:type="auto"/>
            <w:tcBorders/>
            <w:shd w:val="clear" w:color="auto" w:fill="auto"/>
            <w:tcMar>
              <w:top w:w="0" w:type="dxa"/>
              <w:left w:w="0" w:type="dxa"/>
              <w:bottom w:w="0" w:type="dxa"/>
              <w:right w:w="0" w:type="dxa"/>
            </w:tcMar>
          </w:tcPr>
          <w:p w14:paraId="00000022">
            <w:pPr>
              <w:pStyle w:val="style0"/>
              <w:pBdr>
                <w:left w:val="nil"/>
                <w:right w:val="nil"/>
                <w:top w:val="nil"/>
                <w:bottom w:val="nil"/>
                <w:between w:val="nil"/>
              </w:pBdr>
              <w:shd w:val="clear" w:color="auto" w:fill="auto"/>
              <w:rPr>
                <w:b/>
                <w:bCs/>
              </w:rPr>
            </w:pPr>
            <w:r>
              <w:rPr>
                <w:b/>
                <w:bCs/>
              </w:rPr>
              <w:t>Wu et al. (2018)</w:t>
            </w:r>
          </w:p>
        </w:tc>
        <w:tc>
          <w:tcPr>
            <w:tcW w:w="0" w:type="auto"/>
            <w:tcBorders/>
            <w:shd w:val="clear" w:color="auto" w:fill="auto"/>
            <w:tcMar>
              <w:top w:w="0" w:type="dxa"/>
              <w:left w:w="0" w:type="dxa"/>
              <w:bottom w:w="0" w:type="dxa"/>
              <w:right w:w="0" w:type="dxa"/>
            </w:tcMar>
          </w:tcPr>
          <w:p w14:paraId="00000023">
            <w:pPr>
              <w:pStyle w:val="style0"/>
              <w:pBdr>
                <w:left w:val="nil"/>
                <w:right w:val="nil"/>
                <w:top w:val="nil"/>
                <w:bottom w:val="nil"/>
                <w:between w:val="nil"/>
              </w:pBdr>
              <w:shd w:val="clear" w:color="auto" w:fill="auto"/>
              <w:rPr/>
            </w:pPr>
            <w:r>
              <w:rPr/>
              <w:t>988 images (Single center)</w:t>
            </w:r>
          </w:p>
        </w:tc>
        <w:tc>
          <w:tcPr>
            <w:tcW w:w="0" w:type="auto"/>
            <w:tcBorders/>
            <w:shd w:val="clear" w:color="auto" w:fill="auto"/>
            <w:tcMar>
              <w:top w:w="0" w:type="dxa"/>
              <w:left w:w="0" w:type="dxa"/>
              <w:bottom w:w="0" w:type="dxa"/>
              <w:right w:w="0" w:type="dxa"/>
            </w:tcMar>
          </w:tcPr>
          <w:p w14:paraId="00000024">
            <w:pPr>
              <w:pStyle w:val="style0"/>
              <w:pBdr>
                <w:left w:val="nil"/>
                <w:right w:val="nil"/>
                <w:top w:val="nil"/>
                <w:bottom w:val="nil"/>
                <w:between w:val="nil"/>
              </w:pBdr>
              <w:shd w:val="clear" w:color="auto" w:fill="auto"/>
              <w:rPr/>
            </w:pPr>
            <w:r>
              <w:rPr/>
              <w:t>3-Class (Benign / Malignant / Normal)</w:t>
            </w:r>
          </w:p>
        </w:tc>
        <w:tc>
          <w:tcPr>
            <w:tcW w:w="0" w:type="auto"/>
            <w:tcBorders/>
            <w:shd w:val="clear" w:color="auto" w:fill="auto"/>
            <w:tcMar>
              <w:top w:w="0" w:type="dxa"/>
              <w:left w:w="0" w:type="dxa"/>
              <w:bottom w:w="0" w:type="dxa"/>
              <w:right w:w="0" w:type="dxa"/>
            </w:tcMar>
          </w:tcPr>
          <w:p w14:paraId="00000025">
            <w:pPr>
              <w:pStyle w:val="style0"/>
              <w:pBdr>
                <w:left w:val="nil"/>
                <w:right w:val="nil"/>
                <w:top w:val="nil"/>
                <w:bottom w:val="nil"/>
                <w:between w:val="nil"/>
              </w:pBdr>
              <w:shd w:val="clear" w:color="auto" w:fill="auto"/>
              <w:rPr/>
            </w:pPr>
            <w:r>
              <w:rPr/>
              <w:t>2D B-Mode Ultrasound</w:t>
            </w:r>
          </w:p>
        </w:tc>
        <w:tc>
          <w:tcPr>
            <w:tcW w:w="0" w:type="auto"/>
            <w:tcBorders/>
            <w:shd w:val="clear" w:color="auto" w:fill="auto"/>
            <w:tcMar>
              <w:top w:w="0" w:type="dxa"/>
              <w:left w:w="0" w:type="dxa"/>
              <w:bottom w:w="0" w:type="dxa"/>
              <w:right w:w="0" w:type="dxa"/>
            </w:tcMar>
          </w:tcPr>
          <w:p w14:paraId="00000026">
            <w:pPr>
              <w:pStyle w:val="style0"/>
              <w:pBdr>
                <w:left w:val="nil"/>
                <w:right w:val="nil"/>
                <w:top w:val="nil"/>
                <w:bottom w:val="nil"/>
                <w:between w:val="nil"/>
              </w:pBdr>
              <w:shd w:val="clear" w:color="auto" w:fill="auto"/>
              <w:rPr/>
            </w:pPr>
            <w:r>
              <w:rPr/>
              <w:t>10 Random Splits (Image-level)</w:t>
            </w:r>
          </w:p>
        </w:tc>
        <w:tc>
          <w:tcPr>
            <w:tcW w:w="0" w:type="auto"/>
            <w:tcBorders/>
            <w:shd w:val="clear" w:color="auto" w:fill="auto"/>
            <w:tcMar>
              <w:top w:w="0" w:type="dxa"/>
              <w:left w:w="0" w:type="dxa"/>
              <w:bottom w:w="0" w:type="dxa"/>
              <w:right w:w="0" w:type="dxa"/>
            </w:tcMar>
          </w:tcPr>
          <w:p w14:paraId="00000027">
            <w:pPr>
              <w:pStyle w:val="style0"/>
              <w:pBdr>
                <w:left w:val="nil"/>
                <w:right w:val="nil"/>
                <w:top w:val="nil"/>
                <w:bottom w:val="nil"/>
                <w:between w:val="nil"/>
              </w:pBdr>
              <w:shd w:val="clear" w:color="auto" w:fill="auto"/>
              <w:rPr/>
            </w:pPr>
            <w:r>
              <w:rPr/>
              <w:t>Ensemble of AlexNet, GoogLeNet, ResNet</w:t>
            </w:r>
          </w:p>
        </w:tc>
        <w:tc>
          <w:tcPr>
            <w:tcW w:w="0" w:type="auto"/>
            <w:tcBorders/>
            <w:shd w:val="clear" w:color="auto" w:fill="auto"/>
            <w:tcMar>
              <w:top w:w="0" w:type="dxa"/>
              <w:left w:w="0" w:type="dxa"/>
              <w:bottom w:w="0" w:type="dxa"/>
              <w:right w:w="0" w:type="dxa"/>
            </w:tcMar>
          </w:tcPr>
          <w:p w14:paraId="00000028">
            <w:pPr>
              <w:pStyle w:val="style0"/>
              <w:pBdr>
                <w:left w:val="nil"/>
                <w:right w:val="nil"/>
                <w:top w:val="nil"/>
                <w:bottom w:val="nil"/>
                <w:between w:val="nil"/>
              </w:pBdr>
              <w:shd w:val="clear" w:color="auto" w:fill="auto"/>
              <w:rPr/>
            </w:pPr>
            <w:r>
              <w:rPr/>
              <w:t>Accuracy: 92.15% Sensitivity: 91.37% Specificity: 92.92%</w:t>
            </w:r>
          </w:p>
        </w:tc>
        <w:tc>
          <w:tcPr>
            <w:tcW w:w="0" w:type="auto"/>
            <w:tcBorders/>
            <w:shd w:val="clear" w:color="auto" w:fill="auto"/>
            <w:tcMar>
              <w:top w:w="0" w:type="dxa"/>
              <w:left w:w="0" w:type="dxa"/>
              <w:bottom w:w="0" w:type="dxa"/>
              <w:right w:w="0" w:type="dxa"/>
            </w:tcMar>
          </w:tcPr>
          <w:p w14:paraId="00000029">
            <w:pPr>
              <w:pStyle w:val="style0"/>
              <w:pBdr>
                <w:left w:val="nil"/>
                <w:right w:val="nil"/>
                <w:top w:val="nil"/>
                <w:bottom w:val="nil"/>
                <w:between w:val="nil"/>
              </w:pBdr>
              <w:shd w:val="clear" w:color="auto" w:fill="auto"/>
              <w:rPr/>
            </w:pPr>
            <w:r>
              <w:rPr/>
              <w:t>Random image-level split causes severe patient leakage; small cohort size.</w:t>
            </w:r>
          </w:p>
        </w:tc>
        <w:tc>
          <w:tcPr>
            <w:tcW w:w="0" w:type="auto"/>
            <w:tcBorders/>
            <w:shd w:val="clear" w:color="auto" w:fill="auto"/>
            <w:tcMar>
              <w:top w:w="0" w:type="dxa"/>
              <w:left w:w="0" w:type="dxa"/>
              <w:bottom w:w="0" w:type="dxa"/>
              <w:right w:w="0" w:type="dxa"/>
            </w:tcMar>
          </w:tcPr>
          <w:p w14:paraId="0000002A">
            <w:pPr>
              <w:pStyle w:val="style0"/>
              <w:pBdr>
                <w:left w:val="nil"/>
                <w:right w:val="nil"/>
                <w:top w:val="nil"/>
                <w:bottom w:val="nil"/>
                <w:between w:val="nil"/>
              </w:pBdr>
              <w:shd w:val="clear" w:color="auto" w:fill="auto"/>
              <w:rPr/>
            </w:pPr>
            <w:r>
              <w:rPr/>
              <w:t>Private dataset; No code available.</w:t>
            </w:r>
          </w:p>
        </w:tc>
      </w:tr>
      <w:tr w14:paraId="4298E562">
        <w:tblPrEx/>
        <w:trPr>
          <w:cantSplit w:val="false"/>
          <w:tblHeader w:val="false"/>
          <w:jc w:val="left"/>
        </w:trPr>
        <w:tc>
          <w:tcPr>
            <w:tcW w:w="0" w:type="auto"/>
            <w:tcBorders/>
            <w:shd w:val="clear" w:color="auto" w:fill="auto"/>
            <w:tcMar>
              <w:top w:w="0" w:type="dxa"/>
              <w:left w:w="0" w:type="dxa"/>
              <w:bottom w:w="0" w:type="dxa"/>
              <w:right w:w="0" w:type="dxa"/>
            </w:tcMar>
          </w:tcPr>
          <w:p w14:paraId="0000002B">
            <w:pPr>
              <w:pStyle w:val="style0"/>
              <w:pBdr>
                <w:left w:val="nil"/>
                <w:right w:val="nil"/>
                <w:top w:val="nil"/>
                <w:bottom w:val="nil"/>
                <w:between w:val="nil"/>
              </w:pBdr>
              <w:shd w:val="clear" w:color="auto" w:fill="auto"/>
              <w:rPr>
                <w:b/>
                <w:bCs/>
              </w:rPr>
            </w:pPr>
            <w:r>
              <w:rPr>
                <w:b/>
                <w:bCs/>
              </w:rPr>
              <w:t>Zhao et al. (2023)</w:t>
            </w:r>
          </w:p>
        </w:tc>
        <w:tc>
          <w:tcPr>
            <w:tcW w:w="0" w:type="auto"/>
            <w:tcBorders/>
            <w:shd w:val="clear" w:color="auto" w:fill="auto"/>
            <w:tcMar>
              <w:top w:w="0" w:type="dxa"/>
              <w:left w:w="0" w:type="dxa"/>
              <w:bottom w:w="0" w:type="dxa"/>
              <w:right w:w="0" w:type="dxa"/>
            </w:tcMar>
          </w:tcPr>
          <w:p w14:paraId="0000002C">
            <w:pPr>
              <w:pStyle w:val="style0"/>
              <w:pBdr>
                <w:left w:val="nil"/>
                <w:right w:val="nil"/>
                <w:top w:val="nil"/>
                <w:bottom w:val="nil"/>
                <w:between w:val="nil"/>
              </w:pBdr>
              <w:shd w:val="clear" w:color="auto" w:fill="auto"/>
              <w:rPr/>
            </w:pPr>
            <w:r>
              <w:rPr/>
              <w:t>MMOTU (1,469 2D, 170 CEUS images)</w:t>
            </w:r>
          </w:p>
        </w:tc>
        <w:tc>
          <w:tcPr>
            <w:tcW w:w="0" w:type="auto"/>
            <w:tcBorders/>
            <w:shd w:val="clear" w:color="auto" w:fill="auto"/>
            <w:tcMar>
              <w:top w:w="0" w:type="dxa"/>
              <w:left w:w="0" w:type="dxa"/>
              <w:bottom w:w="0" w:type="dxa"/>
              <w:right w:w="0" w:type="dxa"/>
            </w:tcMar>
          </w:tcPr>
          <w:p w14:paraId="0000002D">
            <w:pPr>
              <w:pStyle w:val="style0"/>
              <w:pBdr>
                <w:left w:val="nil"/>
                <w:right w:val="nil"/>
                <w:top w:val="nil"/>
                <w:bottom w:val="nil"/>
                <w:between w:val="nil"/>
              </w:pBdr>
              <w:shd w:val="clear" w:color="auto" w:fill="auto"/>
              <w:rPr/>
            </w:pPr>
            <w:r>
              <w:rPr/>
              <w:t>Semantic Segmentation &amp; UDA</w:t>
            </w:r>
          </w:p>
        </w:tc>
        <w:tc>
          <w:tcPr>
            <w:tcW w:w="0" w:type="auto"/>
            <w:tcBorders/>
            <w:shd w:val="clear" w:color="auto" w:fill="auto"/>
            <w:tcMar>
              <w:top w:w="0" w:type="dxa"/>
              <w:left w:w="0" w:type="dxa"/>
              <w:bottom w:w="0" w:type="dxa"/>
              <w:right w:w="0" w:type="dxa"/>
            </w:tcMar>
          </w:tcPr>
          <w:p w14:paraId="0000002E">
            <w:pPr>
              <w:pStyle w:val="style0"/>
              <w:pBdr>
                <w:left w:val="nil"/>
                <w:right w:val="nil"/>
                <w:top w:val="nil"/>
                <w:bottom w:val="nil"/>
                <w:between w:val="nil"/>
              </w:pBdr>
              <w:shd w:val="clear" w:color="auto" w:fill="auto"/>
              <w:rPr/>
            </w:pPr>
            <w:r>
              <w:rPr/>
              <w:t>2D B-mode &amp; CEUS</w:t>
            </w:r>
          </w:p>
        </w:tc>
        <w:tc>
          <w:tcPr>
            <w:tcW w:w="0" w:type="auto"/>
            <w:tcBorders/>
            <w:shd w:val="clear" w:color="auto" w:fill="auto"/>
            <w:tcMar>
              <w:top w:w="0" w:type="dxa"/>
              <w:left w:w="0" w:type="dxa"/>
              <w:bottom w:w="0" w:type="dxa"/>
              <w:right w:w="0" w:type="dxa"/>
            </w:tcMar>
          </w:tcPr>
          <w:p w14:paraId="0000002F">
            <w:pPr>
              <w:pStyle w:val="style0"/>
              <w:pBdr>
                <w:left w:val="nil"/>
                <w:right w:val="nil"/>
                <w:top w:val="nil"/>
                <w:bottom w:val="nil"/>
                <w:between w:val="nil"/>
              </w:pBdr>
              <w:shd w:val="clear" w:color="auto" w:fill="auto"/>
              <w:rPr/>
            </w:pPr>
            <w:r>
              <w:rPr/>
              <w:t>Source-to-Target Cross-domain split</w:t>
            </w:r>
          </w:p>
        </w:tc>
        <w:tc>
          <w:tcPr>
            <w:tcW w:w="0" w:type="auto"/>
            <w:tcBorders/>
            <w:shd w:val="clear" w:color="auto" w:fill="auto"/>
            <w:tcMar>
              <w:top w:w="0" w:type="dxa"/>
              <w:left w:w="0" w:type="dxa"/>
              <w:bottom w:w="0" w:type="dxa"/>
              <w:right w:w="0" w:type="dxa"/>
            </w:tcMar>
          </w:tcPr>
          <w:p w14:paraId="00000030">
            <w:pPr>
              <w:pStyle w:val="style0"/>
              <w:pBdr>
                <w:left w:val="nil"/>
                <w:right w:val="nil"/>
                <w:top w:val="nil"/>
                <w:bottom w:val="nil"/>
                <w:between w:val="nil"/>
              </w:pBdr>
              <w:shd w:val="clear" w:color="auto" w:fill="auto"/>
              <w:rPr/>
            </w:pPr>
            <w:r>
              <w:rPr/>
              <w:t>DS2Net (Dual-Scheme Domain-Selected)</w:t>
            </w:r>
          </w:p>
        </w:tc>
        <w:tc>
          <w:tcPr>
            <w:tcW w:w="0" w:type="auto"/>
            <w:tcBorders/>
            <w:shd w:val="clear" w:color="auto" w:fill="auto"/>
            <w:tcMar>
              <w:top w:w="0" w:type="dxa"/>
              <w:left w:w="0" w:type="dxa"/>
              <w:bottom w:w="0" w:type="dxa"/>
              <w:right w:w="0" w:type="dxa"/>
            </w:tcMar>
          </w:tcPr>
          <w:p w14:paraId="00000031">
            <w:pPr>
              <w:pStyle w:val="style0"/>
              <w:pBdr>
                <w:left w:val="nil"/>
                <w:right w:val="nil"/>
                <w:top w:val="nil"/>
                <w:bottom w:val="nil"/>
                <w:between w:val="nil"/>
              </w:pBdr>
              <w:shd w:val="clear" w:color="auto" w:fill="auto"/>
              <w:rPr/>
            </w:pPr>
            <w:r>
              <w:rPr/>
              <w:t>mIoU: High cross-modality adaptation</w:t>
            </w:r>
          </w:p>
        </w:tc>
        <w:tc>
          <w:tcPr>
            <w:tcW w:w="0" w:type="auto"/>
            <w:tcBorders/>
            <w:shd w:val="clear" w:color="auto" w:fill="auto"/>
            <w:tcMar>
              <w:top w:w="0" w:type="dxa"/>
              <w:left w:w="0" w:type="dxa"/>
              <w:bottom w:w="0" w:type="dxa"/>
              <w:right w:w="0" w:type="dxa"/>
            </w:tcMar>
          </w:tcPr>
          <w:p w14:paraId="00000032">
            <w:pPr>
              <w:pStyle w:val="style0"/>
              <w:pBdr>
                <w:left w:val="nil"/>
                <w:right w:val="nil"/>
                <w:top w:val="nil"/>
                <w:bottom w:val="nil"/>
                <w:between w:val="nil"/>
              </w:pBdr>
              <w:shd w:val="clear" w:color="auto" w:fill="auto"/>
              <w:rPr/>
            </w:pPr>
            <w:r>
              <w:rPr/>
              <w:t>Evaluated domain shift but ignored synthetic symbol artifacts in B-mode scans.</w:t>
            </w:r>
          </w:p>
        </w:tc>
        <w:tc>
          <w:tcPr>
            <w:tcW w:w="0" w:type="auto"/>
            <w:tcBorders/>
            <w:shd w:val="clear" w:color="auto" w:fill="auto"/>
            <w:tcMar>
              <w:top w:w="0" w:type="dxa"/>
              <w:left w:w="0" w:type="dxa"/>
              <w:bottom w:w="0" w:type="dxa"/>
              <w:right w:w="0" w:type="dxa"/>
            </w:tcMar>
          </w:tcPr>
          <w:p w14:paraId="00000033">
            <w:pPr>
              <w:pStyle w:val="style0"/>
              <w:pBdr>
                <w:left w:val="nil"/>
                <w:right w:val="nil"/>
                <w:top w:val="nil"/>
                <w:bottom w:val="nil"/>
                <w:between w:val="nil"/>
              </w:pBdr>
              <w:shd w:val="clear" w:color="auto" w:fill="auto"/>
              <w:rPr/>
            </w:pPr>
            <w:r>
              <w:rPr/>
              <w:t>Code &amp; Data Publicly Available.</w:t>
            </w:r>
          </w:p>
        </w:tc>
      </w:tr>
      <w:tr w14:paraId="3031171D">
        <w:tblPrEx/>
        <w:trPr>
          <w:cantSplit w:val="false"/>
          <w:tblHeader w:val="false"/>
          <w:jc w:val="left"/>
        </w:trPr>
        <w:tc>
          <w:tcPr>
            <w:tcW w:w="0" w:type="auto"/>
            <w:tcBorders/>
            <w:shd w:val="clear" w:color="auto" w:fill="auto"/>
            <w:tcMar>
              <w:top w:w="0" w:type="dxa"/>
              <w:left w:w="0" w:type="dxa"/>
              <w:bottom w:w="0" w:type="dxa"/>
              <w:right w:w="0" w:type="dxa"/>
            </w:tcMar>
          </w:tcPr>
          <w:p w14:paraId="00000034">
            <w:pPr>
              <w:pStyle w:val="style0"/>
              <w:pBdr>
                <w:left w:val="nil"/>
                <w:right w:val="nil"/>
                <w:top w:val="nil"/>
                <w:bottom w:val="nil"/>
                <w:between w:val="nil"/>
              </w:pBdr>
              <w:shd w:val="clear" w:color="auto" w:fill="auto"/>
              <w:rPr>
                <w:b/>
                <w:bCs/>
              </w:rPr>
            </w:pPr>
            <w:r>
              <w:rPr>
                <w:b/>
                <w:bCs/>
              </w:rPr>
              <w:t>Wang et al. (2023)</w:t>
            </w:r>
          </w:p>
        </w:tc>
        <w:tc>
          <w:tcPr>
            <w:tcW w:w="0" w:type="auto"/>
            <w:tcBorders/>
            <w:shd w:val="clear" w:color="auto" w:fill="auto"/>
            <w:tcMar>
              <w:top w:w="0" w:type="dxa"/>
              <w:left w:w="0" w:type="dxa"/>
              <w:bottom w:w="0" w:type="dxa"/>
              <w:right w:w="0" w:type="dxa"/>
            </w:tcMar>
          </w:tcPr>
          <w:p w14:paraId="00000035">
            <w:pPr>
              <w:pStyle w:val="style0"/>
              <w:pBdr>
                <w:left w:val="nil"/>
                <w:right w:val="nil"/>
                <w:top w:val="nil"/>
                <w:bottom w:val="nil"/>
                <w:between w:val="nil"/>
              </w:pBdr>
              <w:shd w:val="clear" w:color="auto" w:fill="auto"/>
              <w:rPr/>
            </w:pPr>
            <w:r>
              <w:rPr/>
              <w:t>MMOTU Inpainting Subset (1,469 images)</w:t>
            </w:r>
          </w:p>
        </w:tc>
        <w:tc>
          <w:tcPr>
            <w:tcW w:w="0" w:type="auto"/>
            <w:tcBorders/>
            <w:shd w:val="clear" w:color="auto" w:fill="auto"/>
            <w:tcMar>
              <w:top w:w="0" w:type="dxa"/>
              <w:left w:w="0" w:type="dxa"/>
              <w:bottom w:w="0" w:type="dxa"/>
              <w:right w:w="0" w:type="dxa"/>
            </w:tcMar>
          </w:tcPr>
          <w:p w14:paraId="00000036">
            <w:pPr>
              <w:pStyle w:val="style0"/>
              <w:pBdr>
                <w:left w:val="nil"/>
                <w:right w:val="nil"/>
                <w:top w:val="nil"/>
                <w:bottom w:val="nil"/>
                <w:between w:val="nil"/>
              </w:pBdr>
              <w:shd w:val="clear" w:color="auto" w:fill="auto"/>
              <w:rPr/>
            </w:pPr>
            <w:r>
              <w:rPr/>
              <w:t>Symbol Inpainting &amp; Segmentation</w:t>
            </w:r>
          </w:p>
        </w:tc>
        <w:tc>
          <w:tcPr>
            <w:tcW w:w="0" w:type="auto"/>
            <w:tcBorders/>
            <w:shd w:val="clear" w:color="auto" w:fill="auto"/>
            <w:tcMar>
              <w:top w:w="0" w:type="dxa"/>
              <w:left w:w="0" w:type="dxa"/>
              <w:bottom w:w="0" w:type="dxa"/>
              <w:right w:w="0" w:type="dxa"/>
            </w:tcMar>
          </w:tcPr>
          <w:p w14:paraId="00000037">
            <w:pPr>
              <w:pStyle w:val="style0"/>
              <w:pBdr>
                <w:left w:val="nil"/>
                <w:right w:val="nil"/>
                <w:top w:val="nil"/>
                <w:bottom w:val="nil"/>
                <w:between w:val="nil"/>
              </w:pBdr>
              <w:shd w:val="clear" w:color="auto" w:fill="auto"/>
              <w:rPr/>
            </w:pPr>
            <w:r>
              <w:rPr/>
              <w:t>2D B-mode Ultrasound</w:t>
            </w:r>
          </w:p>
        </w:tc>
        <w:tc>
          <w:tcPr>
            <w:tcW w:w="0" w:type="auto"/>
            <w:tcBorders/>
            <w:shd w:val="clear" w:color="auto" w:fill="auto"/>
            <w:tcMar>
              <w:top w:w="0" w:type="dxa"/>
              <w:left w:w="0" w:type="dxa"/>
              <w:bottom w:w="0" w:type="dxa"/>
              <w:right w:w="0" w:type="dxa"/>
            </w:tcMar>
          </w:tcPr>
          <w:p w14:paraId="00000038">
            <w:pPr>
              <w:pStyle w:val="style0"/>
              <w:pBdr>
                <w:left w:val="nil"/>
                <w:right w:val="nil"/>
                <w:top w:val="nil"/>
                <w:bottom w:val="nil"/>
                <w:between w:val="nil"/>
              </w:pBdr>
              <w:shd w:val="clear" w:color="auto" w:fill="auto"/>
              <w:rPr/>
            </w:pPr>
            <w:r>
              <w:rPr/>
              <w:t>Train/Test Split (Image-based)</w:t>
            </w:r>
          </w:p>
        </w:tc>
        <w:tc>
          <w:tcPr>
            <w:tcW w:w="0" w:type="auto"/>
            <w:tcBorders/>
            <w:shd w:val="clear" w:color="auto" w:fill="auto"/>
            <w:tcMar>
              <w:top w:w="0" w:type="dxa"/>
              <w:left w:w="0" w:type="dxa"/>
              <w:bottom w:w="0" w:type="dxa"/>
              <w:right w:w="0" w:type="dxa"/>
            </w:tcMar>
          </w:tcPr>
          <w:p w14:paraId="00000039">
            <w:pPr>
              <w:pStyle w:val="style0"/>
              <w:pBdr>
                <w:left w:val="nil"/>
                <w:right w:val="nil"/>
                <w:top w:val="nil"/>
                <w:bottom w:val="nil"/>
                <w:between w:val="nil"/>
              </w:pBdr>
              <w:shd w:val="clear" w:color="auto" w:fill="auto"/>
              <w:rPr/>
            </w:pPr>
            <w:r>
              <w:rPr/>
              <w:t>MGGAN (Mask-Guided GAN with FFC) + UNet</w:t>
            </w:r>
          </w:p>
        </w:tc>
        <w:tc>
          <w:tcPr>
            <w:tcW w:w="0" w:type="auto"/>
            <w:tcBorders/>
            <w:shd w:val="clear" w:color="auto" w:fill="auto"/>
            <w:tcMar>
              <w:top w:w="0" w:type="dxa"/>
              <w:left w:w="0" w:type="dxa"/>
              <w:bottom w:w="0" w:type="dxa"/>
              <w:right w:w="0" w:type="dxa"/>
            </w:tcMar>
          </w:tcPr>
          <w:p w14:paraId="0000003A">
            <w:pPr>
              <w:pStyle w:val="style0"/>
              <w:pBdr>
                <w:left w:val="nil"/>
                <w:right w:val="nil"/>
                <w:top w:val="nil"/>
                <w:bottom w:val="nil"/>
                <w:between w:val="nil"/>
              </w:pBdr>
              <w:shd w:val="clear" w:color="auto" w:fill="auto"/>
              <w:rPr/>
            </w:pPr>
            <w:r>
              <w:rPr/>
              <w:t>Inpainting: SSIM 0.9246, FID 22.66. Clean UNet mIoU: +4.55%</w:t>
            </w:r>
          </w:p>
        </w:tc>
        <w:tc>
          <w:tcPr>
            <w:tcW w:w="0" w:type="auto"/>
            <w:tcBorders/>
            <w:shd w:val="clear" w:color="auto" w:fill="auto"/>
            <w:tcMar>
              <w:top w:w="0" w:type="dxa"/>
              <w:left w:w="0" w:type="dxa"/>
              <w:bottom w:w="0" w:type="dxa"/>
              <w:right w:w="0" w:type="dxa"/>
            </w:tcMar>
          </w:tcPr>
          <w:p w14:paraId="0000003B">
            <w:pPr>
              <w:pStyle w:val="style0"/>
              <w:pBdr>
                <w:left w:val="nil"/>
                <w:right w:val="nil"/>
                <w:top w:val="nil"/>
                <w:bottom w:val="nil"/>
                <w:between w:val="nil"/>
              </w:pBdr>
              <w:shd w:val="clear" w:color="auto" w:fill="auto"/>
              <w:rPr/>
            </w:pPr>
            <w:r>
              <w:rPr/>
              <w:t>Focused on symbol removal; did not evaluate multi-class clinical risk stratification.</w:t>
            </w:r>
          </w:p>
        </w:tc>
        <w:tc>
          <w:tcPr>
            <w:tcW w:w="0" w:type="auto"/>
            <w:tcBorders/>
            <w:shd w:val="clear" w:color="auto" w:fill="auto"/>
            <w:tcMar>
              <w:top w:w="0" w:type="dxa"/>
              <w:left w:w="0" w:type="dxa"/>
              <w:bottom w:w="0" w:type="dxa"/>
              <w:right w:w="0" w:type="dxa"/>
            </w:tcMar>
          </w:tcPr>
          <w:p w14:paraId="0000003C">
            <w:pPr>
              <w:pStyle w:val="style0"/>
              <w:pBdr>
                <w:left w:val="nil"/>
                <w:right w:val="nil"/>
                <w:top w:val="nil"/>
                <w:bottom w:val="nil"/>
                <w:between w:val="nil"/>
              </w:pBdr>
              <w:shd w:val="clear" w:color="auto" w:fill="auto"/>
              <w:rPr/>
            </w:pPr>
            <w:r>
              <w:rPr/>
              <w:t>Code &amp; Dataset partially public.</w:t>
            </w:r>
          </w:p>
        </w:tc>
      </w:tr>
      <w:tr w14:paraId="6A885B96">
        <w:tblPrEx/>
        <w:trPr>
          <w:cantSplit w:val="false"/>
          <w:tblHeader w:val="false"/>
          <w:jc w:val="left"/>
        </w:trPr>
        <w:tc>
          <w:tcPr>
            <w:tcW w:w="0" w:type="auto"/>
            <w:tcBorders/>
            <w:shd w:val="clear" w:color="auto" w:fill="auto"/>
            <w:tcMar>
              <w:top w:w="0" w:type="dxa"/>
              <w:left w:w="0" w:type="dxa"/>
              <w:bottom w:w="0" w:type="dxa"/>
              <w:right w:w="0" w:type="dxa"/>
            </w:tcMar>
          </w:tcPr>
          <w:p w14:paraId="0000003D">
            <w:pPr>
              <w:pStyle w:val="style0"/>
              <w:pBdr>
                <w:left w:val="nil"/>
                <w:right w:val="nil"/>
                <w:top w:val="nil"/>
                <w:bottom w:val="nil"/>
                <w:between w:val="nil"/>
              </w:pBdr>
              <w:shd w:val="clear" w:color="auto" w:fill="auto"/>
              <w:rPr>
                <w:b/>
                <w:bCs/>
              </w:rPr>
            </w:pPr>
            <w:r>
              <w:rPr>
                <w:b/>
                <w:bCs/>
              </w:rPr>
              <w:t>Li et al. (DLR_Sig, 2024)</w:t>
            </w:r>
          </w:p>
        </w:tc>
        <w:tc>
          <w:tcPr>
            <w:tcW w:w="0" w:type="auto"/>
            <w:tcBorders/>
            <w:shd w:val="clear" w:color="auto" w:fill="auto"/>
            <w:tcMar>
              <w:top w:w="0" w:type="dxa"/>
              <w:left w:w="0" w:type="dxa"/>
              <w:bottom w:w="0" w:type="dxa"/>
              <w:right w:w="0" w:type="dxa"/>
            </w:tcMar>
          </w:tcPr>
          <w:p w14:paraId="0000003E">
            <w:pPr>
              <w:pStyle w:val="style0"/>
              <w:pBdr>
                <w:left w:val="nil"/>
                <w:right w:val="nil"/>
                <w:top w:val="nil"/>
                <w:bottom w:val="nil"/>
                <w:between w:val="nil"/>
              </w:pBdr>
              <w:shd w:val="clear" w:color="auto" w:fill="auto"/>
              <w:rPr/>
            </w:pPr>
            <w:r>
              <w:rPr/>
              <w:t>849 patients (440 Benign, 44 Borderline, 196 Malignant)</w:t>
            </w:r>
          </w:p>
        </w:tc>
        <w:tc>
          <w:tcPr>
            <w:tcW w:w="0" w:type="auto"/>
            <w:tcBorders/>
            <w:shd w:val="clear" w:color="auto" w:fill="auto"/>
            <w:tcMar>
              <w:top w:w="0" w:type="dxa"/>
              <w:left w:w="0" w:type="dxa"/>
              <w:bottom w:w="0" w:type="dxa"/>
              <w:right w:w="0" w:type="dxa"/>
            </w:tcMar>
          </w:tcPr>
          <w:p w14:paraId="0000003F">
            <w:pPr>
              <w:pStyle w:val="style0"/>
              <w:pBdr>
                <w:left w:val="nil"/>
                <w:right w:val="nil"/>
                <w:top w:val="nil"/>
                <w:bottom w:val="nil"/>
                <w:between w:val="nil"/>
              </w:pBdr>
              <w:shd w:val="clear" w:color="auto" w:fill="auto"/>
              <w:rPr/>
            </w:pPr>
            <w:r>
              <w:rPr/>
              <w:t>3-Class (Benign vs Borderline vs Malignant)</w:t>
            </w:r>
          </w:p>
        </w:tc>
        <w:tc>
          <w:tcPr>
            <w:tcW w:w="0" w:type="auto"/>
            <w:tcBorders/>
            <w:shd w:val="clear" w:color="auto" w:fill="auto"/>
            <w:tcMar>
              <w:top w:w="0" w:type="dxa"/>
              <w:left w:w="0" w:type="dxa"/>
              <w:bottom w:w="0" w:type="dxa"/>
              <w:right w:w="0" w:type="dxa"/>
            </w:tcMar>
          </w:tcPr>
          <w:p w14:paraId="00000040">
            <w:pPr>
              <w:pStyle w:val="style0"/>
              <w:pBdr>
                <w:left w:val="nil"/>
                <w:right w:val="nil"/>
                <w:top w:val="nil"/>
                <w:bottom w:val="nil"/>
                <w:between w:val="nil"/>
              </w:pBdr>
              <w:shd w:val="clear" w:color="auto" w:fill="auto"/>
              <w:rPr/>
            </w:pPr>
            <w:r>
              <w:rPr/>
              <w:t>2D B-mode Ultrasound</w:t>
            </w:r>
          </w:p>
        </w:tc>
        <w:tc>
          <w:tcPr>
            <w:tcW w:w="0" w:type="auto"/>
            <w:tcBorders/>
            <w:shd w:val="clear" w:color="auto" w:fill="auto"/>
            <w:tcMar>
              <w:top w:w="0" w:type="dxa"/>
              <w:left w:w="0" w:type="dxa"/>
              <w:bottom w:w="0" w:type="dxa"/>
              <w:right w:w="0" w:type="dxa"/>
            </w:tcMar>
          </w:tcPr>
          <w:p w14:paraId="00000041">
            <w:pPr>
              <w:pStyle w:val="style0"/>
              <w:pBdr>
                <w:left w:val="nil"/>
                <w:right w:val="nil"/>
                <w:top w:val="nil"/>
                <w:bottom w:val="nil"/>
                <w:between w:val="nil"/>
              </w:pBdr>
              <w:shd w:val="clear" w:color="auto" w:fill="auto"/>
              <w:rPr/>
            </w:pPr>
            <w:r>
              <w:rPr/>
              <w:t>Patient-level Stratified 8:2 Split</w:t>
            </w:r>
          </w:p>
        </w:tc>
        <w:tc>
          <w:tcPr>
            <w:tcW w:w="0" w:type="auto"/>
            <w:tcBorders/>
            <w:shd w:val="clear" w:color="auto" w:fill="auto"/>
            <w:tcMar>
              <w:top w:w="0" w:type="dxa"/>
              <w:left w:w="0" w:type="dxa"/>
              <w:bottom w:w="0" w:type="dxa"/>
              <w:right w:w="0" w:type="dxa"/>
            </w:tcMar>
          </w:tcPr>
          <w:p w14:paraId="00000042">
            <w:pPr>
              <w:pStyle w:val="style0"/>
              <w:pBdr>
                <w:left w:val="nil"/>
                <w:right w:val="nil"/>
                <w:top w:val="nil"/>
                <w:bottom w:val="nil"/>
                <w:between w:val="nil"/>
              </w:pBdr>
              <w:shd w:val="clear" w:color="auto" w:fill="auto"/>
              <w:rPr/>
            </w:pPr>
            <w:r>
              <w:rPr/>
              <w:t>DLR_Sig (Handcrafted Rad_Sig + DTL_Sig CNN + Clinical)</w:t>
            </w:r>
          </w:p>
        </w:tc>
        <w:tc>
          <w:tcPr>
            <w:tcW w:w="0" w:type="auto"/>
            <w:tcBorders/>
            <w:shd w:val="clear" w:color="auto" w:fill="auto"/>
            <w:tcMar>
              <w:top w:w="0" w:type="dxa"/>
              <w:left w:w="0" w:type="dxa"/>
              <w:bottom w:w="0" w:type="dxa"/>
              <w:right w:w="0" w:type="dxa"/>
            </w:tcMar>
          </w:tcPr>
          <w:p w14:paraId="00000043">
            <w:pPr>
              <w:pStyle w:val="style0"/>
              <w:pBdr>
                <w:left w:val="nil"/>
                <w:right w:val="nil"/>
                <w:top w:val="nil"/>
                <w:bottom w:val="nil"/>
                <w:between w:val="nil"/>
              </w:pBdr>
              <w:shd w:val="clear" w:color="auto" w:fill="auto"/>
              <w:rPr/>
            </w:pPr>
            <w:r>
              <w:rPr/>
              <w:t>Test Macro AUC: 0.84 Micro AUC: 0.90 Borderline Recall: 54.55%</w:t>
            </w:r>
          </w:p>
        </w:tc>
        <w:tc>
          <w:tcPr>
            <w:tcW w:w="0" w:type="auto"/>
            <w:tcBorders/>
            <w:shd w:val="clear" w:color="auto" w:fill="auto"/>
            <w:tcMar>
              <w:top w:w="0" w:type="dxa"/>
              <w:left w:w="0" w:type="dxa"/>
              <w:bottom w:w="0" w:type="dxa"/>
              <w:right w:w="0" w:type="dxa"/>
            </w:tcMar>
          </w:tcPr>
          <w:p w14:paraId="00000044">
            <w:pPr>
              <w:pStyle w:val="style0"/>
              <w:pBdr>
                <w:left w:val="nil"/>
                <w:right w:val="nil"/>
                <w:top w:val="nil"/>
                <w:bottom w:val="nil"/>
                <w:between w:val="nil"/>
              </w:pBdr>
              <w:shd w:val="clear" w:color="auto" w:fill="auto"/>
              <w:rPr/>
            </w:pPr>
            <w:r>
              <w:rPr/>
              <w:t>Handcrafted radiomics require manual ROI annotations; single-center cohort.</w:t>
            </w:r>
          </w:p>
        </w:tc>
        <w:tc>
          <w:tcPr>
            <w:tcW w:w="0" w:type="auto"/>
            <w:tcBorders/>
            <w:shd w:val="clear" w:color="auto" w:fill="auto"/>
            <w:tcMar>
              <w:top w:w="0" w:type="dxa"/>
              <w:left w:w="0" w:type="dxa"/>
              <w:bottom w:w="0" w:type="dxa"/>
              <w:right w:w="0" w:type="dxa"/>
            </w:tcMar>
          </w:tcPr>
          <w:p w14:paraId="00000045">
            <w:pPr>
              <w:pStyle w:val="style0"/>
              <w:pBdr>
                <w:left w:val="nil"/>
                <w:right w:val="nil"/>
                <w:top w:val="nil"/>
                <w:bottom w:val="nil"/>
                <w:between w:val="nil"/>
              </w:pBdr>
              <w:shd w:val="clear" w:color="auto" w:fill="auto"/>
              <w:rPr/>
            </w:pPr>
            <w:r>
              <w:rPr/>
              <w:t>Private clinical dataset; Code upon request.</w:t>
            </w:r>
          </w:p>
        </w:tc>
      </w:tr>
      <w:tr w14:paraId="7DE76100">
        <w:tblPrEx/>
        <w:trPr>
          <w:cantSplit w:val="false"/>
          <w:tblHeader w:val="false"/>
          <w:jc w:val="left"/>
        </w:trPr>
        <w:tc>
          <w:tcPr>
            <w:tcW w:w="0" w:type="auto"/>
            <w:tcBorders/>
            <w:shd w:val="clear" w:color="auto" w:fill="auto"/>
            <w:tcMar>
              <w:top w:w="0" w:type="dxa"/>
              <w:left w:w="0" w:type="dxa"/>
              <w:bottom w:w="0" w:type="dxa"/>
              <w:right w:w="0" w:type="dxa"/>
            </w:tcMar>
          </w:tcPr>
          <w:p w14:paraId="00000046">
            <w:pPr>
              <w:pStyle w:val="style0"/>
              <w:pBdr>
                <w:left w:val="nil"/>
                <w:right w:val="nil"/>
                <w:top w:val="nil"/>
                <w:bottom w:val="nil"/>
                <w:between w:val="nil"/>
              </w:pBdr>
              <w:shd w:val="clear" w:color="auto" w:fill="auto"/>
              <w:rPr>
                <w:b/>
                <w:bCs/>
              </w:rPr>
            </w:pPr>
            <w:r>
              <w:rPr>
                <w:b/>
                <w:bCs/>
              </w:rPr>
              <w:t>Zhang et al. (UMTD, 2023)</w:t>
            </w:r>
          </w:p>
        </w:tc>
        <w:tc>
          <w:tcPr>
            <w:tcW w:w="0" w:type="auto"/>
            <w:tcBorders/>
            <w:shd w:val="clear" w:color="auto" w:fill="auto"/>
            <w:tcMar>
              <w:top w:w="0" w:type="dxa"/>
              <w:left w:w="0" w:type="dxa"/>
              <w:bottom w:w="0" w:type="dxa"/>
              <w:right w:w="0" w:type="dxa"/>
            </w:tcMar>
          </w:tcPr>
          <w:p w14:paraId="00000047">
            <w:pPr>
              <w:pStyle w:val="style0"/>
              <w:pBdr>
                <w:left w:val="nil"/>
                <w:right w:val="nil"/>
                <w:top w:val="nil"/>
                <w:bottom w:val="nil"/>
                <w:between w:val="nil"/>
              </w:pBdr>
              <w:shd w:val="clear" w:color="auto" w:fill="auto"/>
              <w:rPr/>
            </w:pPr>
            <w:r>
              <w:rPr/>
              <w:t>UMTD (120,354 images, 3,600 patients)</w:t>
            </w:r>
          </w:p>
        </w:tc>
        <w:tc>
          <w:tcPr>
            <w:tcW w:w="0" w:type="auto"/>
            <w:tcBorders/>
            <w:shd w:val="clear" w:color="auto" w:fill="auto"/>
            <w:tcMar>
              <w:top w:w="0" w:type="dxa"/>
              <w:left w:w="0" w:type="dxa"/>
              <w:bottom w:w="0" w:type="dxa"/>
              <w:right w:w="0" w:type="dxa"/>
            </w:tcMar>
          </w:tcPr>
          <w:p w14:paraId="00000048">
            <w:pPr>
              <w:pStyle w:val="style0"/>
              <w:pBdr>
                <w:left w:val="nil"/>
                <w:right w:val="nil"/>
                <w:top w:val="nil"/>
                <w:bottom w:val="nil"/>
                <w:between w:val="nil"/>
              </w:pBdr>
              <w:shd w:val="clear" w:color="auto" w:fill="auto"/>
              <w:rPr/>
            </w:pPr>
            <w:r>
              <w:rPr/>
              <w:t>Multi-task Ultrasound Representation</w:t>
            </w:r>
          </w:p>
        </w:tc>
        <w:tc>
          <w:tcPr>
            <w:tcW w:w="0" w:type="auto"/>
            <w:tcBorders/>
            <w:shd w:val="clear" w:color="auto" w:fill="auto"/>
            <w:tcMar>
              <w:top w:w="0" w:type="dxa"/>
              <w:left w:w="0" w:type="dxa"/>
              <w:bottom w:w="0" w:type="dxa"/>
              <w:right w:w="0" w:type="dxa"/>
            </w:tcMar>
          </w:tcPr>
          <w:p w14:paraId="00000049">
            <w:pPr>
              <w:pStyle w:val="style0"/>
              <w:pBdr>
                <w:left w:val="nil"/>
                <w:right w:val="nil"/>
                <w:top w:val="nil"/>
                <w:bottom w:val="nil"/>
                <w:between w:val="nil"/>
              </w:pBdr>
              <w:shd w:val="clear" w:color="auto" w:fill="auto"/>
              <w:rPr/>
            </w:pPr>
            <w:r>
              <w:rPr/>
              <w:t>2D B-mode Ultrasound</w:t>
            </w:r>
          </w:p>
        </w:tc>
        <w:tc>
          <w:tcPr>
            <w:tcW w:w="0" w:type="auto"/>
            <w:tcBorders/>
            <w:shd w:val="clear" w:color="auto" w:fill="auto"/>
            <w:tcMar>
              <w:top w:w="0" w:type="dxa"/>
              <w:left w:w="0" w:type="dxa"/>
              <w:bottom w:w="0" w:type="dxa"/>
              <w:right w:w="0" w:type="dxa"/>
            </w:tcMar>
          </w:tcPr>
          <w:p w14:paraId="0000004A">
            <w:pPr>
              <w:pStyle w:val="style0"/>
              <w:pBdr>
                <w:left w:val="nil"/>
                <w:right w:val="nil"/>
                <w:top w:val="nil"/>
                <w:bottom w:val="nil"/>
                <w:between w:val="nil"/>
              </w:pBdr>
              <w:shd w:val="clear" w:color="auto" w:fill="auto"/>
              <w:rPr/>
            </w:pPr>
            <w:r>
              <w:rPr/>
              <w:t>Patient-level Train (105k) / Test (15k)</w:t>
            </w:r>
          </w:p>
        </w:tc>
        <w:tc>
          <w:tcPr>
            <w:tcW w:w="0" w:type="auto"/>
            <w:tcBorders/>
            <w:shd w:val="clear" w:color="auto" w:fill="auto"/>
            <w:tcMar>
              <w:top w:w="0" w:type="dxa"/>
              <w:left w:w="0" w:type="dxa"/>
              <w:bottom w:w="0" w:type="dxa"/>
              <w:right w:w="0" w:type="dxa"/>
            </w:tcMar>
          </w:tcPr>
          <w:p w14:paraId="0000004B">
            <w:pPr>
              <w:pStyle w:val="style0"/>
              <w:pBdr>
                <w:left w:val="nil"/>
                <w:right w:val="nil"/>
                <w:top w:val="nil"/>
                <w:bottom w:val="nil"/>
                <w:between w:val="nil"/>
              </w:pBdr>
              <w:shd w:val="clear" w:color="auto" w:fill="auto"/>
              <w:rPr/>
            </w:pPr>
            <w:r>
              <w:rPr/>
              <w:t>CDOA Self-Supervised Pretraining Backbone</w:t>
            </w:r>
          </w:p>
        </w:tc>
        <w:tc>
          <w:tcPr>
            <w:tcW w:w="0" w:type="auto"/>
            <w:tcBorders/>
            <w:shd w:val="clear" w:color="auto" w:fill="auto"/>
            <w:tcMar>
              <w:top w:w="0" w:type="dxa"/>
              <w:left w:w="0" w:type="dxa"/>
              <w:bottom w:w="0" w:type="dxa"/>
              <w:right w:w="0" w:type="dxa"/>
            </w:tcMar>
          </w:tcPr>
          <w:p w14:paraId="0000004C">
            <w:pPr>
              <w:pStyle w:val="style0"/>
              <w:pBdr>
                <w:left w:val="nil"/>
                <w:right w:val="nil"/>
                <w:top w:val="nil"/>
                <w:bottom w:val="nil"/>
                <w:between w:val="nil"/>
              </w:pBdr>
              <w:shd w:val="clear" w:color="auto" w:fill="auto"/>
              <w:rPr/>
            </w:pPr>
            <w:r>
              <w:rPr/>
              <w:t>Pretraining transferability improvement</w:t>
            </w:r>
          </w:p>
        </w:tc>
        <w:tc>
          <w:tcPr>
            <w:tcW w:w="0" w:type="auto"/>
            <w:tcBorders/>
            <w:shd w:val="clear" w:color="auto" w:fill="auto"/>
            <w:tcMar>
              <w:top w:w="0" w:type="dxa"/>
              <w:left w:w="0" w:type="dxa"/>
              <w:bottom w:w="0" w:type="dxa"/>
              <w:right w:w="0" w:type="dxa"/>
            </w:tcMar>
          </w:tcPr>
          <w:p w14:paraId="0000004D">
            <w:pPr>
              <w:pStyle w:val="style0"/>
              <w:pBdr>
                <w:left w:val="nil"/>
                <w:right w:val="nil"/>
                <w:top w:val="nil"/>
                <w:bottom w:val="nil"/>
                <w:between w:val="nil"/>
              </w:pBdr>
              <w:shd w:val="clear" w:color="auto" w:fill="auto"/>
              <w:rPr/>
            </w:pPr>
            <w:r>
              <w:rPr/>
              <w:t>Multi-organ dataset; lacks fine-grained ovarian histopathology labels.</w:t>
            </w:r>
          </w:p>
        </w:tc>
        <w:tc>
          <w:tcPr>
            <w:tcW w:w="0" w:type="auto"/>
            <w:tcBorders/>
            <w:shd w:val="clear" w:color="auto" w:fill="auto"/>
            <w:tcMar>
              <w:top w:w="0" w:type="dxa"/>
              <w:left w:w="0" w:type="dxa"/>
              <w:bottom w:w="0" w:type="dxa"/>
              <w:right w:w="0" w:type="dxa"/>
            </w:tcMar>
          </w:tcPr>
          <w:p w14:paraId="0000004E">
            <w:pPr>
              <w:pStyle w:val="style0"/>
              <w:pBdr>
                <w:left w:val="nil"/>
                <w:right w:val="nil"/>
                <w:top w:val="nil"/>
                <w:bottom w:val="nil"/>
                <w:between w:val="nil"/>
              </w:pBdr>
              <w:shd w:val="clear" w:color="auto" w:fill="auto"/>
              <w:rPr/>
            </w:pPr>
            <w:r>
              <w:rPr/>
              <w:t>Zenodo Dataset Public.</w:t>
            </w:r>
          </w:p>
        </w:tc>
      </w:tr>
      <w:tr w14:paraId="B4B69B5D">
        <w:tblPrEx/>
        <w:trPr>
          <w:cantSplit w:val="false"/>
          <w:tblHeader w:val="false"/>
          <w:jc w:val="left"/>
        </w:trPr>
        <w:tc>
          <w:tcPr>
            <w:tcW w:w="0" w:type="auto"/>
            <w:tcBorders/>
            <w:shd w:val="clear" w:color="auto" w:fill="auto"/>
            <w:tcMar>
              <w:top w:w="0" w:type="dxa"/>
              <w:left w:w="0" w:type="dxa"/>
              <w:bottom w:w="0" w:type="dxa"/>
              <w:right w:w="0" w:type="dxa"/>
            </w:tcMar>
          </w:tcPr>
          <w:p w14:paraId="0000004F">
            <w:pPr>
              <w:pStyle w:val="style0"/>
              <w:pBdr>
                <w:left w:val="nil"/>
                <w:right w:val="nil"/>
                <w:top w:val="nil"/>
                <w:bottom w:val="nil"/>
                <w:between w:val="nil"/>
              </w:pBdr>
              <w:shd w:val="clear" w:color="auto" w:fill="auto"/>
              <w:rPr>
                <w:b/>
                <w:bCs/>
              </w:rPr>
            </w:pPr>
            <w:r>
              <w:rPr>
                <w:b/>
                <w:bCs/>
              </w:rPr>
              <w:t>EfficientOvaNet (2025/2026)</w:t>
            </w:r>
          </w:p>
        </w:tc>
        <w:tc>
          <w:tcPr>
            <w:tcW w:w="0" w:type="auto"/>
            <w:tcBorders/>
            <w:shd w:val="clear" w:color="auto" w:fill="auto"/>
            <w:tcMar>
              <w:top w:w="0" w:type="dxa"/>
              <w:left w:w="0" w:type="dxa"/>
              <w:bottom w:w="0" w:type="dxa"/>
              <w:right w:w="0" w:type="dxa"/>
            </w:tcMar>
          </w:tcPr>
          <w:p w14:paraId="00000050">
            <w:pPr>
              <w:pStyle w:val="style0"/>
              <w:pBdr>
                <w:left w:val="nil"/>
                <w:right w:val="nil"/>
                <w:top w:val="nil"/>
                <w:bottom w:val="nil"/>
                <w:between w:val="nil"/>
              </w:pBdr>
              <w:shd w:val="clear" w:color="auto" w:fill="auto"/>
              <w:rPr/>
            </w:pPr>
            <w:r>
              <w:rPr/>
              <w:t>MMOTU (1,639 images, 4 tumor subtypes)</w:t>
            </w:r>
          </w:p>
        </w:tc>
        <w:tc>
          <w:tcPr>
            <w:tcW w:w="0" w:type="auto"/>
            <w:tcBorders/>
            <w:shd w:val="clear" w:color="auto" w:fill="auto"/>
            <w:tcMar>
              <w:top w:w="0" w:type="dxa"/>
              <w:left w:w="0" w:type="dxa"/>
              <w:bottom w:w="0" w:type="dxa"/>
              <w:right w:w="0" w:type="dxa"/>
            </w:tcMar>
          </w:tcPr>
          <w:p w14:paraId="00000051">
            <w:pPr>
              <w:pStyle w:val="style0"/>
              <w:pBdr>
                <w:left w:val="nil"/>
                <w:right w:val="nil"/>
                <w:top w:val="nil"/>
                <w:bottom w:val="nil"/>
                <w:between w:val="nil"/>
              </w:pBdr>
              <w:shd w:val="clear" w:color="auto" w:fill="auto"/>
              <w:rPr/>
            </w:pPr>
            <w:r>
              <w:rPr/>
              <w:t>4-Class Classification (Types 0, 1, 2, 5)</w:t>
            </w:r>
          </w:p>
        </w:tc>
        <w:tc>
          <w:tcPr>
            <w:tcW w:w="0" w:type="auto"/>
            <w:tcBorders/>
            <w:shd w:val="clear" w:color="auto" w:fill="auto"/>
            <w:tcMar>
              <w:top w:w="0" w:type="dxa"/>
              <w:left w:w="0" w:type="dxa"/>
              <w:bottom w:w="0" w:type="dxa"/>
              <w:right w:w="0" w:type="dxa"/>
            </w:tcMar>
          </w:tcPr>
          <w:p w14:paraId="00000052">
            <w:pPr>
              <w:pStyle w:val="style0"/>
              <w:pBdr>
                <w:left w:val="nil"/>
                <w:right w:val="nil"/>
                <w:top w:val="nil"/>
                <w:bottom w:val="nil"/>
                <w:between w:val="nil"/>
              </w:pBdr>
              <w:shd w:val="clear" w:color="auto" w:fill="auto"/>
              <w:rPr/>
            </w:pPr>
            <w:r>
              <w:rPr/>
              <w:t>2D B-mode Ultrasound</w:t>
            </w:r>
          </w:p>
        </w:tc>
        <w:tc>
          <w:tcPr>
            <w:tcW w:w="0" w:type="auto"/>
            <w:tcBorders/>
            <w:shd w:val="clear" w:color="auto" w:fill="auto"/>
            <w:tcMar>
              <w:top w:w="0" w:type="dxa"/>
              <w:left w:w="0" w:type="dxa"/>
              <w:bottom w:w="0" w:type="dxa"/>
              <w:right w:w="0" w:type="dxa"/>
            </w:tcMar>
          </w:tcPr>
          <w:p w14:paraId="00000053">
            <w:pPr>
              <w:pStyle w:val="style0"/>
              <w:pBdr>
                <w:left w:val="nil"/>
                <w:right w:val="nil"/>
                <w:top w:val="nil"/>
                <w:bottom w:val="nil"/>
                <w:between w:val="nil"/>
              </w:pBdr>
              <w:shd w:val="clear" w:color="auto" w:fill="auto"/>
              <w:rPr/>
            </w:pPr>
            <w:r>
              <w:rPr/>
              <w:t>5-Fold Cross-Validation</w:t>
            </w:r>
          </w:p>
        </w:tc>
        <w:tc>
          <w:tcPr>
            <w:tcW w:w="0" w:type="auto"/>
            <w:tcBorders/>
            <w:shd w:val="clear" w:color="auto" w:fill="auto"/>
            <w:tcMar>
              <w:top w:w="0" w:type="dxa"/>
              <w:left w:w="0" w:type="dxa"/>
              <w:bottom w:w="0" w:type="dxa"/>
              <w:right w:w="0" w:type="dxa"/>
            </w:tcMar>
          </w:tcPr>
          <w:p w14:paraId="00000054">
            <w:pPr>
              <w:pStyle w:val="style0"/>
              <w:pBdr>
                <w:left w:val="nil"/>
                <w:right w:val="nil"/>
                <w:top w:val="nil"/>
                <w:bottom w:val="nil"/>
                <w:between w:val="nil"/>
              </w:pBdr>
              <w:shd w:val="clear" w:color="auto" w:fill="auto"/>
              <w:rPr/>
            </w:pPr>
            <w:r>
              <w:rPr/>
              <w:t>Two-Branch EfficientNet-B3 (ROI + Global Context)</w:t>
            </w:r>
          </w:p>
        </w:tc>
        <w:tc>
          <w:tcPr>
            <w:tcW w:w="0" w:type="auto"/>
            <w:tcBorders/>
            <w:shd w:val="clear" w:color="auto" w:fill="auto"/>
            <w:tcMar>
              <w:top w:w="0" w:type="dxa"/>
              <w:left w:w="0" w:type="dxa"/>
              <w:bottom w:w="0" w:type="dxa"/>
              <w:right w:w="0" w:type="dxa"/>
            </w:tcMar>
          </w:tcPr>
          <w:p w14:paraId="00000055">
            <w:pPr>
              <w:pStyle w:val="style0"/>
              <w:pBdr>
                <w:left w:val="nil"/>
                <w:right w:val="nil"/>
                <w:top w:val="nil"/>
                <w:bottom w:val="nil"/>
                <w:between w:val="nil"/>
              </w:pBdr>
              <w:shd w:val="clear" w:color="auto" w:fill="auto"/>
              <w:rPr/>
            </w:pPr>
            <w:r>
              <w:rPr/>
              <w:t>Mean Accuracy: 91.9% F1-score: 91.9% AUC: 0.98</w:t>
            </w:r>
          </w:p>
        </w:tc>
        <w:tc>
          <w:tcPr>
            <w:tcW w:w="0" w:type="auto"/>
            <w:tcBorders/>
            <w:shd w:val="clear" w:color="auto" w:fill="auto"/>
            <w:tcMar>
              <w:top w:w="0" w:type="dxa"/>
              <w:left w:w="0" w:type="dxa"/>
              <w:bottom w:w="0" w:type="dxa"/>
              <w:right w:w="0" w:type="dxa"/>
            </w:tcMar>
          </w:tcPr>
          <w:p w14:paraId="00000056">
            <w:pPr>
              <w:pStyle w:val="style0"/>
              <w:pBdr>
                <w:left w:val="nil"/>
                <w:right w:val="nil"/>
                <w:top w:val="nil"/>
                <w:bottom w:val="nil"/>
                <w:between w:val="nil"/>
              </w:pBdr>
              <w:shd w:val="clear" w:color="auto" w:fill="auto"/>
              <w:rPr/>
            </w:pPr>
            <w:r>
              <w:rPr/>
              <w:t>Cross-validation performed at image level without patient tracking; un-inpainted scans.</w:t>
            </w:r>
          </w:p>
        </w:tc>
        <w:tc>
          <w:tcPr>
            <w:tcW w:w="0" w:type="auto"/>
            <w:tcBorders/>
            <w:shd w:val="clear" w:color="auto" w:fill="auto"/>
            <w:tcMar>
              <w:top w:w="0" w:type="dxa"/>
              <w:left w:w="0" w:type="dxa"/>
              <w:bottom w:w="0" w:type="dxa"/>
              <w:right w:w="0" w:type="dxa"/>
            </w:tcMar>
          </w:tcPr>
          <w:p w14:paraId="00000057">
            <w:pPr>
              <w:pStyle w:val="style0"/>
              <w:pBdr>
                <w:left w:val="nil"/>
                <w:right w:val="nil"/>
                <w:top w:val="nil"/>
                <w:bottom w:val="nil"/>
                <w:between w:val="nil"/>
              </w:pBdr>
              <w:shd w:val="clear" w:color="auto" w:fill="auto"/>
              <w:rPr/>
            </w:pPr>
            <w:r>
              <w:rPr/>
              <w:t>Public MMOTU Data used.</w:t>
            </w:r>
          </w:p>
        </w:tc>
      </w:tr>
      <w:tr w14:paraId="6AFA5933">
        <w:tblPrEx/>
        <w:trPr>
          <w:cantSplit w:val="false"/>
          <w:tblHeader w:val="false"/>
          <w:jc w:val="left"/>
        </w:trPr>
        <w:tc>
          <w:tcPr>
            <w:tcW w:w="0" w:type="auto"/>
            <w:tcBorders/>
            <w:shd w:val="clear" w:color="auto" w:fill="auto"/>
            <w:tcMar>
              <w:top w:w="0" w:type="dxa"/>
              <w:left w:w="0" w:type="dxa"/>
              <w:bottom w:w="0" w:type="dxa"/>
              <w:right w:w="0" w:type="dxa"/>
            </w:tcMar>
          </w:tcPr>
          <w:p w14:paraId="00000058">
            <w:pPr>
              <w:pStyle w:val="style0"/>
              <w:pBdr>
                <w:left w:val="nil"/>
                <w:right w:val="nil"/>
                <w:top w:val="nil"/>
                <w:bottom w:val="nil"/>
                <w:between w:val="nil"/>
              </w:pBdr>
              <w:shd w:val="clear" w:color="auto" w:fill="auto"/>
              <w:rPr>
                <w:b/>
                <w:bCs/>
              </w:rPr>
            </w:pPr>
            <w:r>
              <w:rPr>
                <w:b/>
                <w:bCs/>
              </w:rPr>
              <w:t>IEEE Ovarian Study (2025/2026)</w:t>
            </w:r>
          </w:p>
        </w:tc>
        <w:tc>
          <w:tcPr>
            <w:tcW w:w="0" w:type="auto"/>
            <w:tcBorders/>
            <w:shd w:val="clear" w:color="auto" w:fill="auto"/>
            <w:tcMar>
              <w:top w:w="0" w:type="dxa"/>
              <w:left w:w="0" w:type="dxa"/>
              <w:bottom w:w="0" w:type="dxa"/>
              <w:right w:w="0" w:type="dxa"/>
            </w:tcMar>
          </w:tcPr>
          <w:p w14:paraId="00000059">
            <w:pPr>
              <w:pStyle w:val="style0"/>
              <w:pBdr>
                <w:left w:val="nil"/>
                <w:right w:val="nil"/>
                <w:top w:val="nil"/>
                <w:bottom w:val="nil"/>
                <w:between w:val="nil"/>
              </w:pBdr>
              <w:shd w:val="clear" w:color="auto" w:fill="auto"/>
              <w:rPr/>
            </w:pPr>
            <w:r>
              <w:rPr/>
              <w:t>2025 Ovarian Condition Dataset (3-Class)</w:t>
            </w:r>
          </w:p>
        </w:tc>
        <w:tc>
          <w:tcPr>
            <w:tcW w:w="0" w:type="auto"/>
            <w:tcBorders/>
            <w:shd w:val="clear" w:color="auto" w:fill="auto"/>
            <w:tcMar>
              <w:top w:w="0" w:type="dxa"/>
              <w:left w:w="0" w:type="dxa"/>
              <w:bottom w:w="0" w:type="dxa"/>
              <w:right w:w="0" w:type="dxa"/>
            </w:tcMar>
          </w:tcPr>
          <w:p w14:paraId="0000005A">
            <w:pPr>
              <w:pStyle w:val="style0"/>
              <w:pBdr>
                <w:left w:val="nil"/>
                <w:right w:val="nil"/>
                <w:top w:val="nil"/>
                <w:bottom w:val="nil"/>
                <w:between w:val="nil"/>
              </w:pBdr>
              <w:shd w:val="clear" w:color="auto" w:fill="auto"/>
              <w:rPr/>
            </w:pPr>
            <w:r>
              <w:rPr/>
              <w:t>3-Class (Normal / Dominant Follicle / PCOS)</w:t>
            </w:r>
          </w:p>
        </w:tc>
        <w:tc>
          <w:tcPr>
            <w:tcW w:w="0" w:type="auto"/>
            <w:tcBorders/>
            <w:shd w:val="clear" w:color="auto" w:fill="auto"/>
            <w:tcMar>
              <w:top w:w="0" w:type="dxa"/>
              <w:left w:w="0" w:type="dxa"/>
              <w:bottom w:w="0" w:type="dxa"/>
              <w:right w:w="0" w:type="dxa"/>
            </w:tcMar>
          </w:tcPr>
          <w:p w14:paraId="0000005B">
            <w:pPr>
              <w:pStyle w:val="style0"/>
              <w:pBdr>
                <w:left w:val="nil"/>
                <w:right w:val="nil"/>
                <w:top w:val="nil"/>
                <w:bottom w:val="nil"/>
                <w:between w:val="nil"/>
              </w:pBdr>
              <w:shd w:val="clear" w:color="auto" w:fill="auto"/>
              <w:rPr/>
            </w:pPr>
            <w:r>
              <w:rPr/>
              <w:t>2D B-mode Ultrasound</w:t>
            </w:r>
          </w:p>
        </w:tc>
        <w:tc>
          <w:tcPr>
            <w:tcW w:w="0" w:type="auto"/>
            <w:tcBorders/>
            <w:shd w:val="clear" w:color="auto" w:fill="auto"/>
            <w:tcMar>
              <w:top w:w="0" w:type="dxa"/>
              <w:left w:w="0" w:type="dxa"/>
              <w:bottom w:w="0" w:type="dxa"/>
              <w:right w:w="0" w:type="dxa"/>
            </w:tcMar>
          </w:tcPr>
          <w:p w14:paraId="0000005C">
            <w:pPr>
              <w:pStyle w:val="style0"/>
              <w:pBdr>
                <w:left w:val="nil"/>
                <w:right w:val="nil"/>
                <w:top w:val="nil"/>
                <w:bottom w:val="nil"/>
                <w:between w:val="nil"/>
              </w:pBdr>
              <w:shd w:val="clear" w:color="auto" w:fill="auto"/>
              <w:rPr/>
            </w:pPr>
            <w:r>
              <w:rPr/>
              <w:t>Train/Validation Split</w:t>
            </w:r>
          </w:p>
        </w:tc>
        <w:tc>
          <w:tcPr>
            <w:tcW w:w="0" w:type="auto"/>
            <w:tcBorders/>
            <w:shd w:val="clear" w:color="auto" w:fill="auto"/>
            <w:tcMar>
              <w:top w:w="0" w:type="dxa"/>
              <w:left w:w="0" w:type="dxa"/>
              <w:bottom w:w="0" w:type="dxa"/>
              <w:right w:w="0" w:type="dxa"/>
            </w:tcMar>
          </w:tcPr>
          <w:p w14:paraId="0000005D">
            <w:pPr>
              <w:pStyle w:val="style0"/>
              <w:pBdr>
                <w:left w:val="nil"/>
                <w:right w:val="nil"/>
                <w:top w:val="nil"/>
                <w:bottom w:val="nil"/>
                <w:between w:val="nil"/>
              </w:pBdr>
              <w:shd w:val="clear" w:color="auto" w:fill="auto"/>
              <w:rPr/>
            </w:pPr>
            <w:r>
              <w:rPr/>
              <w:t>ConvNeXt-Base vs Swin vs ViT vs Hybrid CvT</w:t>
            </w:r>
          </w:p>
        </w:tc>
        <w:tc>
          <w:tcPr>
            <w:tcW w:w="0" w:type="auto"/>
            <w:tcBorders/>
            <w:shd w:val="clear" w:color="auto" w:fill="auto"/>
            <w:tcMar>
              <w:top w:w="0" w:type="dxa"/>
              <w:left w:w="0" w:type="dxa"/>
              <w:bottom w:w="0" w:type="dxa"/>
              <w:right w:w="0" w:type="dxa"/>
            </w:tcMar>
          </w:tcPr>
          <w:p w14:paraId="0000005E">
            <w:pPr>
              <w:pStyle w:val="style0"/>
              <w:pBdr>
                <w:left w:val="nil"/>
                <w:right w:val="nil"/>
                <w:top w:val="nil"/>
                <w:bottom w:val="nil"/>
                <w:between w:val="nil"/>
              </w:pBdr>
              <w:shd w:val="clear" w:color="auto" w:fill="auto"/>
              <w:rPr/>
            </w:pPr>
            <w:r>
              <w:rPr/>
              <w:t>ConvNeXt Accuracy: 91.80% Precision: 0.915 F1: 0.908</w:t>
            </w:r>
          </w:p>
        </w:tc>
        <w:tc>
          <w:tcPr>
            <w:tcW w:w="0" w:type="auto"/>
            <w:tcBorders/>
            <w:shd w:val="clear" w:color="auto" w:fill="auto"/>
            <w:tcMar>
              <w:top w:w="0" w:type="dxa"/>
              <w:left w:w="0" w:type="dxa"/>
              <w:bottom w:w="0" w:type="dxa"/>
              <w:right w:w="0" w:type="dxa"/>
            </w:tcMar>
          </w:tcPr>
          <w:p w14:paraId="0000005F">
            <w:pPr>
              <w:pStyle w:val="style0"/>
              <w:pBdr>
                <w:left w:val="nil"/>
                <w:right w:val="nil"/>
                <w:top w:val="nil"/>
                <w:bottom w:val="nil"/>
                <w:between w:val="nil"/>
              </w:pBdr>
              <w:shd w:val="clear" w:color="auto" w:fill="auto"/>
              <w:rPr/>
            </w:pPr>
            <w:r>
              <w:rPr/>
              <w:t>Evaluates non-neoplastic functional states; excludes true neoplasms and carcinomas.</w:t>
            </w:r>
          </w:p>
        </w:tc>
        <w:tc>
          <w:tcPr>
            <w:tcW w:w="0" w:type="auto"/>
            <w:tcBorders/>
            <w:shd w:val="clear" w:color="auto" w:fill="auto"/>
            <w:tcMar>
              <w:top w:w="0" w:type="dxa"/>
              <w:left w:w="0" w:type="dxa"/>
              <w:bottom w:w="0" w:type="dxa"/>
              <w:right w:w="0" w:type="dxa"/>
            </w:tcMar>
          </w:tcPr>
          <w:p w14:paraId="00000060">
            <w:pPr>
              <w:pStyle w:val="style0"/>
              <w:pBdr>
                <w:left w:val="nil"/>
                <w:right w:val="nil"/>
                <w:top w:val="nil"/>
                <w:bottom w:val="nil"/>
                <w:between w:val="nil"/>
              </w:pBdr>
              <w:shd w:val="clear" w:color="auto" w:fill="auto"/>
              <w:rPr/>
            </w:pPr>
            <w:r>
              <w:rPr/>
              <w:t>Model hosted on HuggingFace.</w:t>
            </w:r>
          </w:p>
        </w:tc>
      </w:tr>
    </w:tbl>
    <w:p w14:paraId="00000061">
      <w:pPr>
        <w:pStyle w:val="style2"/>
        <w:pBdr>
          <w:left w:val="nil"/>
          <w:right w:val="nil"/>
          <w:top w:val="nil"/>
          <w:bottom w:val="nil"/>
          <w:between w:val="nil"/>
        </w:pBdr>
        <w:shd w:val="clear" w:color="auto" w:fill="auto"/>
        <w:rPr/>
      </w:pPr>
      <w:r>
        <w:rPr/>
        <w:t>D. Dataset Evaluation &amp; Comparison Table</w:t>
      </w:r>
    </w:p>
    <w:p w14:paraId="00000062">
      <w:pPr>
        <w:pStyle w:val="style0"/>
        <w:pBdr>
          <w:left w:val="nil"/>
          <w:right w:val="nil"/>
          <w:top w:val="nil"/>
          <w:bottom w:val="nil"/>
          <w:between w:val="nil"/>
        </w:pBdr>
        <w:shd w:val="clear" w:color="auto" w:fill="auto"/>
        <w:spacing w:after="240"/>
        <w:rPr/>
      </w:pPr>
      <w:r>
        <w:rPr/>
        <w:t xml:space="preserve">| Candidate Dataset Name | Source Institution &amp; Location | Access Status &amp; License | Volume (Patients / Images) | Categorization &amp; Ground Truth Basis | Image Format &amp; Resolution | Key Data Vulnerabilities &amp; Artifact Constraints | | :--- | :--- | :--- | :--- | :--- | :--- | :--- | | </w:t>
      </w:r>
      <w:r>
        <w:rPr>
          <w:b/>
          <w:bCs/>
        </w:rPr>
        <w:t>MMOTU (Multi-Modality Ovarian Ultrasound)</w:t>
      </w:r>
      <w:r>
        <w:rPr/>
        <w:t xml:space="preserve"> | Beijing Shijitan Hospital, China | Public (Zenodo / FigShare / GitHub) | Patients: Unspecified Images: 1,469 2D B-mode + 170 CEUS | 8 Pathology Classes &amp; Binary Segmentation Masks; Histopathology Ground Truth | PNG / JPG (400x800 to 512x512) | </w:t>
      </w:r>
      <w:r>
        <w:rPr>
          <w:b/>
          <w:bCs/>
        </w:rPr>
        <w:t>Severe Artifact Contamination</w:t>
      </w:r>
      <w:r>
        <w:rPr/>
        <w:t xml:space="preserve">: Contains calipers, yellow lines, text, and crosses. Patient IDs unlinked. | | </w:t>
      </w:r>
      <w:r>
        <w:rPr>
          <w:b/>
          <w:bCs/>
        </w:rPr>
        <w:t>OvaTUS-V1</w:t>
      </w:r>
      <w:r>
        <w:rPr/>
        <w:t xml:space="preserve"> | National Hospital of Obstetrics &amp; Gynecology, Vietnam | Cloud Access (Research Request) | Patients: Multi-patient clinical cohort Images: Curated 2D B-mode scans | Multi-class Tumor Segmentation &amp; Pathology Labels; Histopathology &amp; Radiologist Masks | DICOM / PNG (Samsung W80i, GE Voluson S6) | Images inpainted via IOPaint to remove doctor symbols. High inter-patient variability. | | </w:t>
      </w:r>
      <w:r>
        <w:rPr>
          <w:b/>
          <w:bCs/>
        </w:rPr>
        <w:t>UMTD (Ultrasound Multitasking Dataset)</w:t>
      </w:r>
      <w:r>
        <w:rPr/>
        <w:t xml:space="preserve"> | Second Affiliated Hospital of Fujian Medical Univ., China | Public (Zenodo) | Patients: 3,600 independent patients Images: 120,354 scans | 28 General Ultrasound Classes (Includes Ovaries); Standard Cut Views | 512x512 Grayscale PNG | Excellent patient-level metadata separation; lacks fine-grained ovarian histopathology labels. | | </w:t>
      </w:r>
      <w:r>
        <w:rPr>
          <w:b/>
          <w:bCs/>
        </w:rPr>
        <w:t>UCI / Kaggle Ovarian Condition Dataset</w:t>
      </w:r>
      <w:r>
        <w:rPr/>
        <w:t xml:space="preserve"> | Public Open-Source Repositories | Public (CC BY 4.0) | Patients: Unspecified Images: 6,879 images | 5 Classes: Healthy, Dominant Follicle, PCOS, Simple Cyst, Complex Cyst | Grayscale JPG/PNG | </w:t>
      </w:r>
      <w:r>
        <w:rPr>
          <w:b/>
          <w:bCs/>
        </w:rPr>
        <w:t>High Risk of Duplicate Frames</w:t>
      </w:r>
      <w:r>
        <w:rPr/>
        <w:t>: Covers mostly non-neoplastic states. Lacks segmentation masks and patient IDs. |</w:t>
      </w:r>
    </w:p>
    <w:p w14:paraId="00000063">
      <w:pPr>
        <w:pStyle w:val="style3"/>
        <w:pBdr>
          <w:left w:val="nil"/>
          <w:right w:val="nil"/>
          <w:top w:val="nil"/>
          <w:bottom w:val="nil"/>
          <w:between w:val="nil"/>
        </w:pBdr>
        <w:shd w:val="clear" w:color="auto" w:fill="auto"/>
        <w:spacing w:before="0"/>
        <w:rPr/>
      </w:pPr>
      <w:r>
        <w:rPr/>
        <w:t>Methodological Threat of Patient-Level Data Leakage</w:t>
      </w:r>
    </w:p>
    <w:p w14:paraId="00000064">
      <w:pPr>
        <w:pStyle w:val="style0"/>
        <w:pBdr>
          <w:left w:val="nil"/>
          <w:right w:val="nil"/>
          <w:top w:val="nil"/>
          <w:bottom w:val="nil"/>
          <w:between w:val="nil"/>
        </w:pBdr>
        <w:shd w:val="clear" w:color="auto" w:fill="auto"/>
        <w:rPr/>
      </w:pPr>
      <w:r>
        <w:rPr/>
        <w:t>A primary vulnerability in medical ultrasound computer vision is the failure to enforce strict patient-level splitting during model training and evaluation. Clinical ultrasound examinations capture multiple B-mode still frames (ranging from 5 to 30 images per patient) from varying probe angles and depth views.</w:t>
      </w:r>
    </w:p>
    <w:p w14:paraId="00000065">
      <w:pPr>
        <w:pStyle w:val="style0"/>
        <w:pBdr>
          <w:left w:val="nil"/>
          <w:right w:val="nil"/>
          <w:top w:val="nil"/>
          <w:bottom w:val="nil"/>
          <w:between w:val="nil"/>
        </w:pBdr>
        <w:shd w:val="clear" w:color="auto" w:fill="auto"/>
        <w:spacing w:after="225"/>
        <w:rPr/>
      </w:pPr>
      <w:r>
        <w:rPr/>
        <w:t>If images belonging to the same patient are randomly distributed across both training and testing splits, deep neural networks memorize patient-specific background features—such as subcutaneous fat patterns, abdominal speckle texture, gain settings, and probe artifacts—rather than learning pathological tissue traits. This artifactual memorization produces artificially inflated test performance (e.g., AUC &gt;0.98), which degrades significantly (AUC &lt;0.65) when deployed on unseen patients in real-world clinical environments.</w:t>
      </w:r>
    </w:p>
    <w:p w14:paraId="00000066">
      <w:pPr>
        <w:pStyle w:val="style2"/>
        <w:pBdr>
          <w:left w:val="nil"/>
          <w:right w:val="nil"/>
          <w:top w:val="nil"/>
          <w:bottom w:val="nil"/>
          <w:between w:val="nil"/>
        </w:pBdr>
        <w:shd w:val="clear" w:color="auto" w:fill="auto"/>
        <w:spacing w:before="0"/>
        <w:rPr/>
      </w:pPr>
      <w:r>
        <w:rPr/>
        <w:t>E. Research Gap Analysis</w:t>
      </w:r>
    </w:p>
    <w:p w14:paraId="00000067">
      <w:pPr>
        <w:pStyle w:val="style0"/>
        <w:pBdr>
          <w:left w:val="nil"/>
          <w:right w:val="nil"/>
          <w:top w:val="nil"/>
          <w:bottom w:val="nil"/>
          <w:between w:val="nil"/>
        </w:pBdr>
        <w:shd w:val="clear" w:color="auto" w:fill="auto"/>
        <w:rPr/>
      </w:pPr>
      <w:r>
        <w:rPr/>
        <w:t>A systematic analysis of existing literature reveals five critical methodological research gaps:</w:t>
      </w:r>
    </w:p>
    <w:p w14:paraId="00000068">
      <w:pPr>
        <w:pStyle w:val="style0"/>
        <w:numPr>
          <w:ilvl w:val="0"/>
          <w:numId w:val="23"/>
        </w:numPr>
        <w:pBdr>
          <w:left w:val="nil"/>
          <w:right w:val="nil"/>
          <w:top w:val="nil"/>
          <w:bottom w:val="nil"/>
          <w:between w:val="nil"/>
        </w:pBdr>
        <w:shd w:val="clear" w:color="auto" w:fill="auto"/>
        <w:ind w:left="600" w:hanging="360"/>
        <w:rPr/>
      </w:pPr>
      <w:r>
        <w:rPr>
          <w:b/>
          <w:bCs/>
        </w:rPr>
        <w:t>Synthetic Symbol Shortcut Learning &amp; Artifact Contamination (Rank 1)</w:t>
      </w:r>
      <w:r>
        <w:rPr/>
        <w:t>: Public B-mode datasets, such as MMOTU, contain clinical annotations, caliper markers, and doctor-annotated boundary lines superimposed directly on tumor tissue. Deep neural networks exploit these synthetic symbols as shortcut features for classification. Models trained on raw marked images experience severe performance degradation when evaluated on clean, unmarked diagnostic scans.</w:t>
      </w:r>
    </w:p>
    <w:p w14:paraId="00000069">
      <w:pPr>
        <w:pStyle w:val="style0"/>
        <w:numPr>
          <w:ilvl w:val="0"/>
          <w:numId w:val="23"/>
        </w:numPr>
        <w:pBdr>
          <w:left w:val="nil"/>
          <w:right w:val="nil"/>
          <w:top w:val="nil"/>
          <w:bottom w:val="nil"/>
          <w:between w:val="nil"/>
        </w:pBdr>
        <w:shd w:val="clear" w:color="auto" w:fill="auto"/>
        <w:ind w:left="600" w:hanging="360"/>
        <w:rPr/>
      </w:pPr>
      <w:r>
        <w:rPr>
          <w:b/>
          <w:bCs/>
        </w:rPr>
        <w:t>Probability Miscalibration and Overconfidence (Rank 2)</w:t>
      </w:r>
      <w:r>
        <w:rPr/>
        <w:t>: Published ovarian deep learning models rely on raw Softmax outputs to represent diagnostic confidence. Modern deep networks are prone to overconfidence, generating high certainty estimates even when misclassifying ambiguous or complex masses. Uncalibrated predictions limit clinical adoption where accurate probability estimates are required for risk stratification.</w:t>
      </w:r>
    </w:p>
    <w:p w14:paraId="0000006A">
      <w:pPr>
        <w:pStyle w:val="style0"/>
        <w:numPr>
          <w:ilvl w:val="0"/>
          <w:numId w:val="23"/>
        </w:numPr>
        <w:pBdr>
          <w:left w:val="nil"/>
          <w:right w:val="nil"/>
          <w:top w:val="nil"/>
          <w:bottom w:val="nil"/>
          <w:between w:val="nil"/>
        </w:pBdr>
        <w:shd w:val="clear" w:color="auto" w:fill="auto"/>
        <w:ind w:left="600" w:hanging="360"/>
        <w:rPr/>
      </w:pPr>
      <w:r>
        <w:rPr>
          <w:b/>
          <w:bCs/>
        </w:rPr>
        <w:t>Diagnostic Failure on Borderline Ovarian Tumors (Rank 3)</w:t>
      </w:r>
      <w:r>
        <w:rPr/>
        <w:t>: Existing single-task classification architectures demonstrate low sensitivity (frequently approaching 0%) for borderline ovarian tumors due to feature overlap with complex benign cystadenomas and early carcinomas. Multi-class frameworks must incorporate multi-task spatial grounding to isolate subtle papillary projections characteristic of borderline masses.</w:t>
      </w:r>
    </w:p>
    <w:p w14:paraId="0000006B">
      <w:pPr>
        <w:pStyle w:val="style0"/>
        <w:numPr>
          <w:ilvl w:val="0"/>
          <w:numId w:val="23"/>
        </w:numPr>
        <w:pBdr>
          <w:left w:val="nil"/>
          <w:right w:val="nil"/>
          <w:top w:val="nil"/>
          <w:bottom w:val="nil"/>
          <w:between w:val="nil"/>
        </w:pBdr>
        <w:shd w:val="clear" w:color="auto" w:fill="auto"/>
        <w:ind w:left="600" w:hanging="360"/>
        <w:rPr/>
      </w:pPr>
      <w:r>
        <w:rPr>
          <w:b/>
          <w:bCs/>
        </w:rPr>
        <w:t>Patient-Level Data Leakage in Validation Protocols (Rank 4)</w:t>
      </w:r>
      <w:r>
        <w:rPr/>
        <w:t>: A significant portion of literature fails to document patient-level identifiers, performing random image-level train/test splits. This introduces data leakage across repeated patient frames, producing overoptimistic performance metrics.</w:t>
      </w:r>
    </w:p>
    <w:p w14:paraId="0000006C">
      <w:pPr>
        <w:pStyle w:val="style0"/>
        <w:numPr>
          <w:ilvl w:val="0"/>
          <w:numId w:val="23"/>
        </w:numPr>
        <w:pBdr>
          <w:left w:val="nil"/>
          <w:right w:val="nil"/>
          <w:top w:val="nil"/>
          <w:bottom w:val="nil"/>
          <w:between w:val="nil"/>
        </w:pBdr>
        <w:shd w:val="clear" w:color="auto" w:fill="auto"/>
        <w:ind w:left="600" w:hanging="360"/>
        <w:rPr/>
      </w:pPr>
      <w:r>
        <w:rPr>
          <w:b/>
          <w:bCs/>
        </w:rPr>
        <w:t>Lack of Out-of-Domain External Validation (Rank 5)</w:t>
      </w:r>
      <w:r>
        <w:rPr/>
        <w:t>: Most studies evaluate performance exclusively on internal validation splits from a single hospital or scanner vendor. Consequently, models fail to demonstrate robustness against cross-center domain shifts, such as varying ultrasound hardware, gain settings, and patient demographics.</w:t>
      </w:r>
    </w:p>
    <w:p w14:paraId="0000006D">
      <w:pPr>
        <w:pStyle w:val="style0"/>
        <w:pBdr>
          <w:left w:val="nil"/>
          <w:right w:val="nil"/>
          <w:top w:val="nil"/>
          <w:bottom w:val="nil"/>
          <w:between w:val="nil"/>
        </w:pBdr>
        <w:shd w:val="clear" w:color="auto" w:fill="auto"/>
        <w:spacing w:after="225"/>
        <w:rPr/>
      </w:pPr>
      <w:r>
        <w:rPr/>
        <w:t xml:space="preserve">| Identified Research Gap | Clinical &amp; Scientific Impact | Feasibility for Implementation | Strategic Rank | | :--- | :--- | :--- | :--- | | </w:t>
      </w:r>
      <w:r>
        <w:rPr>
          <w:b/>
          <w:bCs/>
        </w:rPr>
        <w:t>Synthetic Symbol &amp; Caliper Shortcut Learning</w:t>
      </w:r>
      <w:r>
        <w:rPr/>
        <w:t xml:space="preserve"> | High: Models memorize yellow lines and measurement markers. | High: Resolved via MGGAN symbol inpainting. | </w:t>
      </w:r>
      <w:r>
        <w:rPr>
          <w:b/>
          <w:bCs/>
        </w:rPr>
        <w:t>Rank 1 (Primary)</w:t>
      </w:r>
      <w:r>
        <w:rPr/>
        <w:t xml:space="preserve"> | | </w:t>
      </w:r>
      <w:r>
        <w:rPr>
          <w:b/>
          <w:bCs/>
        </w:rPr>
        <w:t>Uncalibrated Model Confidence &amp; Overconfidence</w:t>
      </w:r>
      <w:r>
        <w:rPr/>
        <w:t xml:space="preserve"> | High: Overconfident misclassifications impair decision support. | High: Resolved via Temperature Scaling &amp; ECE auditing. | </w:t>
      </w:r>
      <w:r>
        <w:rPr>
          <w:b/>
          <w:bCs/>
        </w:rPr>
        <w:t>Rank 2 (Primary)</w:t>
      </w:r>
      <w:r>
        <w:rPr/>
        <w:t xml:space="preserve"> | | </w:t>
      </w:r>
      <w:r>
        <w:rPr>
          <w:b/>
          <w:bCs/>
        </w:rPr>
        <w:t>Diagnostic Failure on Borderline Ovarian Tumors</w:t>
      </w:r>
      <w:r>
        <w:rPr/>
        <w:t xml:space="preserve"> | Clinical Critical: Standard CNNs yield 0% sensitivity for BOTs. | High: Resolved via Focal Loss &amp; Multi-Task coupling. | </w:t>
      </w:r>
      <w:r>
        <w:rPr>
          <w:b/>
          <w:bCs/>
        </w:rPr>
        <w:t>Rank 3 (Secondary)</w:t>
      </w:r>
      <w:r>
        <w:rPr/>
        <w:t xml:space="preserve"> | | </w:t>
      </w:r>
      <w:r>
        <w:rPr>
          <w:b/>
          <w:bCs/>
        </w:rPr>
        <w:t>Patient-Level Data Leakage in Validation Splits</w:t>
      </w:r>
      <w:r>
        <w:rPr/>
        <w:t xml:space="preserve"> | Methodological Critical: Image splits inflate validation metrics. | High: Resolved via strict Stratified Patient-Level splits. | </w:t>
      </w:r>
      <w:r>
        <w:rPr>
          <w:b/>
          <w:bCs/>
        </w:rPr>
        <w:t>Rank 4 (Secondary)</w:t>
      </w:r>
      <w:r>
        <w:rPr/>
        <w:t xml:space="preserve"> | | </w:t>
      </w:r>
      <w:r>
        <w:rPr>
          <w:b/>
          <w:bCs/>
        </w:rPr>
        <w:t>Absence of Cross-Dataset External Validation</w:t>
      </w:r>
      <w:r>
        <w:rPr/>
        <w:t xml:space="preserve"> | Clinical Critical: Models fail under cross-scanner domain shift. | Moderate: Resolved via cross-testing (MMOTU \rightarrow OvaTUS-V1). | </w:t>
      </w:r>
      <w:r>
        <w:rPr>
          <w:b/>
          <w:bCs/>
        </w:rPr>
        <w:t>Rank 5 (Secondary)</w:t>
      </w:r>
      <w:r>
        <w:rPr/>
        <w:t xml:space="preserve"> |</w:t>
      </w:r>
    </w:p>
    <w:p w14:paraId="0000006E">
      <w:pPr>
        <w:pStyle w:val="style2"/>
        <w:pBdr>
          <w:left w:val="nil"/>
          <w:right w:val="nil"/>
          <w:top w:val="nil"/>
          <w:bottom w:val="nil"/>
          <w:between w:val="nil"/>
        </w:pBdr>
        <w:shd w:val="clear" w:color="auto" w:fill="auto"/>
        <w:spacing w:before="0"/>
        <w:rPr/>
      </w:pPr>
      <w:r>
        <w:rPr/>
        <w:t>F. Candidate Research Questions</w:t>
      </w:r>
    </w:p>
    <w:p w14:paraId="0000006F">
      <w:pPr>
        <w:pStyle w:val="style0"/>
        <w:numPr>
          <w:ilvl w:val="0"/>
          <w:numId w:val="24"/>
        </w:numPr>
        <w:pBdr>
          <w:left w:val="nil"/>
          <w:right w:val="nil"/>
          <w:top w:val="nil"/>
          <w:bottom w:val="nil"/>
          <w:between w:val="nil"/>
        </w:pBdr>
        <w:shd w:val="clear" w:color="auto" w:fill="auto"/>
        <w:ind w:left="600" w:hanging="360"/>
        <w:rPr/>
      </w:pPr>
      <w:r>
        <w:rPr>
          <w:b/>
          <w:bCs/>
        </w:rPr>
        <w:t>Candidate Research Question 1</w:t>
      </w:r>
      <w:r>
        <w:rPr/>
        <w:t>: Can a lightweight Vision Transformer achieve higher binary benign-versus-malignant classification accuracy on raw B-mode ultrasound images than standard ResNet architectures?</w:t>
      </w:r>
    </w:p>
    <w:p w14:paraId="00000070">
      <w:pPr>
        <w:pStyle w:val="style0"/>
        <w:numPr>
          <w:ilvl w:val="1"/>
          <w:numId w:val="25"/>
        </w:numPr>
        <w:pBdr>
          <w:left w:val="nil"/>
          <w:right w:val="nil"/>
          <w:top w:val="nil"/>
          <w:bottom w:val="nil"/>
          <w:between w:val="nil"/>
        </w:pBdr>
        <w:shd w:val="clear" w:color="auto" w:fill="auto"/>
        <w:ind w:left="1200" w:hanging="360"/>
        <w:rPr/>
      </w:pPr>
      <w:r>
        <w:rPr>
          <w:i/>
          <w:iCs/>
        </w:rPr>
        <w:t>Evaluation</w:t>
      </w:r>
      <w:r>
        <w:rPr/>
        <w:t>: Weak. Evaluates standard architectures on raw images without addressing synthetic symbol artifacts, patient leakage, or probability calibration. High risk of repeating known literature flaws.</w:t>
      </w:r>
    </w:p>
    <w:p w14:paraId="00000071">
      <w:pPr>
        <w:pStyle w:val="style0"/>
        <w:numPr>
          <w:ilvl w:val="0"/>
          <w:numId w:val="24"/>
        </w:numPr>
        <w:pBdr>
          <w:left w:val="nil"/>
          <w:right w:val="nil"/>
          <w:top w:val="nil"/>
          <w:bottom w:val="nil"/>
          <w:between w:val="nil"/>
        </w:pBdr>
        <w:shd w:val="clear" w:color="auto" w:fill="auto"/>
        <w:ind w:left="600" w:hanging="360"/>
        <w:rPr/>
      </w:pPr>
      <w:r>
        <w:rPr>
          <w:b/>
          <w:bCs/>
        </w:rPr>
        <w:t>Candidate Research Question 2</w:t>
      </w:r>
      <w:r>
        <w:rPr/>
        <w:t>: To what extent does mask-guided GAN symbol inpainting alter the diagnostic feature representations of deep neural networks when performing multi-class ovarian tumor classification on B-mode ultrasound?</w:t>
      </w:r>
    </w:p>
    <w:p w14:paraId="00000072">
      <w:pPr>
        <w:pStyle w:val="style0"/>
        <w:numPr>
          <w:ilvl w:val="1"/>
          <w:numId w:val="26"/>
        </w:numPr>
        <w:pBdr>
          <w:left w:val="nil"/>
          <w:right w:val="nil"/>
          <w:top w:val="nil"/>
          <w:bottom w:val="nil"/>
          <w:between w:val="nil"/>
        </w:pBdr>
        <w:shd w:val="clear" w:color="auto" w:fill="auto"/>
        <w:ind w:left="1200" w:hanging="360"/>
        <w:rPr/>
      </w:pPr>
      <w:r>
        <w:rPr>
          <w:i/>
          <w:iCs/>
        </w:rPr>
        <w:t>Evaluation</w:t>
      </w:r>
      <w:r>
        <w:rPr/>
        <w:t>: Moderate. Scientifically sound regarding artifact removal, but narrow in scope if restricted to a single pre-processing ablation.</w:t>
      </w:r>
    </w:p>
    <w:p w14:paraId="00000073">
      <w:pPr>
        <w:pStyle w:val="style0"/>
        <w:numPr>
          <w:ilvl w:val="0"/>
          <w:numId w:val="24"/>
        </w:numPr>
        <w:pBdr>
          <w:left w:val="nil"/>
          <w:right w:val="nil"/>
          <w:top w:val="nil"/>
          <w:bottom w:val="nil"/>
          <w:between w:val="nil"/>
        </w:pBdr>
        <w:shd w:val="clear" w:color="auto" w:fill="auto"/>
        <w:ind w:left="600" w:hanging="360"/>
        <w:rPr/>
      </w:pPr>
      <w:r>
        <w:rPr>
          <w:b/>
          <w:bCs/>
        </w:rPr>
        <w:t>Candidate Research Question 3 (Recommended)</w:t>
      </w:r>
      <w:r>
        <w:rPr/>
        <w:t>: Can an artifact-inpainted, multi-task deep learning architecture—combining explicit lesion boundary segmentation with probability-calibrated classification—reliably stratify adnexal masses into Benign, Borderline, and Malignant categories while eliminating synthetic symbol bias and maintaining out-of-domain robustness?</w:t>
      </w:r>
    </w:p>
    <w:p w14:paraId="00000074">
      <w:pPr>
        <w:pStyle w:val="style0"/>
        <w:numPr>
          <w:ilvl w:val="1"/>
          <w:numId w:val="27"/>
        </w:numPr>
        <w:pBdr>
          <w:left w:val="nil"/>
          <w:right w:val="nil"/>
          <w:top w:val="nil"/>
          <w:bottom w:val="nil"/>
          <w:between w:val="nil"/>
        </w:pBdr>
        <w:shd w:val="clear" w:color="auto" w:fill="auto"/>
        <w:ind w:left="1200" w:hanging="360"/>
        <w:rPr/>
      </w:pPr>
      <w:r>
        <w:rPr>
          <w:i/>
          <w:iCs/>
        </w:rPr>
        <w:t>Hypothesis</w:t>
      </w:r>
      <w:r>
        <w:rPr/>
        <w:t>: Jointly optimizing pixel-level tumor segmentation and feature extraction on symbol-inpainted ultrasound images forces the network to rely on genuine anatomical tissue structures. This approach will improve Borderline Tumor sensitivity by &gt;20\% over non-segmented baselines, reduce Expected Calibration Error (ECE) below 0.05, and preserve diagnostic performance across out-of-domain ultrasound datasets.</w:t>
      </w:r>
    </w:p>
    <w:p w14:paraId="00000075">
      <w:pPr>
        <w:pStyle w:val="style0"/>
        <w:numPr>
          <w:ilvl w:val="1"/>
          <w:numId w:val="27"/>
        </w:numPr>
        <w:pBdr>
          <w:left w:val="nil"/>
          <w:right w:val="nil"/>
          <w:top w:val="nil"/>
          <w:bottom w:val="nil"/>
          <w:between w:val="nil"/>
        </w:pBdr>
        <w:shd w:val="clear" w:color="auto" w:fill="auto"/>
        <w:ind w:left="1200" w:hanging="360"/>
        <w:rPr/>
      </w:pPr>
      <w:r>
        <w:rPr>
          <w:i/>
          <w:iCs/>
        </w:rPr>
        <w:t>Evaluation</w:t>
      </w:r>
      <w:r>
        <w:rPr/>
        <w:t>: Strong scientific impact, highly feasible, clinically relevant, and suitable for high-impact publication.</w:t>
      </w:r>
    </w:p>
    <w:p w14:paraId="00000076">
      <w:pPr>
        <w:pStyle w:val="style0"/>
        <w:numPr>
          <w:ilvl w:val="0"/>
          <w:numId w:val="24"/>
        </w:numPr>
        <w:pBdr>
          <w:left w:val="nil"/>
          <w:right w:val="nil"/>
          <w:top w:val="nil"/>
          <w:bottom w:val="nil"/>
          <w:between w:val="nil"/>
        </w:pBdr>
        <w:shd w:val="clear" w:color="auto" w:fill="auto"/>
        <w:ind w:left="600" w:hanging="360"/>
        <w:rPr/>
      </w:pPr>
      <w:r>
        <w:rPr>
          <w:b/>
          <w:bCs/>
        </w:rPr>
        <w:t>Candidate Research Question 4</w:t>
      </w:r>
      <w:r>
        <w:rPr/>
        <w:t>: Does self-supervised pretraining on non-ovarian ultrasound datasets (UMTD) outperform ImageNet pretraining for 5-class ovarian cyst classification?</w:t>
      </w:r>
    </w:p>
    <w:p w14:paraId="00000077">
      <w:pPr>
        <w:pStyle w:val="style0"/>
        <w:numPr>
          <w:ilvl w:val="1"/>
          <w:numId w:val="28"/>
        </w:numPr>
        <w:pBdr>
          <w:left w:val="nil"/>
          <w:right w:val="nil"/>
          <w:top w:val="nil"/>
          <w:bottom w:val="nil"/>
          <w:between w:val="nil"/>
        </w:pBdr>
        <w:shd w:val="clear" w:color="auto" w:fill="auto"/>
        <w:ind w:left="1200" w:hanging="360"/>
        <w:rPr/>
      </w:pPr>
      <w:r>
        <w:rPr>
          <w:i/>
          <w:iCs/>
        </w:rPr>
        <w:t>Evaluation</w:t>
      </w:r>
      <w:r>
        <w:rPr/>
        <w:t>: Feasible, but secondary to addressing symbol artifacts and borderline tumor risk stratification.</w:t>
      </w:r>
    </w:p>
    <w:p w14:paraId="00000078">
      <w:pPr>
        <w:pStyle w:val="style2"/>
        <w:pBdr>
          <w:left w:val="nil"/>
          <w:right w:val="nil"/>
          <w:top w:val="nil"/>
          <w:bottom w:val="nil"/>
          <w:between w:val="nil"/>
        </w:pBdr>
        <w:shd w:val="clear" w:color="auto" w:fill="auto"/>
        <w:rPr/>
      </w:pPr>
      <w:r>
        <w:rPr/>
        <w:t>G. Recommended Research Question Selection &amp; Justification</w:t>
      </w:r>
    </w:p>
    <w:p w14:paraId="00000079">
      <w:pPr>
        <w:pStyle w:val="style0"/>
        <w:pBdr>
          <w:left w:val="nil"/>
          <w:right w:val="nil"/>
          <w:top w:val="nil"/>
          <w:bottom w:val="nil"/>
          <w:between w:val="nil"/>
        </w:pBdr>
        <w:shd w:val="clear" w:color="auto" w:fill="auto"/>
        <w:rPr/>
      </w:pPr>
      <w:r>
        <w:rPr/>
        <w:t xml:space="preserve">The recommended research question for OvaryVision is </w:t>
      </w:r>
      <w:r>
        <w:rPr>
          <w:b/>
          <w:bCs/>
        </w:rPr>
        <w:t>Candidate Research Question 3</w:t>
      </w:r>
      <w:r>
        <w:rPr/>
        <w:t>.</w:t>
      </w:r>
    </w:p>
    <w:p w14:paraId="0000007A">
      <w:pPr>
        <w:pStyle w:val="style0"/>
        <w:pBdr>
          <w:left w:val="nil"/>
          <w:right w:val="nil"/>
          <w:top w:val="nil"/>
          <w:bottom w:val="nil"/>
          <w:between w:val="nil"/>
        </w:pBdr>
        <w:shd w:val="clear" w:color="auto" w:fill="auto"/>
        <w:spacing w:after="225"/>
        <w:rPr/>
      </w:pPr>
      <w:r>
        <w:rPr/>
        <w:t>Selecting a 3-class risk-stratification formulation (Benign, Borderline, Malignant) directly mirrors clinical decision-making protocols, such as IOTA ADNEX and O-RADS, where borderline lesions require distinct fertility-sparing surgical management. Coupling 3-class classification with explicit lesion segmentation and MGGAN symbol inpainting directly targets the primary research gaps identified in current literature: shortcut learning from measurement artifacts, poor borderline tumor sensitivity, and probability miscalibration.</w:t>
      </w:r>
    </w:p>
    <w:p w14:paraId="0000007B">
      <w:pPr>
        <w:pStyle w:val="style2"/>
        <w:pBdr>
          <w:left w:val="nil"/>
          <w:right w:val="nil"/>
          <w:top w:val="nil"/>
          <w:bottom w:val="nil"/>
          <w:between w:val="nil"/>
        </w:pBdr>
        <w:shd w:val="clear" w:color="auto" w:fill="auto"/>
        <w:spacing w:before="0"/>
        <w:rPr/>
      </w:pPr>
      <w:r>
        <w:rPr/>
        <w:t>H. Machine Learning Problem Formulation &amp; Strategy</w:t>
      </w:r>
    </w:p>
    <w:p w14:paraId="0000007C">
      <w:pPr>
        <w:pStyle w:val="style0"/>
        <w:pBdr>
          <w:left w:val="nil"/>
          <w:right w:val="nil"/>
          <w:top w:val="nil"/>
          <w:bottom w:val="nil"/>
          <w:between w:val="nil"/>
        </w:pBdr>
        <w:shd w:val="clear" w:color="auto" w:fill="auto"/>
        <w:rPr/>
      </w:pPr>
      <w:r>
        <w:rPr/>
        <w:t xml:space="preserve">OvaryVision is formulated as an </w:t>
      </w:r>
      <w:r>
        <w:rPr>
          <w:b/>
          <w:bCs/>
        </w:rPr>
        <w:t>Artifact-Aware Multi-Task Learning Architecture for Joint Lesion Segmentation and Calibrated 3-Class Risk Stratification</w:t>
      </w:r>
      <w:r>
        <w:rPr/>
        <w:t>.</w:t>
      </w:r>
    </w:p>
    <w:p w14:paraId="0000007D">
      <w:pPr>
        <w:pStyle w:val="style0"/>
        <w:pBdr>
          <w:left w:val="nil"/>
          <w:right w:val="nil"/>
          <w:top w:val="nil"/>
          <w:bottom w:val="nil"/>
          <w:between w:val="nil"/>
        </w:pBdr>
        <w:shd w:val="clear" w:color="auto" w:fill="auto"/>
        <w:spacing w:after="240"/>
        <w:rPr>
          <w:rFonts w:ascii="Arial" w:cs="Arial" w:eastAsia="Arial" w:hAnsi="Arial"/>
        </w:rPr>
      </w:pPr>
      <w:r>
        <w:rPr>
          <w:rFonts w:ascii="Arial" w:cs="Arial" w:eastAsia="Arial" w:hAnsi="Arial"/>
        </w:rPr>
        <w:t xml:space="preserve">  [ Inpainted B-Mode Scan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Shared Spatial Feature Encoder   │ (ConvNeXt-Base Backbone)</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Task 1: U-Net Lesion Decoder     │       │ Task 2: Spatial Attention Head   │</w:t>
      </w:r>
      <w:r>
        <w:rPr>
          <w:rFonts w:ascii="Arial" w:cs="Arial" w:eastAsia="Arial" w:hAnsi="Arial"/>
        </w:rPr>
        <w:br/>
      </w:r>
      <w:r>
        <w:rPr>
          <w:rFonts w:ascii="Arial" w:cs="Arial" w:eastAsia="Arial" w:hAnsi="Arial"/>
        </w:rPr>
        <w:t xml:space="preserve">  │ (Pixel-Wise Segmentation Mask)   │       │ (3-Class Classification Head)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Lesion Segmentation Loss ]               [ Calibrated Probability Output ]</w:t>
      </w:r>
      <w:r>
        <w:rPr>
          <w:rFonts w:ascii="Arial" w:cs="Arial" w:eastAsia="Arial" w:hAnsi="Arial"/>
        </w:rPr>
        <w:br/>
      </w:r>
      <w:r>
        <w:rPr>
          <w:rFonts w:ascii="Arial" w:cs="Arial" w:eastAsia="Arial" w:hAnsi="Arial"/>
        </w:rPr>
        <w:t xml:space="preserve">      (Dice + BCE Loss)                        (Benign / Borderline / Malignant)</w:t>
      </w:r>
      <w:r>
        <w:rPr>
          <w:rFonts w:ascii="Arial" w:cs="Arial" w:eastAsia="Arial" w:hAnsi="Arial"/>
        </w:rPr>
        <w:br/>
      </w:r>
    </w:p>
    <w:p w14:paraId="0000007E">
      <w:pPr>
        <w:pStyle w:val="style3"/>
        <w:pBdr>
          <w:left w:val="nil"/>
          <w:right w:val="nil"/>
          <w:top w:val="nil"/>
          <w:bottom w:val="nil"/>
          <w:between w:val="nil"/>
        </w:pBdr>
        <w:shd w:val="clear" w:color="auto" w:fill="auto"/>
        <w:spacing w:before="0"/>
        <w:rPr/>
      </w:pPr>
      <w:r>
        <w:rPr/>
        <w:t>Strategic Rationale</w:t>
      </w:r>
    </w:p>
    <w:p w14:paraId="0000007F">
      <w:pPr>
        <w:pStyle w:val="style0"/>
        <w:numPr>
          <w:ilvl w:val="0"/>
          <w:numId w:val="29"/>
        </w:numPr>
        <w:pBdr>
          <w:left w:val="nil"/>
          <w:right w:val="nil"/>
          <w:top w:val="nil"/>
          <w:bottom w:val="nil"/>
          <w:between w:val="nil"/>
        </w:pBdr>
        <w:shd w:val="clear" w:color="auto" w:fill="auto"/>
        <w:ind w:left="600" w:hanging="360"/>
        <w:rPr/>
      </w:pPr>
      <w:r>
        <w:rPr>
          <w:b/>
          <w:bCs/>
        </w:rPr>
        <w:t>Binary Classification is Clinically Insufficient</w:t>
      </w:r>
      <w:r>
        <w:rPr/>
        <w:t>: Binary models force borderline ovarian tumors into rigid benign or malignant categories, leading to inappropriate surgical staging or delayed interventions. A 3-class system aligns directly with clinical management pathways.</w:t>
      </w:r>
    </w:p>
    <w:p w14:paraId="00000080">
      <w:pPr>
        <w:pStyle w:val="style0"/>
        <w:numPr>
          <w:ilvl w:val="0"/>
          <w:numId w:val="29"/>
        </w:numPr>
        <w:pBdr>
          <w:left w:val="nil"/>
          <w:right w:val="nil"/>
          <w:top w:val="nil"/>
          <w:bottom w:val="nil"/>
          <w:between w:val="nil"/>
        </w:pBdr>
        <w:shd w:val="clear" w:color="auto" w:fill="auto"/>
        <w:ind w:left="600" w:hanging="360"/>
        <w:rPr/>
      </w:pPr>
      <w:r>
        <w:rPr>
          <w:b/>
          <w:bCs/>
        </w:rPr>
        <w:t>Multi-Task Anatomical Regularization</w:t>
      </w:r>
      <w:r>
        <w:rPr/>
        <w:t>: Forcing the shared encoder to output a pixel-wise tumor segmentation mask provides spatial regularization. This prevents the network from attending to un-inpainted acoustic noise or peripheral scanner text.</w:t>
      </w:r>
    </w:p>
    <w:p w14:paraId="00000081">
      <w:pPr>
        <w:pStyle w:val="style0"/>
        <w:numPr>
          <w:ilvl w:val="0"/>
          <w:numId w:val="29"/>
        </w:numPr>
        <w:pBdr>
          <w:left w:val="nil"/>
          <w:right w:val="nil"/>
          <w:top w:val="nil"/>
          <w:bottom w:val="nil"/>
          <w:between w:val="nil"/>
        </w:pBdr>
        <w:shd w:val="clear" w:color="auto" w:fill="auto"/>
        <w:ind w:left="600" w:hanging="360"/>
        <w:rPr/>
      </w:pPr>
      <w:r>
        <w:rPr>
          <w:b/>
          <w:bCs/>
        </w:rPr>
        <w:t>Symbol Inpainting Preprocessing</w:t>
      </w:r>
      <w:r>
        <w:rPr/>
        <w:t>: Input images pass through an MGGAN module to remove measurement lines, text annotations, and caliper crosses, replacing them with acoustically matched background tissue.</w:t>
      </w:r>
    </w:p>
    <w:p w14:paraId="00000082">
      <w:pPr>
        <w:pStyle w:val="style3"/>
        <w:pBdr>
          <w:left w:val="nil"/>
          <w:right w:val="nil"/>
          <w:top w:val="nil"/>
          <w:bottom w:val="nil"/>
          <w:between w:val="nil"/>
        </w:pBdr>
        <w:shd w:val="clear" w:color="auto" w:fill="auto"/>
        <w:rPr/>
      </w:pPr>
      <w:r>
        <w:rPr/>
        <w:t>Methodology Specifications</w:t>
      </w:r>
    </w:p>
    <w:p w14:paraId="00000083">
      <w:pPr>
        <w:pStyle w:val="style0"/>
        <w:numPr>
          <w:ilvl w:val="0"/>
          <w:numId w:val="30"/>
        </w:numPr>
        <w:pBdr>
          <w:left w:val="nil"/>
          <w:right w:val="nil"/>
          <w:top w:val="nil"/>
          <w:bottom w:val="nil"/>
          <w:between w:val="nil"/>
        </w:pBdr>
        <w:shd w:val="clear" w:color="auto" w:fill="auto"/>
        <w:ind w:left="600" w:hanging="360"/>
        <w:rPr/>
      </w:pPr>
      <w:r>
        <w:rPr>
          <w:b/>
          <w:bCs/>
        </w:rPr>
        <w:t>Inclusion Criteria</w:t>
      </w:r>
      <w:r>
        <w:rPr/>
        <w:t>: B-mode pelvic ultrasound scans depicting adnexal masses with confirmed histopathological ground truth labels or consensus radiologist annotations.</w:t>
      </w:r>
    </w:p>
    <w:p w14:paraId="00000084">
      <w:pPr>
        <w:pStyle w:val="style0"/>
        <w:numPr>
          <w:ilvl w:val="0"/>
          <w:numId w:val="30"/>
        </w:numPr>
        <w:pBdr>
          <w:left w:val="nil"/>
          <w:right w:val="nil"/>
          <w:top w:val="nil"/>
          <w:bottom w:val="nil"/>
          <w:between w:val="nil"/>
        </w:pBdr>
        <w:shd w:val="clear" w:color="auto" w:fill="auto"/>
        <w:ind w:left="600" w:hanging="360"/>
        <w:rPr/>
      </w:pPr>
      <w:r>
        <w:rPr>
          <w:b/>
          <w:bCs/>
        </w:rPr>
        <w:t>Exclusion Criteria</w:t>
      </w:r>
      <w:r>
        <w:rPr/>
        <w:t>: Non-ovarian pelvic pathologies, extreme motion artifacts, and scans lacking definitive histopathological confirmation.</w:t>
      </w:r>
    </w:p>
    <w:p w14:paraId="00000085">
      <w:pPr>
        <w:pStyle w:val="style0"/>
        <w:numPr>
          <w:ilvl w:val="0"/>
          <w:numId w:val="30"/>
        </w:numPr>
        <w:pBdr>
          <w:left w:val="nil"/>
          <w:right w:val="nil"/>
          <w:top w:val="nil"/>
          <w:bottom w:val="nil"/>
          <w:between w:val="nil"/>
        </w:pBdr>
        <w:shd w:val="clear" w:color="auto" w:fill="auto"/>
        <w:ind w:left="600" w:hanging="360"/>
        <w:rPr/>
      </w:pPr>
      <w:r>
        <w:rPr>
          <w:b/>
          <w:bCs/>
        </w:rPr>
        <w:t>Target Label Definitions</w:t>
      </w:r>
      <w:r>
        <w:rPr/>
        <w:t>:</w:t>
      </w:r>
    </w:p>
    <w:p w14:paraId="00000086">
      <w:pPr>
        <w:pStyle w:val="style0"/>
        <w:numPr>
          <w:ilvl w:val="1"/>
          <w:numId w:val="31"/>
        </w:numPr>
        <w:pBdr>
          <w:left w:val="nil"/>
          <w:right w:val="nil"/>
          <w:top w:val="nil"/>
          <w:bottom w:val="nil"/>
          <w:between w:val="nil"/>
        </w:pBdr>
        <w:shd w:val="clear" w:color="auto" w:fill="auto"/>
        <w:ind w:left="1200" w:hanging="360"/>
        <w:rPr/>
      </w:pPr>
      <w:r>
        <w:rPr>
          <w:i/>
          <w:iCs/>
        </w:rPr>
        <w:t>Class 0 (Benign)</w:t>
      </w:r>
      <w:r>
        <w:rPr/>
        <w:t>: Functional cysts, serous/mucinous cystadenomas, endometriomas, mature teratomas, and fibromas.</w:t>
      </w:r>
    </w:p>
    <w:p w14:paraId="00000087">
      <w:pPr>
        <w:pStyle w:val="style0"/>
        <w:numPr>
          <w:ilvl w:val="1"/>
          <w:numId w:val="31"/>
        </w:numPr>
        <w:pBdr>
          <w:left w:val="nil"/>
          <w:right w:val="nil"/>
          <w:top w:val="nil"/>
          <w:bottom w:val="nil"/>
          <w:between w:val="nil"/>
        </w:pBdr>
        <w:shd w:val="clear" w:color="auto" w:fill="auto"/>
        <w:ind w:left="1200" w:hanging="360"/>
        <w:rPr/>
      </w:pPr>
      <w:r>
        <w:rPr>
          <w:i/>
          <w:iCs/>
        </w:rPr>
        <w:t>Class 1 (Borderline)</w:t>
      </w:r>
      <w:r>
        <w:rPr/>
        <w:t>: Borderline serous and mucinous tumors exhibiting atypical cellular proliferation without stromal invasion.</w:t>
      </w:r>
    </w:p>
    <w:p w14:paraId="00000088">
      <w:pPr>
        <w:pStyle w:val="style0"/>
        <w:numPr>
          <w:ilvl w:val="1"/>
          <w:numId w:val="31"/>
        </w:numPr>
        <w:pBdr>
          <w:left w:val="nil"/>
          <w:right w:val="nil"/>
          <w:top w:val="nil"/>
          <w:bottom w:val="nil"/>
          <w:between w:val="nil"/>
        </w:pBdr>
        <w:shd w:val="clear" w:color="auto" w:fill="auto"/>
        <w:ind w:left="1200" w:hanging="360"/>
        <w:rPr/>
      </w:pPr>
      <w:r>
        <w:rPr>
          <w:i/>
          <w:iCs/>
        </w:rPr>
        <w:t>Class 2 (Malignant)</w:t>
      </w:r>
      <w:r>
        <w:rPr/>
        <w:t>: Primary invasive carcinomas (high-grade serous, endometrioid, clear cell) and metastatic lesions.</w:t>
      </w:r>
    </w:p>
    <w:p w14:paraId="00000089">
      <w:pPr>
        <w:pStyle w:val="style2"/>
        <w:pBdr>
          <w:left w:val="nil"/>
          <w:right w:val="nil"/>
          <w:top w:val="nil"/>
          <w:bottom w:val="nil"/>
          <w:between w:val="nil"/>
        </w:pBdr>
        <w:shd w:val="clear" w:color="auto" w:fill="auto"/>
        <w:rPr/>
      </w:pPr>
      <w:r>
        <w:rPr/>
        <w:t>I. Proposed OvaryVision System Architecture</w:t>
      </w:r>
    </w:p>
    <w:p w14:paraId="0000008A">
      <w:pPr>
        <w:pStyle w:val="style0"/>
        <w:pBdr>
          <w:left w:val="nil"/>
          <w:right w:val="nil"/>
          <w:top w:val="nil"/>
          <w:bottom w:val="nil"/>
          <w:between w:val="nil"/>
        </w:pBdr>
        <w:shd w:val="clear" w:color="auto" w:fill="auto"/>
        <w:rPr/>
      </w:pPr>
      <w:r>
        <w:rPr/>
        <w:t>OvaryVision utilizes a modular multi-task architecture engineered for artifact removal, spatial localization, multi-class classification, and probability calibration:</w:t>
      </w:r>
    </w:p>
    <w:p w14:paraId="0000008B">
      <w:pPr>
        <w:pStyle w:val="style0"/>
        <w:pBdr>
          <w:left w:val="nil"/>
          <w:right w:val="nil"/>
          <w:top w:val="nil"/>
          <w:bottom w:val="nil"/>
          <w:between w:val="nil"/>
        </w:pBdr>
        <w:shd w:val="clear" w:color="auto" w:fill="auto"/>
        <w:spacing w:after="240"/>
        <w:rPr>
          <w:rFonts w:ascii="Arial" w:cs="Arial" w:eastAsia="Arial" w:hAnsi="Arial"/>
        </w:rPr>
      </w:pPr>
      <w:r>
        <w:rPr>
          <w:rFonts w:ascii="Arial" w:cs="Arial" w:eastAsia="Arial" w:hAnsi="Arial"/>
        </w:rPr>
        <w:t xml:space="preserve">                  [ Raw B-Mode Ultrasound Image ]</w:t>
      </w:r>
      <w:r>
        <w:rPr>
          <w:rFonts w:ascii="Arial" w:cs="Arial" w:eastAsia="Arial" w:hAnsi="Arial"/>
        </w:rPr>
        <w:br/>
      </w:r>
      <w:r>
        <w:rPr>
          <w:rFonts w:ascii="Arial" w:cs="Arial" w:eastAsia="Arial" w:hAnsi="Arial"/>
        </w:rPr>
        <w:t xml:space="preserve">  [span_24](start_span)[span_24](end_span)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┌───────────────[span_25](start_span)[span_25](end_span)───────────────────┐</w:t>
      </w:r>
      <w:r>
        <w:rPr>
          <w:rFonts w:ascii="Arial" w:cs="Arial" w:eastAsia="Arial" w:hAnsi="Arial"/>
        </w:rPr>
        <w:br/>
      </w:r>
      <w:r>
        <w:rPr>
          <w:rFonts w:ascii="Arial" w:cs="Arial" w:eastAsia="Arial" w:hAnsi="Arial"/>
        </w:rPr>
        <w:t xml:space="preserve">                │   Quality Control &amp; Artifact     │</w:t>
      </w:r>
      <w:r>
        <w:rPr>
          <w:rFonts w:ascii="Arial" w:cs="Arial" w:eastAsia="Arial" w:hAnsi="Arial"/>
        </w:rPr>
        <w:br/>
      </w:r>
      <w:r>
        <w:rPr>
          <w:rFonts w:ascii="Arial" w:cs="Arial" w:eastAsia="Arial" w:hAnsi="Arial"/>
        </w:rPr>
        <w:t xml:space="preserve">                │         Detection Audit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[span_26](start_span)[span_26](end_span)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MGGAN Symbol Inpainting Module   │ (Removes Calipers, Text &amp; [span_121](start_span)[span_121](end_span)Lines)</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[span_91](start_span)[span_91](end_span)[span_93](start_span)[span_93](end_span)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Speckle-Preserving Contrast      │ (CLAHE &amp; Bilateral Filtering)</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Shared Encoder (ConvNeXt-Base)   │ (Extracts Multi-Scale Features)</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w:t>
      </w:r>
      <w:r>
        <w:rPr>
          <w:rFonts w:ascii="Arial" w:cs="Arial" w:eastAsia="Arial" w:hAnsi="Arial"/>
        </w:rPr>
        <w:br/>
      </w:r>
      <w:r>
        <w:rPr>
          <w:rFonts w:ascii="Arial" w:cs="Arial" w:eastAsia="Arial" w:hAnsi="Arial"/>
        </w:rPr>
        <w:t>│ Task A: U-Net Decoder Head       │          │ Task B: Spatial Attention Head   │</w:t>
      </w:r>
      <w:r>
        <w:rPr>
          <w:rFonts w:ascii="Arial" w:cs="Arial" w:eastAsia="Arial" w:hAnsi="Arial"/>
        </w:rPr>
        <w:br/>
      </w:r>
      <w:r>
        <w:rPr>
          <w:rFonts w:ascii="Arial" w:cs="Arial" w:eastAsia="Arial" w:hAnsi="Arial"/>
        </w:rPr>
        <w:t>└────────────────┬─────────────────┘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Pixel-Wise Tumor Mask ]                ┌──────────────────────────────────┐</w:t>
      </w:r>
      <w:r>
        <w:rPr>
          <w:rFonts w:ascii="Arial" w:cs="Arial" w:eastAsia="Arial" w:hAnsi="Arial"/>
        </w:rPr>
        <w:br/>
      </w:r>
      <w:r>
        <w:rPr>
          <w:rFonts w:ascii="Arial" w:cs="Arial" w:eastAsia="Arial" w:hAnsi="Arial"/>
        </w:rPr>
        <w:t xml:space="preserve">      (Dice + BCE Loss)                       │ Weighted Focal Loss Head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Temperature Scaling Calibration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Grad-CAM++ &amp; MC-Dropout Module   │ (Visual XAI &amp; Epistemic Uncertainty)</w:t>
      </w:r>
      <w:r>
        <w:rPr>
          <w:rFonts w:ascii="Arial" w:cs="Arial" w:eastAsia="Arial" w:hAnsi="Arial"/>
        </w:rPr>
        <w:br/>
      </w:r>
      <w:r>
        <w:rPr>
          <w:rFonts w:ascii="Arial" w:cs="Arial" w:eastAsia="Arial" w:hAnsi="Arial"/>
        </w:rPr>
        <w:t xml:space="preserve">                                              └──────────────────────────────────┘</w:t>
      </w:r>
      <w:r>
        <w:rPr>
          <w:rFonts w:ascii="Arial" w:cs="Arial" w:eastAsia="Arial" w:hAnsi="Arial"/>
        </w:rPr>
        <w:br/>
      </w:r>
    </w:p>
    <w:p w14:paraId="0000008C">
      <w:pPr>
        <w:pStyle w:val="style3"/>
        <w:pBdr>
          <w:left w:val="nil"/>
          <w:right w:val="nil"/>
          <w:top w:val="nil"/>
          <w:bottom w:val="nil"/>
          <w:between w:val="nil"/>
        </w:pBdr>
        <w:shd w:val="clear" w:color="auto" w:fill="auto"/>
        <w:spacing w:before="0"/>
        <w:rPr/>
      </w:pPr>
      <w:r>
        <w:rPr/>
        <w:t>Pipeline Modules</w:t>
      </w:r>
    </w:p>
    <w:p w14:paraId="0000008D">
      <w:pPr>
        <w:pStyle w:val="style0"/>
        <w:numPr>
          <w:ilvl w:val="0"/>
          <w:numId w:val="32"/>
        </w:numPr>
        <w:pBdr>
          <w:left w:val="nil"/>
          <w:right w:val="nil"/>
          <w:top w:val="nil"/>
          <w:bottom w:val="nil"/>
          <w:between w:val="nil"/>
        </w:pBdr>
        <w:shd w:val="clear" w:color="auto" w:fill="auto"/>
        <w:ind w:left="600" w:hanging="360"/>
        <w:rPr/>
      </w:pPr>
      <w:r>
        <w:rPr>
          <w:b/>
          <w:bCs/>
        </w:rPr>
        <w:t>MGGAN Artifact Inpainting Module</w:t>
      </w:r>
      <w:r>
        <w:rPr/>
        <w:t>: Raw ultrasound scans pass through a Mask-Guided Generative Adversarial Network (MGGAN) using Fast Fourier Convolutions (FFC). MGGAN detects synthetic measurement symbols, text overlays, and doctor-annotated boundary lines, inpainting those regions with structurally consistent ultrasound echotexture.</w:t>
      </w:r>
    </w:p>
    <w:p w14:paraId="0000008E">
      <w:pPr>
        <w:pStyle w:val="style0"/>
        <w:numPr>
          <w:ilvl w:val="0"/>
          <w:numId w:val="32"/>
        </w:numPr>
        <w:pBdr>
          <w:left w:val="nil"/>
          <w:right w:val="nil"/>
          <w:top w:val="nil"/>
          <w:bottom w:val="nil"/>
          <w:between w:val="nil"/>
        </w:pBdr>
        <w:shd w:val="clear" w:color="auto" w:fill="auto"/>
        <w:ind w:left="600" w:hanging="360"/>
        <w:rPr/>
      </w:pPr>
      <w:r>
        <w:rPr>
          <w:b/>
          <w:bCs/>
        </w:rPr>
        <w:t>Shared Multi-Scale Spatial Encoder</w:t>
      </w:r>
      <w:r>
        <w:rPr/>
        <w:t>: The inpainted B-mode image \mathbf{X} \in \mathbb{R}^{H \times W \times 3} enters a ConvNeXt-Base backbone pretrained on ImageNet-22k and fine-tuned on ultrasound feature maps. ConvNeXt provides inductive bias suited for B-mode speckle texture while maintaining wide receptive fields. Hierarchical feature maps are extracted across four scales: \{\mathbf{F}_1, \mathbf{F}_2, \mathbf{F}_3, \mathbf{F}_4\}.</w:t>
      </w:r>
    </w:p>
    <w:p w14:paraId="0000008F">
      <w:pPr>
        <w:pStyle w:val="style0"/>
        <w:numPr>
          <w:ilvl w:val="0"/>
          <w:numId w:val="32"/>
        </w:numPr>
        <w:pBdr>
          <w:left w:val="nil"/>
          <w:right w:val="nil"/>
          <w:top w:val="nil"/>
          <w:bottom w:val="nil"/>
          <w:between w:val="nil"/>
        </w:pBdr>
        <w:shd w:val="clear" w:color="auto" w:fill="auto"/>
        <w:ind w:left="600" w:hanging="360"/>
        <w:rPr/>
      </w:pPr>
      <w:r>
        <w:rPr>
          <w:b/>
          <w:bCs/>
        </w:rPr>
        <w:t>Multi-Task Decoders</w:t>
      </w:r>
      <w:r>
        <w:rPr/>
        <w:t>:</w:t>
      </w:r>
    </w:p>
    <w:p w14:paraId="00000090">
      <w:pPr>
        <w:pStyle w:val="style0"/>
        <w:numPr>
          <w:ilvl w:val="1"/>
          <w:numId w:val="33"/>
        </w:numPr>
        <w:pBdr>
          <w:left w:val="nil"/>
          <w:right w:val="nil"/>
          <w:top w:val="nil"/>
          <w:bottom w:val="nil"/>
          <w:between w:val="nil"/>
        </w:pBdr>
        <w:shd w:val="clear" w:color="auto" w:fill="auto"/>
        <w:ind w:left="1200" w:hanging="360"/>
        <w:rPr/>
      </w:pPr>
      <w:r>
        <w:rPr>
          <w:i/>
          <w:iCs/>
        </w:rPr>
        <w:t>Task A (Segmentation Decoder)</w:t>
      </w:r>
      <w:r>
        <w:rPr/>
        <w:t>: A U-Net style feature pyramid decoder reconstructs spatial resolution from \{\mathbf{F}_1, \dots, \mathbf{F}_4\}, generating a single-channel binary segmentation mask \hat{\mathbf{M}} \in \mathbb{R}^{H \times W}.</w:t>
      </w:r>
    </w:p>
    <w:p w14:paraId="00000091">
      <w:pPr>
        <w:pStyle w:val="style0"/>
        <w:numPr>
          <w:ilvl w:val="1"/>
          <w:numId w:val="33"/>
        </w:numPr>
        <w:pBdr>
          <w:left w:val="nil"/>
          <w:right w:val="nil"/>
          <w:top w:val="nil"/>
          <w:bottom w:val="nil"/>
          <w:between w:val="nil"/>
        </w:pBdr>
        <w:shd w:val="clear" w:color="auto" w:fill="auto"/>
        <w:ind w:left="1200" w:hanging="360"/>
        <w:rPr/>
      </w:pPr>
      <w:r>
        <w:rPr>
          <w:i/>
          <w:iCs/>
        </w:rPr>
        <w:t>Task B (Classification Attention Head)</w:t>
      </w:r>
      <w:r>
        <w:rPr/>
        <w:t>: High-level feature map \mathbf{F}_4 passes through a Convolutional Block Attention Module (CBAM) that weights features using spatial guidance from the segmentation branch. The pooled feature vector \mathbf{z} \in \mathbb{R}^{1024} projects to raw logits \mathbf{y} = [y_{\text{benign}}, y_{\text{borderline}}, y_{\text{malignant}}].</w:t>
      </w:r>
    </w:p>
    <w:p w14:paraId="00000092">
      <w:pPr>
        <w:pStyle w:val="style0"/>
        <w:numPr>
          <w:ilvl w:val="0"/>
          <w:numId w:val="32"/>
        </w:numPr>
        <w:pBdr>
          <w:left w:val="nil"/>
          <w:right w:val="nil"/>
          <w:top w:val="nil"/>
          <w:bottom w:val="nil"/>
          <w:between w:val="nil"/>
        </w:pBdr>
        <w:shd w:val="clear" w:color="auto" w:fill="auto"/>
        <w:ind w:left="600" w:hanging="360"/>
        <w:rPr/>
      </w:pPr>
      <w:r>
        <w:rPr>
          <w:b/>
          <w:bCs/>
        </w:rPr>
        <w:t>Probability Calibration Module</w:t>
      </w:r>
      <w:r>
        <w:rPr/>
        <w:t>: Raw classification logits pass through Post-Hoc Temperature Scaling (T^*) to yield calibrated confidence probabilities:</w:t>
      </w:r>
    </w:p>
    <w:p w14:paraId="0000009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00" w:right="0" w:firstLine="0"/>
        <w:jc w:val="left"/>
        <w:rPr/>
      </w:pPr>
      <w:r>
        <w:rPr/>
        <w:t>\hat{p}_k = \frac{\exp(y_k / T^*)}{\sum_{j=1}^{K} \exp(y_j / T^*)}</w:t>
      </w:r>
    </w:p>
    <w:p w14:paraId="00000094">
      <w:pPr>
        <w:pStyle w:val="style0"/>
        <w:numPr>
          <w:ilvl w:val="0"/>
          <w:numId w:val="34"/>
        </w:numPr>
        <w:pBdr>
          <w:left w:val="nil"/>
          <w:right w:val="nil"/>
          <w:top w:val="nil"/>
          <w:bottom w:val="nil"/>
          <w:between w:val="nil"/>
        </w:pBdr>
        <w:shd w:val="clear" w:color="auto" w:fill="auto"/>
        <w:ind w:left="600" w:hanging="360"/>
        <w:rPr/>
      </w:pPr>
      <w:r>
        <w:rPr>
          <w:b/>
          <w:bCs/>
        </w:rPr>
        <w:t>Explainability and Uncertainty Unit</w:t>
      </w:r>
      <w:r>
        <w:rPr/>
        <w:t>: Attribution maps are generated via Grad-CAM++, while epistemic model uncertainty is estimated using Monte Carlo Dropout over N=50 stochastic forward passes.</w:t>
      </w:r>
    </w:p>
    <w:p w14:paraId="00000095">
      <w:pPr>
        <w:pStyle w:val="style2"/>
        <w:pBdr>
          <w:left w:val="nil"/>
          <w:right w:val="nil"/>
          <w:top w:val="nil"/>
          <w:bottom w:val="nil"/>
          <w:between w:val="nil"/>
        </w:pBdr>
        <w:shd w:val="clear" w:color="auto" w:fill="auto"/>
        <w:spacing w:after="240"/>
        <w:rPr/>
      </w:pPr>
      <w:r>
        <w:rPr/>
        <w:t>J. Rigorous Experimental Protocol</w:t>
      </w:r>
    </w:p>
    <w:p w14:paraId="00000096">
      <w:pPr>
        <w:pStyle w:val="style3"/>
        <w:pBdr>
          <w:left w:val="nil"/>
          <w:right w:val="nil"/>
          <w:top w:val="nil"/>
          <w:bottom w:val="nil"/>
          <w:between w:val="nil"/>
        </w:pBdr>
        <w:shd w:val="clear" w:color="auto" w:fill="auto"/>
        <w:spacing w:before="0"/>
        <w:rPr/>
      </w:pPr>
      <w:r>
        <w:rPr/>
        <w:t>Data Partitioning and Splitting Rules</w:t>
      </w:r>
    </w:p>
    <w:p w14:paraId="00000097">
      <w:pPr>
        <w:pStyle w:val="style0"/>
        <w:pBdr>
          <w:left w:val="nil"/>
          <w:right w:val="nil"/>
          <w:top w:val="nil"/>
          <w:bottom w:val="nil"/>
          <w:between w:val="nil"/>
        </w:pBdr>
        <w:shd w:val="clear" w:color="auto" w:fill="auto"/>
        <w:rPr/>
      </w:pPr>
      <w:r>
        <w:rPr/>
        <w:t>To eliminate patient-level data leakage, partitioning strictly enforces Stratified Patient-Level Grouping:</w:t>
      </w:r>
    </w:p>
    <w:p w14:paraId="00000098">
      <w:pPr>
        <w:pStyle w:val="style0"/>
        <w:numPr>
          <w:ilvl w:val="0"/>
          <w:numId w:val="2"/>
        </w:numPr>
        <w:pBdr>
          <w:left w:val="nil"/>
          <w:right w:val="nil"/>
          <w:top w:val="nil"/>
          <w:bottom w:val="nil"/>
          <w:between w:val="nil"/>
        </w:pBdr>
        <w:shd w:val="clear" w:color="auto" w:fill="auto"/>
        <w:ind w:left="600" w:hanging="360"/>
        <w:rPr/>
      </w:pPr>
      <w:r>
        <w:rPr>
          <w:b/>
          <w:bCs/>
        </w:rPr>
        <w:t>Split Ratio</w:t>
      </w:r>
      <w:r>
        <w:rPr/>
        <w:t>: 70% Training, 15% Validation, 15% Hold-Out Testing.</w:t>
      </w:r>
    </w:p>
    <w:p w14:paraId="00000099">
      <w:pPr>
        <w:pStyle w:val="style0"/>
        <w:numPr>
          <w:ilvl w:val="0"/>
          <w:numId w:val="2"/>
        </w:numPr>
        <w:pBdr>
          <w:left w:val="nil"/>
          <w:right w:val="nil"/>
          <w:top w:val="nil"/>
          <w:bottom w:val="nil"/>
          <w:between w:val="nil"/>
        </w:pBdr>
        <w:shd w:val="clear" w:color="auto" w:fill="auto"/>
        <w:ind w:left="600" w:hanging="360"/>
        <w:rPr/>
      </w:pPr>
      <w:r>
        <w:rPr>
          <w:b/>
          <w:bCs/>
        </w:rPr>
        <w:t>Stratification Rules</w:t>
      </w:r>
      <w:r>
        <w:rPr/>
        <w:t>: Patient IDs are assigned to a single split partition. All frames derived from Patient P_i are restricted to either Training, Validation, or Testing. Stratification preserves balanced proportions of Benign, Borderline, and Malignant pathologies across all subsets.</w:t>
      </w:r>
    </w:p>
    <w:p w14:paraId="0000009A">
      <w:pPr>
        <w:pStyle w:val="style0"/>
        <w:numPr>
          <w:ilvl w:val="0"/>
          <w:numId w:val="2"/>
        </w:numPr>
        <w:pBdr>
          <w:left w:val="nil"/>
          <w:right w:val="nil"/>
          <w:top w:val="nil"/>
          <w:bottom w:val="nil"/>
          <w:between w:val="nil"/>
        </w:pBdr>
        <w:shd w:val="clear" w:color="auto" w:fill="auto"/>
        <w:ind w:left="600" w:hanging="360"/>
        <w:rPr/>
      </w:pPr>
      <w:r>
        <w:rPr>
          <w:b/>
          <w:bCs/>
        </w:rPr>
        <w:t>Nested Cross-Validation</w:t>
      </w:r>
      <w:r>
        <w:rPr/>
        <w:t>: 5-fold outer cross-validation for reporting performance, with 3-fold inner cross-validation for hyperparameter tuning.</w:t>
      </w:r>
    </w:p>
    <w:p w14:paraId="0000009B">
      <w:pPr>
        <w:pStyle w:val="style3"/>
        <w:pBdr>
          <w:left w:val="nil"/>
          <w:right w:val="nil"/>
          <w:top w:val="nil"/>
          <w:bottom w:val="nil"/>
          <w:between w:val="nil"/>
        </w:pBdr>
        <w:shd w:val="clear" w:color="auto" w:fill="auto"/>
        <w:rPr/>
      </w:pPr>
      <w:r>
        <w:rPr/>
        <w:t>Data Augmentation Strategy</w:t>
      </w:r>
    </w:p>
    <w:p w14:paraId="0000009C">
      <w:pPr>
        <w:pStyle w:val="style0"/>
        <w:numPr>
          <w:ilvl w:val="0"/>
          <w:numId w:val="3"/>
        </w:numPr>
        <w:pBdr>
          <w:left w:val="nil"/>
          <w:right w:val="nil"/>
          <w:top w:val="nil"/>
          <w:bottom w:val="nil"/>
          <w:between w:val="nil"/>
        </w:pBdr>
        <w:shd w:val="clear" w:color="auto" w:fill="auto"/>
        <w:ind w:left="600" w:hanging="360"/>
        <w:rPr/>
      </w:pPr>
      <w:r>
        <w:rPr>
          <w:b/>
          <w:bCs/>
        </w:rPr>
        <w:t>Permissible Transformations</w:t>
      </w:r>
      <w:r>
        <w:rPr/>
        <w:t>: Isotropic scaling (0.9\times to 1.1\times), horizontal flipping (anatomically valid), random rotation (\pm 15^\circ), and spatial translation.</w:t>
      </w:r>
    </w:p>
    <w:p w14:paraId="0000009D">
      <w:pPr>
        <w:pStyle w:val="style0"/>
        <w:numPr>
          <w:ilvl w:val="0"/>
          <w:numId w:val="3"/>
        </w:numPr>
        <w:pBdr>
          <w:left w:val="nil"/>
          <w:right w:val="nil"/>
          <w:top w:val="nil"/>
          <w:bottom w:val="nil"/>
          <w:between w:val="nil"/>
        </w:pBdr>
        <w:shd w:val="clear" w:color="auto" w:fill="auto"/>
        <w:ind w:left="600" w:hanging="360"/>
        <w:rPr/>
      </w:pPr>
      <w:r>
        <w:rPr>
          <w:b/>
          <w:bCs/>
        </w:rPr>
        <w:t>Acoustic &amp; Speckle Transformations</w:t>
      </w:r>
      <w:r>
        <w:rPr/>
        <w:t>: Gamma correction (\gamma \in [0.8, 1.2] to simulate dynamic range variations), Contrast Limited Adaptive Histogram Equalization (CLAHE), and multiplicative Rayleigh speckle noise injection:</w:t>
      </w:r>
    </w:p>
    <w:p w14:paraId="0000009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00" w:right="0" w:firstLine="0"/>
        <w:jc w:val="left"/>
        <w:rPr/>
      </w:pPr>
      <w:r>
        <w:rPr/>
        <w:t>\mathbf{I}_{\text{[span_71](start_span)[span_71](end_span)noisy}} = \mathbf{I} \cdot \mathbf{n}_{\text{Rayleigh}}</w:t>
      </w:r>
    </w:p>
    <w:p w14:paraId="0000009F">
      <w:pPr>
        <w:pStyle w:val="style0"/>
        <w:numPr>
          <w:ilvl w:val="0"/>
          <w:numId w:val="4"/>
        </w:numPr>
        <w:pBdr>
          <w:left w:val="nil"/>
          <w:right w:val="nil"/>
          <w:top w:val="nil"/>
          <w:bottom w:val="nil"/>
          <w:between w:val="nil"/>
        </w:pBdr>
        <w:shd w:val="clear" w:color="auto" w:fill="auto"/>
        <w:ind w:left="600" w:hanging="360"/>
        <w:rPr/>
      </w:pPr>
      <w:r>
        <w:rPr>
          <w:b/>
          <w:bCs/>
        </w:rPr>
        <w:t>Prohibited Transformations</w:t>
      </w:r>
      <w:r>
        <w:rPr/>
        <w:t>: Vertical flipping (inverts acoustic attenuation and depth perception), extreme elastic warping (alters smooth cyst walls into malignant-mimicking papillary structures), and random color jittering (grayscale B-mode scans contain no chromatic variance).</w:t>
      </w:r>
    </w:p>
    <w:p w14:paraId="000000A0">
      <w:pPr>
        <w:pStyle w:val="style3"/>
        <w:pBdr>
          <w:left w:val="nil"/>
          <w:right w:val="nil"/>
          <w:top w:val="nil"/>
          <w:bottom w:val="nil"/>
          <w:between w:val="nil"/>
        </w:pBdr>
        <w:shd w:val="clear" w:color="auto" w:fill="auto"/>
        <w:rPr/>
      </w:pPr>
      <w:r>
        <w:rPr/>
        <w:t>Combined Loss Function Formulation</w:t>
      </w:r>
    </w:p>
    <w:p w14:paraId="000000A1">
      <w:pPr>
        <w:pStyle w:val="style0"/>
        <w:pBdr>
          <w:left w:val="nil"/>
          <w:right w:val="nil"/>
          <w:top w:val="nil"/>
          <w:bottom w:val="nil"/>
          <w:between w:val="nil"/>
        </w:pBdr>
        <w:shd w:val="clear" w:color="auto" w:fill="auto"/>
        <w:rPr/>
      </w:pPr>
      <w:r>
        <w:rPr/>
        <w:t>To address class imbalance and joint multi-task optimization, the loss objective is defined as:</w:t>
      </w:r>
    </w:p>
    <w:p w14:paraId="000000A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pPr>
      <w:r>
        <w:rPr/>
        <w:t>\mathcal{L}_{\text{total}} = \alpha \mathcal{L}_{\text{seg}}(\mathbf{M}, \hat{\mathbf{M}}) + \beta \mathcal{L}_{\text{focal}}(\mathbf{y}, \hat{\mathbf{y}})</w:t>
      </w:r>
    </w:p>
    <w:p w14:paraId="000000A3">
      <w:pPr>
        <w:pStyle w:val="style0"/>
        <w:pBdr>
          <w:left w:val="nil"/>
          <w:right w:val="nil"/>
          <w:top w:val="nil"/>
          <w:bottom w:val="nil"/>
          <w:between w:val="nil"/>
        </w:pBdr>
        <w:shd w:val="clear" w:color="auto" w:fill="auto"/>
        <w:rPr/>
      </w:pPr>
      <w:r>
        <w:rPr/>
        <w:t>Where:</w:t>
      </w:r>
    </w:p>
    <w:p w14:paraId="000000A4">
      <w:pPr>
        <w:pStyle w:val="style0"/>
        <w:numPr>
          <w:ilvl w:val="0"/>
          <w:numId w:val="5"/>
        </w:numPr>
        <w:pBdr>
          <w:left w:val="nil"/>
          <w:right w:val="nil"/>
          <w:top w:val="nil"/>
          <w:bottom w:val="nil"/>
          <w:between w:val="nil"/>
        </w:pBdr>
        <w:shd w:val="clear" w:color="auto" w:fill="auto"/>
        <w:ind w:left="600" w:hanging="360"/>
        <w:rPr/>
      </w:pPr>
      <w:r>
        <w:rPr/>
        <w:t>\mathcal{L}_{\text{seg}} is a hybrid Dice Loss and Binary Cross-Entropy Loss: \mathcal{L}_{\text{seg}} = \mathcal{L}_{\text{Dice}} + \mathcal{L}_{\text{BCE}}.</w:t>
      </w:r>
    </w:p>
    <w:p w14:paraId="000000A5">
      <w:pPr>
        <w:pStyle w:val="style0"/>
        <w:numPr>
          <w:ilvl w:val="0"/>
          <w:numId w:val="5"/>
        </w:numPr>
        <w:pBdr>
          <w:left w:val="nil"/>
          <w:right w:val="nil"/>
          <w:top w:val="nil"/>
          <w:bottom w:val="nil"/>
          <w:between w:val="nil"/>
        </w:pBdr>
        <w:shd w:val="clear" w:color="auto" w:fill="auto"/>
        <w:ind w:left="600" w:hanging="360"/>
        <w:rPr/>
      </w:pPr>
      <w:r>
        <w:rPr/>
        <w:t>\mathcal{L}_{\text{focal}} is the Class-Weighted Focal Loss targeting class imbalance:</w:t>
      </w:r>
    </w:p>
    <w:p w14:paraId="000000A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pPr>
      <w:r>
        <w:rPr/>
        <w:t>\mathcal{L}_{\text{focal}} = -\sum_{k=1}^{K} w_k (1 - \hat{p}_k)^\gamma \log(\hat{p}_k)</w:t>
      </w:r>
    </w:p>
    <w:p w14:paraId="000000A7">
      <w:pPr>
        <w:pStyle w:val="style0"/>
        <w:pBdr>
          <w:left w:val="nil"/>
          <w:right w:val="nil"/>
          <w:top w:val="nil"/>
          <w:bottom w:val="nil"/>
          <w:between w:val="nil"/>
        </w:pBdr>
        <w:shd w:val="clear" w:color="auto" w:fill="auto"/>
        <w:spacing w:after="225"/>
        <w:rPr/>
      </w:pPr>
      <w:r>
        <w:rPr/>
        <w:t>Where w_k represents inverse class frequency weights, directing gradient updates toward under-represented classes (specifically Borderline tumors). Dynamic loss weighting via Uncertainty Weighting automatically adjusts task scaling parameters \alpha and \beta during training.</w:t>
      </w:r>
    </w:p>
    <w:p w14:paraId="000000A8">
      <w:pPr>
        <w:pStyle w:val="style2"/>
        <w:pBdr>
          <w:left w:val="nil"/>
          <w:right w:val="nil"/>
          <w:top w:val="nil"/>
          <w:bottom w:val="nil"/>
          <w:between w:val="nil"/>
        </w:pBdr>
        <w:shd w:val="clear" w:color="auto" w:fill="auto"/>
        <w:spacing w:before="0"/>
        <w:rPr/>
      </w:pPr>
      <w:r>
        <w:rPr/>
        <w:t>K. Baseline Models for Experimental Benchmarking</w:t>
      </w:r>
    </w:p>
    <w:p w14:paraId="000000A9">
      <w:pPr>
        <w:pStyle w:val="style0"/>
        <w:pBdr>
          <w:left w:val="nil"/>
          <w:right w:val="nil"/>
          <w:top w:val="nil"/>
          <w:bottom w:val="nil"/>
          <w:between w:val="nil"/>
        </w:pBdr>
        <w:shd w:val="clear" w:color="auto" w:fill="auto"/>
        <w:rPr/>
      </w:pPr>
      <w:r>
        <w:rPr/>
        <w:t>OvaryVision is benchmarked against five baseline categories under identical patient-level splits:</w:t>
      </w:r>
    </w:p>
    <w:p w14:paraId="000000AA">
      <w:pPr>
        <w:pStyle w:val="style0"/>
        <w:numPr>
          <w:ilvl w:val="0"/>
          <w:numId w:val="6"/>
        </w:numPr>
        <w:pBdr>
          <w:left w:val="nil"/>
          <w:right w:val="nil"/>
          <w:top w:val="nil"/>
          <w:bottom w:val="nil"/>
          <w:between w:val="nil"/>
        </w:pBdr>
        <w:shd w:val="clear" w:color="auto" w:fill="auto"/>
        <w:ind w:left="600" w:hanging="360"/>
        <w:rPr/>
      </w:pPr>
      <w:r>
        <w:rPr>
          <w:b/>
          <w:bCs/>
        </w:rPr>
        <w:t>Classical Radiomics Baseline</w:t>
      </w:r>
      <w:r>
        <w:rPr/>
        <w:t>: Handcrafted GLCM texture descriptors and Wavelet features extracted from manual ROIs, classified using a Support Vector Machine (SVM).</w:t>
      </w:r>
    </w:p>
    <w:p w14:paraId="000000AB">
      <w:pPr>
        <w:pStyle w:val="style0"/>
        <w:numPr>
          <w:ilvl w:val="0"/>
          <w:numId w:val="6"/>
        </w:numPr>
        <w:pBdr>
          <w:left w:val="nil"/>
          <w:right w:val="nil"/>
          <w:top w:val="nil"/>
          <w:bottom w:val="nil"/>
          <w:between w:val="nil"/>
        </w:pBdr>
        <w:shd w:val="clear" w:color="auto" w:fill="auto"/>
        <w:ind w:left="600" w:hanging="360"/>
        <w:rPr/>
      </w:pPr>
      <w:r>
        <w:rPr>
          <w:b/>
          <w:bCs/>
        </w:rPr>
        <w:t>Standard CNN Baseline</w:t>
      </w:r>
      <w:r>
        <w:rPr/>
        <w:t>: ResNet-50 pretrained on ImageNet, fine-tuned directly on raw B-mode ultrasound images using standard cross-entropy loss.</w:t>
      </w:r>
    </w:p>
    <w:p w14:paraId="000000AC">
      <w:pPr>
        <w:pStyle w:val="style0"/>
        <w:numPr>
          <w:ilvl w:val="0"/>
          <w:numId w:val="6"/>
        </w:numPr>
        <w:pBdr>
          <w:left w:val="nil"/>
          <w:right w:val="nil"/>
          <w:top w:val="nil"/>
          <w:bottom w:val="nil"/>
          <w:between w:val="nil"/>
        </w:pBdr>
        <w:shd w:val="clear" w:color="auto" w:fill="auto"/>
        <w:ind w:left="600" w:hanging="360"/>
        <w:rPr/>
      </w:pPr>
      <w:r>
        <w:rPr>
          <w:b/>
          <w:bCs/>
        </w:rPr>
        <w:t>Advanced Two-Branch CNN</w:t>
      </w:r>
      <w:r>
        <w:rPr/>
        <w:t>: EfficientOvaNet architecture (Two-branch EfficientNet-B3 processing global context and ROI crops) trained on raw un-inpainted data.</w:t>
      </w:r>
    </w:p>
    <w:p w14:paraId="000000AD">
      <w:pPr>
        <w:pStyle w:val="style0"/>
        <w:numPr>
          <w:ilvl w:val="0"/>
          <w:numId w:val="6"/>
        </w:numPr>
        <w:pBdr>
          <w:left w:val="nil"/>
          <w:right w:val="nil"/>
          <w:top w:val="nil"/>
          <w:bottom w:val="nil"/>
          <w:between w:val="nil"/>
        </w:pBdr>
        <w:shd w:val="clear" w:color="auto" w:fill="auto"/>
        <w:ind w:left="600" w:hanging="360"/>
        <w:rPr/>
      </w:pPr>
      <w:r>
        <w:rPr>
          <w:b/>
          <w:bCs/>
        </w:rPr>
        <w:t>Vision Transformer Baseline</w:t>
      </w:r>
      <w:r>
        <w:rPr/>
        <w:t>: Swin-Tiny Transformer architecture evaluated to measure pure self-attention capacity on B-mode textures.</w:t>
      </w:r>
    </w:p>
    <w:p w14:paraId="000000AE">
      <w:pPr>
        <w:pStyle w:val="style0"/>
        <w:numPr>
          <w:ilvl w:val="0"/>
          <w:numId w:val="6"/>
        </w:numPr>
        <w:pBdr>
          <w:left w:val="nil"/>
          <w:right w:val="nil"/>
          <w:top w:val="nil"/>
          <w:bottom w:val="nil"/>
          <w:between w:val="nil"/>
        </w:pBdr>
        <w:shd w:val="clear" w:color="auto" w:fill="auto"/>
        <w:ind w:left="600" w:hanging="360"/>
        <w:rPr/>
      </w:pPr>
      <w:r>
        <w:rPr>
          <w:b/>
          <w:bCs/>
        </w:rPr>
        <w:t>Sequential Pipeline Baseline</w:t>
      </w:r>
      <w:r>
        <w:rPr/>
        <w:t>: Standard U-Net segmentation coupled sequentially with an independent ResNet-50 classification network.</w:t>
      </w:r>
    </w:p>
    <w:p w14:paraId="000000AF">
      <w:pPr>
        <w:pStyle w:val="style2"/>
        <w:pBdr>
          <w:left w:val="nil"/>
          <w:right w:val="nil"/>
          <w:top w:val="nil"/>
          <w:bottom w:val="nil"/>
          <w:between w:val="nil"/>
        </w:pBdr>
        <w:shd w:val="clear" w:color="auto" w:fill="auto"/>
        <w:rPr/>
      </w:pPr>
      <w:r>
        <w:rPr/>
        <w:t>L. Ablation Studies Design</w:t>
      </w:r>
    </w:p>
    <w:p w14:paraId="000000B0">
      <w:pPr>
        <w:pStyle w:val="style0"/>
        <w:pBdr>
          <w:left w:val="nil"/>
          <w:right w:val="nil"/>
          <w:top w:val="nil"/>
          <w:bottom w:val="nil"/>
          <w:between w:val="nil"/>
        </w:pBdr>
        <w:shd w:val="clear" w:color="auto" w:fill="auto"/>
        <w:spacing w:after="225"/>
        <w:rPr/>
      </w:pPr>
      <w:r>
        <w:rPr/>
        <w:t xml:space="preserve">| Ablation ID | Objective / Target Hypothesis | Symbol Inpainting (MGGAN) | Multi-Task Design | Segmentation Loss | Backbone Architecture | Post-Hoc Calibration | Primary Scientific Question Addressed | | :--- | :--- | :--- | :--- | :--- | :--- | :--- | :--- | | </w:t>
      </w:r>
      <w:r>
        <w:rPr>
          <w:b/>
          <w:bCs/>
        </w:rPr>
        <w:t>Abl-0</w:t>
      </w:r>
      <w:r>
        <w:rPr/>
        <w:t xml:space="preserve"> | Full OvaryVision System | Yes | Yes (Joint Seg+Class) | Dice + BCE | ConvNeXt-Base | Temperature Scaling | Evaluates overall model performance across AUC, Borderline Recall, ECE, and XAI fidelity. | | </w:t>
      </w:r>
      <w:r>
        <w:rPr>
          <w:b/>
          <w:bCs/>
        </w:rPr>
        <w:t>Abl-1</w:t>
      </w:r>
      <w:r>
        <w:rPr/>
        <w:t xml:space="preserve"> | Impact of Symbol Inpainting | </w:t>
      </w:r>
      <w:r>
        <w:rPr>
          <w:b/>
          <w:bCs/>
        </w:rPr>
        <w:t>No (Raw Images)</w:t>
      </w:r>
      <w:r>
        <w:rPr/>
        <w:t xml:space="preserve"> | Yes | Dice + BCE | ConvNeXt-Base | Temperature Scaling | Tests whether raw un-inpainted images induce artifact shortcut learning. | | </w:t>
      </w:r>
      <w:r>
        <w:rPr>
          <w:b/>
          <w:bCs/>
        </w:rPr>
        <w:t>Abl-2</w:t>
      </w:r>
      <w:r>
        <w:rPr/>
        <w:t xml:space="preserve"> | Single-Task Classification | Yes | </w:t>
      </w:r>
      <w:r>
        <w:rPr>
          <w:b/>
          <w:bCs/>
        </w:rPr>
        <w:t>No (Class Only)</w:t>
      </w:r>
      <w:r>
        <w:rPr/>
        <w:t xml:space="preserve"> | None | ConvNeXt-Base | Temperature Scaling | Tests whether omitting spatial segmentation regularization reduces Borderline tumor recall. | | </w:t>
      </w:r>
      <w:r>
        <w:rPr>
          <w:b/>
          <w:bCs/>
        </w:rPr>
        <w:t>Abl-3</w:t>
      </w:r>
      <w:r>
        <w:rPr/>
        <w:t xml:space="preserve"> | Impact of CNN Backbone | Yes | Yes | Dice + BCE | </w:t>
      </w:r>
      <w:r>
        <w:rPr>
          <w:b/>
          <w:bCs/>
        </w:rPr>
        <w:t>ResNet-50</w:t>
      </w:r>
      <w:r>
        <w:rPr/>
        <w:t xml:space="preserve"> | Temperature Scaling | Quantifies performance gains of ConvNeXt over legacy residual architectures. | | </w:t>
      </w:r>
      <w:r>
        <w:rPr>
          <w:b/>
          <w:bCs/>
        </w:rPr>
        <w:t>Abl-4</w:t>
      </w:r>
      <w:r>
        <w:rPr/>
        <w:t xml:space="preserve"> | Impact of Transformer Backbone | Yes | Yes | Dice + BCE | </w:t>
      </w:r>
      <w:r>
        <w:rPr>
          <w:b/>
          <w:bCs/>
        </w:rPr>
        <w:t>Swin-Tiny</w:t>
      </w:r>
      <w:r>
        <w:rPr/>
        <w:t xml:space="preserve"> | Temperature Scaling | Tests whether Vision Transformers underperform CNNs on modest ultrasound cohorts. | | </w:t>
      </w:r>
      <w:r>
        <w:rPr>
          <w:b/>
          <w:bCs/>
        </w:rPr>
        <w:t>Abl-5</w:t>
      </w:r>
      <w:r>
        <w:rPr/>
        <w:t xml:space="preserve"> | Impact of Focal Loss Weighting | Yes | Yes | Dice + BCE | ConvNeXt-Base | </w:t>
      </w:r>
      <w:r>
        <w:rPr>
          <w:b/>
          <w:bCs/>
        </w:rPr>
        <w:t>No (Standard CE)</w:t>
      </w:r>
      <w:r>
        <w:rPr/>
        <w:t xml:space="preserve"> | Evaluates performance of standard Cross-Entropy on minority Borderline tumor cases. | | </w:t>
      </w:r>
      <w:r>
        <w:rPr>
          <w:b/>
          <w:bCs/>
        </w:rPr>
        <w:t>Abl-6</w:t>
      </w:r>
      <w:r>
        <w:rPr/>
        <w:t xml:space="preserve"> | Impact of Temperature Scaling | Yes | Yes | Dice + BCE | ConvNeXt-Base | </w:t>
      </w:r>
      <w:r>
        <w:rPr>
          <w:b/>
          <w:bCs/>
        </w:rPr>
        <w:t>No Calibration</w:t>
      </w:r>
      <w:r>
        <w:rPr/>
        <w:t xml:space="preserve"> | Measures Expected Calibration Error (ECE) inflation in raw Softmax outputs. |</w:t>
      </w:r>
    </w:p>
    <w:p w14:paraId="000000B1">
      <w:pPr>
        <w:pStyle w:val="style2"/>
        <w:pBdr>
          <w:left w:val="nil"/>
          <w:right w:val="nil"/>
          <w:top w:val="nil"/>
          <w:bottom w:val="nil"/>
          <w:between w:val="nil"/>
        </w:pBdr>
        <w:shd w:val="clear" w:color="auto" w:fill="auto"/>
        <w:spacing w:before="0"/>
        <w:rPr/>
      </w:pPr>
      <w:r>
        <w:rPr/>
        <w:t>M. Explainability &amp; Interpretability Strategy</w:t>
      </w:r>
    </w:p>
    <w:p w14:paraId="000000B2">
      <w:pPr>
        <w:pStyle w:val="style0"/>
        <w:pBdr>
          <w:left w:val="nil"/>
          <w:right w:val="nil"/>
          <w:top w:val="nil"/>
          <w:bottom w:val="nil"/>
          <w:between w:val="nil"/>
        </w:pBdr>
        <w:shd w:val="clear" w:color="auto" w:fill="auto"/>
        <w:rPr/>
      </w:pPr>
      <w:r>
        <w:rPr/>
        <w:t>Explainable AI (XAI) in OvaryVision integrates visual heatmaps with quantitative, clinically validated attribution metrics:</w:t>
      </w:r>
    </w:p>
    <w:p w14:paraId="000000B3">
      <w:pPr>
        <w:pStyle w:val="style0"/>
        <w:pBdr>
          <w:left w:val="nil"/>
          <w:right w:val="nil"/>
          <w:top w:val="nil"/>
          <w:bottom w:val="nil"/>
          <w:between w:val="nil"/>
        </w:pBdr>
        <w:shd w:val="clear" w:color="auto" w:fill="auto"/>
        <w:spacing w:after="240"/>
        <w:rPr>
          <w:rFonts w:ascii="Arial" w:cs="Arial" w:eastAsia="Arial" w:hAnsi="Arial"/>
        </w:rPr>
      </w:pPr>
      <w:r>
        <w:rPr>
          <w:rFonts w:ascii="Arial" w:cs="Arial" w:eastAsia="Arial" w:hAnsi="Arial"/>
        </w:rPr>
        <w:t xml:space="preserve">  [ Input Inpainted [span_123](start_span)[span_123](end_span)Image ]</w:t>
      </w:r>
      <w:r>
        <w:rPr>
          <w:rFonts w:ascii="Arial" w:cs="Arial" w:eastAsia="Arial" w:hAnsi="Arial"/>
        </w:rPr>
        <w:br/>
      </w:r>
      <w:r>
        <w:rPr>
          <w:rFonts w:ascii="Arial" w:cs="Arial" w:eastAsia="Arial" w:hAnsi="Arial"/>
        </w:rPr>
        <w:t xml:space="preserve">     [span_30](start_span)[span_30](end_span)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Spatial Heatmap     │                    │ Epistemic Uncertainty│</w:t>
      </w:r>
      <w:r>
        <w:rPr>
          <w:rFonts w:ascii="Arial" w:cs="Arial" w:eastAsia="Arial" w:hAnsi="Arial"/>
        </w:rPr>
        <w:br/>
      </w:r>
      <w:r>
        <w:rPr>
          <w:rFonts w:ascii="Arial" w:cs="Arial" w:eastAsia="Arial" w:hAnsi="Arial"/>
        </w:rPr>
        <w:t xml:space="preserve">  │ (Grad-CAM++) [7, 70]│                    │ (MC-Dropout N=50) [7]│</w:t>
      </w:r>
      <w:r>
        <w:rPr>
          <w:rFonts w:ascii="Arial" w:cs="Arial" w:eastAsia="Arial" w:hAnsi="Arial"/>
        </w:rPr>
        <w:br/>
      </w:r>
      <w:r>
        <w:rPr>
          <w:rFonts w:ascii="Arial" w:cs="Arial" w:eastAsia="Arial" w:hAnsi="Arial"/>
        </w:rPr>
        <w:t xml:space="preserve">  └──────────┬──────────┘                    └────────[span_31](start_span)[span_31](end_span)──┬───────────┘</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Pointing Game Test  │                    │ Spatia[span_53](start_span)[span_53](end_span)l Variance Map │</w:t>
      </w:r>
      <w:r>
        <w:rPr>
          <w:rFonts w:ascii="Arial" w:cs="Arial" w:eastAsia="Arial" w:hAnsi="Arial"/>
        </w:rPr>
        <w:br/>
      </w:r>
      <w:r>
        <w:rPr>
          <w:rFonts w:ascii="Arial" w:cs="Arial" w:eastAsia="Arial" w:hAnsi="Arial"/>
        </w:rPr>
        <w:t xml:space="preserve">  │ (vs Expert Mask)    │                    │ (Model Confidence)   │</w:t>
      </w:r>
      <w:r>
        <w:rPr>
          <w:rFonts w:ascii="Arial" w:cs="Arial" w:eastAsia="Arial" w:hAnsi="Arial"/>
        </w:rPr>
        <w:br/>
      </w:r>
      <w:r>
        <w:rPr>
          <w:rFonts w:ascii="Arial" w:cs="Arial" w:eastAsia="Arial" w:hAnsi="Arial"/>
        </w:rPr>
        <w:t xml:space="preserve">  └──────────┬──────────┘                    └──────────┬───────────┘</w:t>
      </w:r>
      <w:r>
        <w:rPr>
          <w:rFonts w:ascii="Arial" w:cs="Arial" w:eastAsia="Arial" w:hAnsi="Arial"/>
        </w:rPr>
        <w:br/>
      </w:r>
      <w:r>
        <w:rPr>
          <w:rFonts w:ascii="Arial" w:cs="Arial" w:eastAsia="Arial" w:hAnsi="Arial"/>
        </w:rPr>
        <w:t xml:space="preserve">             │                       [span_54](start_span)[span_54](end_span)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Verified Clinical Decision Support ]</w:t>
      </w:r>
      <w:r>
        <w:rPr>
          <w:rFonts w:ascii="Arial" w:cs="Arial" w:eastAsia="Arial" w:hAnsi="Arial"/>
        </w:rPr>
        <w:br/>
      </w:r>
    </w:p>
    <w:p w14:paraId="000000B4">
      <w:pPr>
        <w:pStyle w:val="style3"/>
        <w:pBdr>
          <w:left w:val="nil"/>
          <w:right w:val="nil"/>
          <w:top w:val="nil"/>
          <w:bottom w:val="nil"/>
          <w:between w:val="nil"/>
        </w:pBdr>
        <w:shd w:val="clear" w:color="auto" w:fill="auto"/>
        <w:spacing w:before="0"/>
        <w:rPr/>
      </w:pPr>
      <w:r>
        <w:rPr/>
        <w:t>Visual Localization via Grad-CAM++</w:t>
      </w:r>
    </w:p>
    <w:p w14:paraId="000000B5">
      <w:pPr>
        <w:pStyle w:val="style0"/>
        <w:pBdr>
          <w:left w:val="nil"/>
          <w:right w:val="nil"/>
          <w:top w:val="nil"/>
          <w:bottom w:val="nil"/>
          <w:between w:val="nil"/>
        </w:pBdr>
        <w:shd w:val="clear" w:color="auto" w:fill="auto"/>
        <w:spacing w:after="240"/>
        <w:rPr/>
      </w:pPr>
      <w:r>
        <w:rPr/>
        <w:t>Grad-CAM++ generates pixel-wise attribution maps by calculating weighted combinations of positive partial derivatives of class score Y^c with respect to feature maps \mathbf{A}^{k} in the final ConvNeXt layer:</w:t>
      </w:r>
    </w:p>
    <w:p w14:paraId="000000B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pPr>
      <w:r>
        <w:rPr/>
        <w:t>w_{ik}^c = \frac{\frac{\partial^2 Y^c}{(\partial A_{ik}^k)^2}}{2 \frac{\partial^2 Y^c}{(\partial A_{ik}^k)^2} + \sum_{a,b} A_{ab}^k \frac{\partial^3 Y^c}{(\partial A_{ik}^k)^3}}</w:t>
      </w:r>
    </w:p>
    <w:p w14:paraId="000000B7">
      <w:pPr>
        <w:pStyle w:val="style3"/>
        <w:pBdr>
          <w:left w:val="nil"/>
          <w:right w:val="nil"/>
          <w:top w:val="nil"/>
          <w:bottom w:val="nil"/>
          <w:between w:val="nil"/>
        </w:pBdr>
        <w:shd w:val="clear" w:color="auto" w:fill="auto"/>
        <w:spacing w:before="0"/>
        <w:rPr/>
      </w:pPr>
      <w:r>
        <w:rPr/>
        <w:t>Quantitative Attribution Validation</w:t>
      </w:r>
    </w:p>
    <w:p w14:paraId="000000B8">
      <w:pPr>
        <w:pStyle w:val="style0"/>
        <w:pBdr>
          <w:left w:val="nil"/>
          <w:right w:val="nil"/>
          <w:top w:val="nil"/>
          <w:bottom w:val="nil"/>
          <w:between w:val="nil"/>
        </w:pBdr>
        <w:shd w:val="clear" w:color="auto" w:fill="auto"/>
        <w:rPr/>
      </w:pPr>
      <w:r>
        <w:rPr/>
        <w:t>Heatmaps are evaluated against expert sonographer segmentation masks using two metrics:</w:t>
      </w:r>
    </w:p>
    <w:p w14:paraId="000000B9">
      <w:pPr>
        <w:pStyle w:val="style0"/>
        <w:numPr>
          <w:ilvl w:val="0"/>
          <w:numId w:val="7"/>
        </w:numPr>
        <w:pBdr>
          <w:left w:val="nil"/>
          <w:right w:val="nil"/>
          <w:top w:val="nil"/>
          <w:bottom w:val="nil"/>
          <w:between w:val="nil"/>
        </w:pBdr>
        <w:shd w:val="clear" w:color="auto" w:fill="auto"/>
        <w:ind w:left="600" w:hanging="360"/>
        <w:rPr/>
      </w:pPr>
      <w:r>
        <w:rPr>
          <w:b/>
          <w:bCs/>
        </w:rPr>
        <w:t>Pointing Game Accuracy</w:t>
      </w:r>
      <w:r>
        <w:rPr/>
        <w:t>: A hit is registered if the maximum intensity coordinate (i^*, j^*) = \arg\max L_{\text{Grad-CAM++}} falls inside the ground-truth tumor mask \mathbf{M}_{\text{gt}}:</w:t>
      </w:r>
    </w:p>
    <w:p w14:paraId="000000B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00" w:right="0" w:firstLine="0"/>
        <w:jc w:val="left"/>
        <w:rPr/>
      </w:pPr>
      <w:r>
        <w:rPr/>
        <w:t>\text{Accuracy}_{\text{pointing}} = \frac{\sum_{i=1}^{N} \mathbb{I}\left((i^*, j^*) \in \mathbf{M}_{\text{gt}}\right)}{N}</w:t>
      </w:r>
    </w:p>
    <w:p w14:paraId="000000BB">
      <w:pPr>
        <w:pStyle w:val="style0"/>
        <w:numPr>
          <w:ilvl w:val="0"/>
          <w:numId w:val="8"/>
        </w:numPr>
        <w:pBdr>
          <w:left w:val="nil"/>
          <w:right w:val="nil"/>
          <w:top w:val="nil"/>
          <w:bottom w:val="nil"/>
          <w:between w:val="nil"/>
        </w:pBdr>
        <w:shd w:val="clear" w:color="auto" w:fill="auto"/>
        <w:ind w:left="600" w:hanging="360"/>
        <w:rPr/>
      </w:pPr>
      <w:r>
        <w:rPr>
          <w:b/>
          <w:bCs/>
        </w:rPr>
        <w:t>Attribution Energy Mass Inside ROI</w:t>
      </w:r>
      <w:r>
        <w:rPr/>
        <w:t>: Measures the proportion of CAM attribution energy concentrated within the pathological ROI:</w:t>
      </w:r>
    </w:p>
    <w:p w14:paraId="000000B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pPr>
      <w:r>
        <w:rPr/>
        <w:t>\text{Energy}_{\text{inside}} = \frac{\sum_{(x,y) \in \mathbf{M}_{\text{gt}}} L_{\text{Grad-CAM++}}(x,y)}{\sum_{(x,y) \in \text{Image}} L_{\text{Grad-CAM++}}(x,y)}</w:t>
      </w:r>
    </w:p>
    <w:p w14:paraId="000000BD">
      <w:pPr>
        <w:pStyle w:val="style3"/>
        <w:pBdr>
          <w:left w:val="nil"/>
          <w:right w:val="nil"/>
          <w:top w:val="nil"/>
          <w:bottom w:val="nil"/>
          <w:between w:val="nil"/>
        </w:pBdr>
        <w:shd w:val="clear" w:color="auto" w:fill="auto"/>
        <w:rPr/>
      </w:pPr>
      <w:r>
        <w:rPr/>
        <w:t>Epistemic Uncertainty Estimation</w:t>
      </w:r>
    </w:p>
    <w:p w14:paraId="000000BE">
      <w:pPr>
        <w:pStyle w:val="style0"/>
        <w:pBdr>
          <w:left w:val="nil"/>
          <w:right w:val="nil"/>
          <w:top w:val="nil"/>
          <w:bottom w:val="nil"/>
          <w:between w:val="nil"/>
        </w:pBdr>
        <w:shd w:val="clear" w:color="auto" w:fill="auto"/>
        <w:rPr/>
      </w:pPr>
      <w:r>
        <w:rPr/>
        <w:t>Monte Carlo Dropout (MC-Dropout) is enabled during inference with a probability p=0.2 across N=50 forward passes. The predictive variance \sigma^2_k for class k quantifies model uncertainty:</w:t>
      </w:r>
    </w:p>
    <w:p w14:paraId="000000B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pPr>
      <w:r>
        <w:rPr/>
        <w:t>\sigma^2_k = \frac{1}{N} \sum_{n=1}^{N} \left(\hat{p}_k^{(n)} - \bar{p}_k\right)^2</w:t>
      </w:r>
    </w:p>
    <w:p w14:paraId="000000C0">
      <w:pPr>
        <w:pStyle w:val="style0"/>
        <w:pBdr>
          <w:left w:val="nil"/>
          <w:right w:val="nil"/>
          <w:top w:val="nil"/>
          <w:bottom w:val="nil"/>
          <w:between w:val="nil"/>
        </w:pBdr>
        <w:shd w:val="clear" w:color="auto" w:fill="auto"/>
        <w:spacing w:after="225"/>
        <w:rPr/>
      </w:pPr>
      <w:r>
        <w:rPr/>
        <w:t>Cases exhibiting high variance (\sigma^2_k &gt; \tau) are flagged for expert radiologist review, providing a safety mechanism for clinical deployment.</w:t>
      </w:r>
    </w:p>
    <w:p w14:paraId="000000C1">
      <w:pPr>
        <w:pStyle w:val="style2"/>
        <w:pBdr>
          <w:left w:val="nil"/>
          <w:right w:val="nil"/>
          <w:top w:val="nil"/>
          <w:bottom w:val="nil"/>
          <w:between w:val="nil"/>
        </w:pBdr>
        <w:shd w:val="clear" w:color="auto" w:fill="auto"/>
        <w:spacing w:before="0"/>
        <w:rPr/>
      </w:pPr>
      <w:r>
        <w:rPr/>
        <w:t>N. Robustness &amp; Cross-Dataset Generalization Protocol</w:t>
      </w:r>
    </w:p>
    <w:p w14:paraId="000000C2">
      <w:pPr>
        <w:pStyle w:val="style0"/>
        <w:pBdr>
          <w:left w:val="nil"/>
          <w:right w:val="nil"/>
          <w:top w:val="nil"/>
          <w:bottom w:val="nil"/>
          <w:between w:val="nil"/>
        </w:pBdr>
        <w:shd w:val="clear" w:color="auto" w:fill="auto"/>
        <w:rPr/>
      </w:pPr>
      <w:r>
        <w:rPr/>
        <w:t>To evaluate generalization across out-of-domain acquisition shifts, models undergo cross-dataset validation and synthetic stress testing:</w:t>
      </w:r>
    </w:p>
    <w:p w14:paraId="000000C3">
      <w:pPr>
        <w:pStyle w:val="style0"/>
        <w:pBdr>
          <w:left w:val="nil"/>
          <w:right w:val="nil"/>
          <w:top w:val="nil"/>
          <w:bottom w:val="nil"/>
          <w:between w:val="nil"/>
        </w:pBdr>
        <w:shd w:val="clear" w:color="auto" w:fill="auto"/>
        <w:spacing w:after="240"/>
        <w:rPr>
          <w:rFonts w:ascii="Arial" w:cs="Arial" w:eastAsia="Arial" w:hAnsi="Arial"/>
        </w:rPr>
      </w:pPr>
      <w:r>
        <w:rPr>
          <w:rFonts w:ascii="Arial" w:cs="Arial" w:eastAsia="Arial" w:hAnsi="Arial"/>
        </w:rPr>
        <w:t xml:space="preserve">  [ Source Domain: MMOTU Inpainted Dataset ] (Beijing Cohort) [1, 9]</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Model Training &amp; In-Domain│</w:t>
      </w:r>
      <w:r>
        <w:rPr>
          <w:rFonts w:ascii="Arial" w:cs="Arial" w:eastAsia="Arial" w:hAnsi="Arial"/>
        </w:rPr>
        <w:br/>
      </w:r>
      <w:r>
        <w:rPr>
          <w:rFonts w:ascii="Arial" w:cs="Arial" w:eastAsia="Arial" w:hAnsi="Arial"/>
        </w:rPr>
        <w:t xml:space="preserve">          │ 5-Fold Cross-Validation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w:t>
      </w:r>
      <w:r>
        <w:rPr>
          <w:rFonts w:ascii="Arial" w:cs="Arial" w:eastAsia="Arial" w:hAnsi="Arial"/>
        </w:rPr>
        <w:br/>
      </w:r>
      <w:r>
        <w:rPr>
          <w:rFonts w:ascii="Arial" w:cs="Arial" w:eastAsia="Arial" w:hAnsi="Arial"/>
        </w:rPr>
        <w:t xml:space="preserve">  [ External Target Domain 1: OvaTUS-V1 ] [2, 8]  ──► Tests Scanner Vendor Shift (Samsung vs GE)</w:t>
      </w:r>
      <w:r>
        <w:rPr>
          <w:rFonts w:ascii="Arial" w:cs="Arial" w:eastAsia="Arial" w:hAnsi="Arial"/>
        </w:rPr>
        <w:br/>
      </w:r>
      <w:r>
        <w:rPr>
          <w:rFonts w:ascii="Arial" w:cs="Arial" w:eastAsia="Arial" w:hAnsi="Arial"/>
        </w:rPr>
        <w:t xml:space="preserve">  [ External Target Domain 2: UMTD Cohort ] [12]   ──► Tests Acquisition Protocol Shift</w:t>
      </w:r>
      <w:r>
        <w:rPr>
          <w:rFonts w:ascii="Arial" w:cs="Arial" w:eastAsia="Arial" w:hAnsi="Arial"/>
        </w:rPr>
        <w:br/>
      </w:r>
    </w:p>
    <w:p w14:paraId="000000C4">
      <w:pPr>
        <w:pStyle w:val="style3"/>
        <w:pBdr>
          <w:left w:val="nil"/>
          <w:right w:val="nil"/>
          <w:top w:val="nil"/>
          <w:bottom w:val="nil"/>
          <w:between w:val="nil"/>
        </w:pBdr>
        <w:shd w:val="clear" w:color="auto" w:fill="auto"/>
        <w:spacing w:before="0"/>
        <w:rPr/>
      </w:pPr>
      <w:r>
        <w:rPr/>
        <w:t>External Generalization Protocol</w:t>
      </w:r>
    </w:p>
    <w:p w14:paraId="000000C5">
      <w:pPr>
        <w:pStyle w:val="style0"/>
        <w:numPr>
          <w:ilvl w:val="0"/>
          <w:numId w:val="9"/>
        </w:numPr>
        <w:pBdr>
          <w:left w:val="nil"/>
          <w:right w:val="nil"/>
          <w:top w:val="nil"/>
          <w:bottom w:val="nil"/>
          <w:between w:val="nil"/>
        </w:pBdr>
        <w:shd w:val="clear" w:color="auto" w:fill="auto"/>
        <w:ind w:left="600" w:hanging="360"/>
        <w:rPr/>
      </w:pPr>
      <w:r>
        <w:rPr>
          <w:b/>
          <w:bCs/>
        </w:rPr>
        <w:t>Training Domain</w:t>
      </w:r>
      <w:r>
        <w:rPr/>
        <w:t>: Trained exclusively on the symbol-inpainted MMOTU dataset.</w:t>
      </w:r>
    </w:p>
    <w:p w14:paraId="000000C6">
      <w:pPr>
        <w:pStyle w:val="style0"/>
        <w:numPr>
          <w:ilvl w:val="0"/>
          <w:numId w:val="9"/>
        </w:numPr>
        <w:pBdr>
          <w:left w:val="nil"/>
          <w:right w:val="nil"/>
          <w:top w:val="nil"/>
          <w:bottom w:val="nil"/>
          <w:between w:val="nil"/>
        </w:pBdr>
        <w:shd w:val="clear" w:color="auto" w:fill="auto"/>
        <w:ind w:left="600" w:hanging="360"/>
        <w:rPr/>
      </w:pPr>
      <w:r>
        <w:rPr>
          <w:b/>
          <w:bCs/>
        </w:rPr>
        <w:t>External Target Domains</w:t>
      </w:r>
      <w:r>
        <w:rPr/>
        <w:t>: Evaluated directly without fine-tuning on:</w:t>
      </w:r>
    </w:p>
    <w:p w14:paraId="000000C7">
      <w:pPr>
        <w:pStyle w:val="style0"/>
        <w:numPr>
          <w:ilvl w:val="1"/>
          <w:numId w:val="10"/>
        </w:numPr>
        <w:pBdr>
          <w:left w:val="nil"/>
          <w:right w:val="nil"/>
          <w:top w:val="nil"/>
          <w:bottom w:val="nil"/>
          <w:between w:val="nil"/>
        </w:pBdr>
        <w:shd w:val="clear" w:color="auto" w:fill="auto"/>
        <w:ind w:left="1200" w:hanging="360"/>
        <w:rPr/>
      </w:pPr>
      <w:r>
        <w:rPr>
          <w:b/>
          <w:bCs/>
        </w:rPr>
        <w:t>OvaTUS-V1 Dataset</w:t>
      </w:r>
      <w:r>
        <w:rPr/>
        <w:t xml:space="preserve"> (Acquired via Samsung Medison W80i and GE Voluson S6 systems in Vietnam).</w:t>
      </w:r>
    </w:p>
    <w:p w14:paraId="000000C8">
      <w:pPr>
        <w:pStyle w:val="style0"/>
        <w:numPr>
          <w:ilvl w:val="1"/>
          <w:numId w:val="10"/>
        </w:numPr>
        <w:pBdr>
          <w:left w:val="nil"/>
          <w:right w:val="nil"/>
          <w:top w:val="nil"/>
          <w:bottom w:val="nil"/>
          <w:between w:val="nil"/>
        </w:pBdr>
        <w:shd w:val="clear" w:color="auto" w:fill="auto"/>
        <w:ind w:left="1200" w:hanging="360"/>
        <w:rPr/>
      </w:pPr>
      <w:r>
        <w:rPr>
          <w:b/>
          <w:bCs/>
        </w:rPr>
        <w:t>UMTD Ovarian Cohort</w:t>
      </w:r>
      <w:r>
        <w:rPr/>
        <w:t xml:space="preserve"> (Acquired via Siemens/Mindray systems in Quanzhou, China).</w:t>
      </w:r>
    </w:p>
    <w:p w14:paraId="000000C9">
      <w:pPr>
        <w:pStyle w:val="style0"/>
        <w:numPr>
          <w:ilvl w:val="0"/>
          <w:numId w:val="9"/>
        </w:numPr>
        <w:pBdr>
          <w:left w:val="nil"/>
          <w:right w:val="nil"/>
          <w:top w:val="nil"/>
          <w:bottom w:val="nil"/>
          <w:between w:val="nil"/>
        </w:pBdr>
        <w:shd w:val="clear" w:color="auto" w:fill="auto"/>
        <w:ind w:left="600" w:hanging="360"/>
        <w:rPr/>
      </w:pPr>
      <w:r>
        <w:rPr>
          <w:b/>
          <w:bCs/>
        </w:rPr>
        <w:t>Out-of-Domain Performance Degradation Index (PDI)</w:t>
      </w:r>
      <w:r>
        <w:rPr/>
        <w:t>: Quantifies model vulnerability to domain shift:</w:t>
      </w:r>
    </w:p>
    <w:p w14:paraId="000000C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pPr>
      <w:r>
        <w:rPr/>
        <w:t>\text{PDI} = \frac{\text{AUC}_{\text{internal}} - \te[span_78](start_span)[span_78](end_span)xt{AUC}_{\text{external}}}{\text{AUC}_{\text{internal}}} \times 100\%</w:t>
      </w:r>
    </w:p>
    <w:p w14:paraId="000000CB">
      <w:pPr>
        <w:pStyle w:val="style3"/>
        <w:pBdr>
          <w:left w:val="nil"/>
          <w:right w:val="nil"/>
          <w:top w:val="nil"/>
          <w:bottom w:val="nil"/>
          <w:between w:val="nil"/>
        </w:pBdr>
        <w:shd w:val="clear" w:color="auto" w:fill="auto"/>
        <w:rPr/>
      </w:pPr>
      <w:r>
        <w:rPr/>
        <w:t>Synthetic Degradation Stress-Testing</w:t>
      </w:r>
    </w:p>
    <w:p w14:paraId="000000CC">
      <w:pPr>
        <w:pStyle w:val="style0"/>
        <w:pBdr>
          <w:left w:val="nil"/>
          <w:right w:val="nil"/>
          <w:top w:val="nil"/>
          <w:bottom w:val="nil"/>
          <w:between w:val="nil"/>
        </w:pBdr>
        <w:shd w:val="clear" w:color="auto" w:fill="auto"/>
        <w:rPr/>
      </w:pPr>
      <w:r>
        <w:rPr/>
        <w:t>Models are subjected to degraded input conditions simulating suboptimal clinical image acquisition:</w:t>
      </w:r>
    </w:p>
    <w:p w14:paraId="000000CD">
      <w:pPr>
        <w:pStyle w:val="style0"/>
        <w:numPr>
          <w:ilvl w:val="0"/>
          <w:numId w:val="11"/>
        </w:numPr>
        <w:pBdr>
          <w:left w:val="nil"/>
          <w:right w:val="nil"/>
          <w:top w:val="nil"/>
          <w:bottom w:val="nil"/>
          <w:between w:val="nil"/>
        </w:pBdr>
        <w:shd w:val="clear" w:color="auto" w:fill="auto"/>
        <w:ind w:left="600" w:hanging="360"/>
        <w:rPr/>
      </w:pPr>
      <w:r>
        <w:rPr>
          <w:b/>
          <w:bCs/>
        </w:rPr>
        <w:t>Additive Speckle Noise</w:t>
      </w:r>
      <w:r>
        <w:rPr/>
        <w:t>: Rayleigh multiplicative noise across variances \sigma^2 \in [0.05, 0.3].</w:t>
      </w:r>
    </w:p>
    <w:p w14:paraId="000000CE">
      <w:pPr>
        <w:pStyle w:val="style0"/>
        <w:numPr>
          <w:ilvl w:val="0"/>
          <w:numId w:val="11"/>
        </w:numPr>
        <w:pBdr>
          <w:left w:val="nil"/>
          <w:right w:val="nil"/>
          <w:top w:val="nil"/>
          <w:bottom w:val="nil"/>
          <w:between w:val="nil"/>
        </w:pBdr>
        <w:shd w:val="clear" w:color="auto" w:fill="auto"/>
        <w:ind w:left="600" w:hanging="360"/>
        <w:rPr/>
      </w:pPr>
      <w:r>
        <w:rPr>
          <w:b/>
          <w:bCs/>
        </w:rPr>
        <w:t>Resolution Downsampling</w:t>
      </w:r>
      <w:r>
        <w:rPr/>
        <w:t>: Downsampling image resolution from 512\times 512 to 128\times 128.</w:t>
      </w:r>
    </w:p>
    <w:p w14:paraId="000000CF">
      <w:pPr>
        <w:pStyle w:val="style0"/>
        <w:numPr>
          <w:ilvl w:val="0"/>
          <w:numId w:val="11"/>
        </w:numPr>
        <w:pBdr>
          <w:left w:val="nil"/>
          <w:right w:val="nil"/>
          <w:top w:val="nil"/>
          <w:bottom w:val="nil"/>
          <w:between w:val="nil"/>
        </w:pBdr>
        <w:shd w:val="clear" w:color="auto" w:fill="auto"/>
        <w:ind w:left="600" w:hanging="360"/>
        <w:rPr/>
      </w:pPr>
      <w:r>
        <w:rPr>
          <w:b/>
          <w:bCs/>
        </w:rPr>
        <w:t>Acoustic Gain Shift</w:t>
      </w:r>
      <w:r>
        <w:rPr/>
        <w:t>: Shifting dynamic range intensity histograms by \pm 30\%.</w:t>
      </w:r>
    </w:p>
    <w:p w14:paraId="000000D0">
      <w:pPr>
        <w:pStyle w:val="style2"/>
        <w:pBdr>
          <w:left w:val="nil"/>
          <w:right w:val="nil"/>
          <w:top w:val="nil"/>
          <w:bottom w:val="nil"/>
          <w:between w:val="nil"/>
        </w:pBdr>
        <w:shd w:val="clear" w:color="auto" w:fill="auto"/>
        <w:rPr/>
      </w:pPr>
      <w:r>
        <w:rPr/>
        <w:t>O. Statistical Analysis Framework</w:t>
      </w:r>
    </w:p>
    <w:tbl>
      <w:tblPr>
        <w:tblStyle w:val="style4100"/>
        <w:tblW w:w="936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14:paraId="838855B2">
        <w:trPr>
          <w:cantSplit w:val="false"/>
          <w:tblHeader/>
          <w:jc w:val="left"/>
        </w:trPr>
        <w:tc>
          <w:tcPr>
            <w:tcW w:w="0" w:type="auto"/>
            <w:tcBorders/>
            <w:shd w:val="clear" w:color="auto" w:fill="auto"/>
            <w:tcMar>
              <w:top w:w="0" w:type="dxa"/>
              <w:left w:w="0" w:type="dxa"/>
              <w:bottom w:w="0" w:type="dxa"/>
              <w:right w:w="0" w:type="dxa"/>
            </w:tcMar>
          </w:tcPr>
          <w:p w14:paraId="000000D1">
            <w:pPr>
              <w:pStyle w:val="style0"/>
              <w:pBdr>
                <w:left w:val="nil"/>
                <w:right w:val="nil"/>
                <w:top w:val="nil"/>
                <w:bottom w:val="nil"/>
                <w:between w:val="nil"/>
              </w:pBdr>
              <w:shd w:val="clear" w:color="auto" w:fill="auto"/>
              <w:rPr/>
            </w:pPr>
            <w:r>
              <w:rPr/>
              <w:t>Metric</w:t>
            </w:r>
          </w:p>
        </w:tc>
        <w:tc>
          <w:tcPr>
            <w:tcW w:w="0" w:type="auto"/>
            <w:tcBorders/>
            <w:shd w:val="clear" w:color="auto" w:fill="auto"/>
            <w:tcMar>
              <w:top w:w="0" w:type="dxa"/>
              <w:left w:w="0" w:type="dxa"/>
              <w:bottom w:w="0" w:type="dxa"/>
              <w:right w:w="0" w:type="dxa"/>
            </w:tcMar>
          </w:tcPr>
          <w:p w14:paraId="000000D2">
            <w:pPr>
              <w:pStyle w:val="style0"/>
              <w:pBdr>
                <w:left w:val="nil"/>
                <w:right w:val="nil"/>
                <w:top w:val="nil"/>
                <w:bottom w:val="nil"/>
                <w:between w:val="nil"/>
              </w:pBdr>
              <w:shd w:val="clear" w:color="auto" w:fill="auto"/>
              <w:rPr/>
            </w:pPr>
            <w:r>
              <w:rPr/>
              <w:t>Mathematical Definition</w:t>
            </w:r>
          </w:p>
        </w:tc>
        <w:tc>
          <w:tcPr>
            <w:tcW w:w="0" w:type="auto"/>
            <w:tcBorders/>
            <w:shd w:val="clear" w:color="auto" w:fill="auto"/>
            <w:tcMar>
              <w:top w:w="0" w:type="dxa"/>
              <w:left w:w="0" w:type="dxa"/>
              <w:bottom w:w="0" w:type="dxa"/>
              <w:right w:w="0" w:type="dxa"/>
            </w:tcMar>
          </w:tcPr>
          <w:p w14:paraId="000000D3">
            <w:pPr>
              <w:pStyle w:val="style0"/>
              <w:pBdr>
                <w:left w:val="nil"/>
                <w:right w:val="nil"/>
                <w:top w:val="nil"/>
                <w:bottom w:val="nil"/>
                <w:between w:val="nil"/>
              </w:pBdr>
              <w:shd w:val="clear" w:color="auto" w:fill="auto"/>
              <w:rPr/>
            </w:pPr>
            <w:r>
              <w:rPr/>
              <w:t>Primary Target Benchmark</w:t>
            </w:r>
          </w:p>
        </w:tc>
      </w:tr>
      <w:tr w14:paraId="F7364410">
        <w:tblPrEx/>
        <w:trPr>
          <w:cantSplit w:val="false"/>
          <w:tblHeader w:val="false"/>
          <w:jc w:val="left"/>
        </w:trPr>
        <w:tc>
          <w:tcPr>
            <w:tcW w:w="0" w:type="auto"/>
            <w:tcBorders/>
            <w:shd w:val="clear" w:color="auto" w:fill="auto"/>
            <w:tcMar>
              <w:top w:w="0" w:type="dxa"/>
              <w:left w:w="0" w:type="dxa"/>
              <w:bottom w:w="0" w:type="dxa"/>
              <w:right w:w="0" w:type="dxa"/>
            </w:tcMar>
          </w:tcPr>
          <w:p w14:paraId="000000D4">
            <w:pPr>
              <w:pStyle w:val="style0"/>
              <w:pBdr>
                <w:left w:val="nil"/>
                <w:right w:val="nil"/>
                <w:top w:val="nil"/>
                <w:bottom w:val="nil"/>
                <w:between w:val="nil"/>
              </w:pBdr>
              <w:shd w:val="clear" w:color="auto" w:fill="auto"/>
              <w:rPr>
                <w:b/>
                <w:bCs/>
              </w:rPr>
            </w:pPr>
            <w:r>
              <w:rPr>
                <w:b/>
                <w:bCs/>
              </w:rPr>
              <w:t>Class Sensitivity (Recall)</w:t>
            </w:r>
          </w:p>
        </w:tc>
        <w:tc>
          <w:tcPr>
            <w:tcW w:w="0" w:type="auto"/>
            <w:tcBorders/>
            <w:shd w:val="clear" w:color="auto" w:fill="auto"/>
            <w:tcMar>
              <w:top w:w="0" w:type="dxa"/>
              <w:left w:w="0" w:type="dxa"/>
              <w:bottom w:w="0" w:type="dxa"/>
              <w:right w:w="0" w:type="dxa"/>
            </w:tcMar>
          </w:tcPr>
          <w:p w14:paraId="000000D5">
            <w:pPr>
              <w:pStyle w:val="style0"/>
              <w:pBdr>
                <w:left w:val="nil"/>
                <w:right w:val="nil"/>
                <w:top w:val="nil"/>
                <w:bottom w:val="nil"/>
                <w:between w:val="nil"/>
              </w:pBdr>
              <w:shd w:val="clear" w:color="auto" w:fill="auto"/>
              <w:rPr/>
            </w:pPr>
            <w:r>
              <w:rPr/>
              <w:t>\text{Sens}_k = \frac{TP_k}{TP_k + FN_k}</w:t>
            </w:r>
          </w:p>
        </w:tc>
        <w:tc>
          <w:tcPr>
            <w:tcW w:w="0" w:type="auto"/>
            <w:tcBorders/>
            <w:shd w:val="clear" w:color="auto" w:fill="auto"/>
            <w:tcMar>
              <w:top w:w="0" w:type="dxa"/>
              <w:left w:w="0" w:type="dxa"/>
              <w:bottom w:w="0" w:type="dxa"/>
              <w:right w:w="0" w:type="dxa"/>
            </w:tcMar>
          </w:tcPr>
          <w:p w14:paraId="000000D6">
            <w:pPr>
              <w:pStyle w:val="style0"/>
              <w:pBdr>
                <w:left w:val="nil"/>
                <w:right w:val="nil"/>
                <w:top w:val="nil"/>
                <w:bottom w:val="nil"/>
                <w:between w:val="nil"/>
              </w:pBdr>
              <w:shd w:val="clear" w:color="auto" w:fill="auto"/>
              <w:rPr/>
            </w:pPr>
            <w:r>
              <w:rPr/>
              <w:t>&gt; 90\% for Malignant, &gt; 75\% for Borderline</w:t>
            </w:r>
          </w:p>
        </w:tc>
      </w:tr>
      <w:tr w14:paraId="7CAF83AB">
        <w:tblPrEx/>
        <w:trPr>
          <w:cantSplit w:val="false"/>
          <w:tblHeader w:val="false"/>
          <w:jc w:val="left"/>
        </w:trPr>
        <w:tc>
          <w:tcPr>
            <w:tcW w:w="0" w:type="auto"/>
            <w:tcBorders/>
            <w:shd w:val="clear" w:color="auto" w:fill="auto"/>
            <w:tcMar>
              <w:top w:w="0" w:type="dxa"/>
              <w:left w:w="0" w:type="dxa"/>
              <w:bottom w:w="0" w:type="dxa"/>
              <w:right w:w="0" w:type="dxa"/>
            </w:tcMar>
          </w:tcPr>
          <w:p w14:paraId="000000D7">
            <w:pPr>
              <w:pStyle w:val="style0"/>
              <w:pBdr>
                <w:left w:val="nil"/>
                <w:right w:val="nil"/>
                <w:top w:val="nil"/>
                <w:bottom w:val="nil"/>
                <w:between w:val="nil"/>
              </w:pBdr>
              <w:shd w:val="clear" w:color="auto" w:fill="auto"/>
              <w:rPr>
                <w:b/>
                <w:bCs/>
              </w:rPr>
            </w:pPr>
            <w:r>
              <w:rPr>
                <w:b/>
                <w:bCs/>
              </w:rPr>
              <w:t>Class Specificity</w:t>
            </w:r>
          </w:p>
        </w:tc>
        <w:tc>
          <w:tcPr>
            <w:tcW w:w="0" w:type="auto"/>
            <w:tcBorders/>
            <w:shd w:val="clear" w:color="auto" w:fill="auto"/>
            <w:tcMar>
              <w:top w:w="0" w:type="dxa"/>
              <w:left w:w="0" w:type="dxa"/>
              <w:bottom w:w="0" w:type="dxa"/>
              <w:right w:w="0" w:type="dxa"/>
            </w:tcMar>
          </w:tcPr>
          <w:p w14:paraId="000000D8">
            <w:pPr>
              <w:pStyle w:val="style0"/>
              <w:pBdr>
                <w:left w:val="nil"/>
                <w:right w:val="nil"/>
                <w:top w:val="nil"/>
                <w:bottom w:val="nil"/>
                <w:between w:val="nil"/>
              </w:pBdr>
              <w:shd w:val="clear" w:color="auto" w:fill="auto"/>
              <w:rPr/>
            </w:pPr>
            <w:r>
              <w:rPr/>
              <w:t>\text{Spec}_k = \frac{TN_k}{TN_k + FP_k}</w:t>
            </w:r>
          </w:p>
        </w:tc>
        <w:tc>
          <w:tcPr>
            <w:tcW w:w="0" w:type="auto"/>
            <w:tcBorders/>
            <w:shd w:val="clear" w:color="auto" w:fill="auto"/>
            <w:tcMar>
              <w:top w:w="0" w:type="dxa"/>
              <w:left w:w="0" w:type="dxa"/>
              <w:bottom w:w="0" w:type="dxa"/>
              <w:right w:w="0" w:type="dxa"/>
            </w:tcMar>
          </w:tcPr>
          <w:p w14:paraId="000000D9">
            <w:pPr>
              <w:pStyle w:val="style0"/>
              <w:pBdr>
                <w:left w:val="nil"/>
                <w:right w:val="nil"/>
                <w:top w:val="nil"/>
                <w:bottom w:val="nil"/>
                <w:between w:val="nil"/>
              </w:pBdr>
              <w:shd w:val="clear" w:color="auto" w:fill="auto"/>
              <w:rPr/>
            </w:pPr>
            <w:r>
              <w:rPr/>
              <w:t>&gt; 85\% across all classes</w:t>
            </w:r>
          </w:p>
        </w:tc>
      </w:tr>
      <w:tr w14:paraId="D679E258">
        <w:tblPrEx/>
        <w:trPr>
          <w:cantSplit w:val="false"/>
          <w:tblHeader w:val="false"/>
          <w:jc w:val="left"/>
        </w:trPr>
        <w:tc>
          <w:tcPr>
            <w:tcW w:w="0" w:type="auto"/>
            <w:tcBorders/>
            <w:shd w:val="clear" w:color="auto" w:fill="auto"/>
            <w:tcMar>
              <w:top w:w="0" w:type="dxa"/>
              <w:left w:w="0" w:type="dxa"/>
              <w:bottom w:w="0" w:type="dxa"/>
              <w:right w:w="0" w:type="dxa"/>
            </w:tcMar>
          </w:tcPr>
          <w:p w14:paraId="000000DA">
            <w:pPr>
              <w:pStyle w:val="style0"/>
              <w:pBdr>
                <w:left w:val="nil"/>
                <w:right w:val="nil"/>
                <w:top w:val="nil"/>
                <w:bottom w:val="nil"/>
                <w:between w:val="nil"/>
              </w:pBdr>
              <w:shd w:val="clear" w:color="auto" w:fill="auto"/>
              <w:rPr>
                <w:b/>
                <w:bCs/>
              </w:rPr>
            </w:pPr>
            <w:r>
              <w:rPr>
                <w:b/>
                <w:bCs/>
              </w:rPr>
              <w:t>Macro ROC-AUC</w:t>
            </w:r>
          </w:p>
        </w:tc>
        <w:tc>
          <w:tcPr>
            <w:tcW w:w="0" w:type="auto"/>
            <w:tcBorders/>
            <w:shd w:val="clear" w:color="auto" w:fill="auto"/>
            <w:tcMar>
              <w:top w:w="0" w:type="dxa"/>
              <w:left w:w="0" w:type="dxa"/>
              <w:bottom w:w="0" w:type="dxa"/>
              <w:right w:w="0" w:type="dxa"/>
            </w:tcMar>
          </w:tcPr>
          <w:p w14:paraId="000000DB">
            <w:pPr>
              <w:pStyle w:val="style0"/>
              <w:pBdr>
                <w:left w:val="nil"/>
                <w:right w:val="nil"/>
                <w:top w:val="nil"/>
                <w:bottom w:val="nil"/>
                <w:between w:val="nil"/>
              </w:pBdr>
              <w:shd w:val="clear" w:color="auto" w:fill="auto"/>
              <w:rPr/>
            </w:pPr>
            <w:r>
              <w:rPr/>
              <w:t>\text{AUC}_{\text{macro}} = \frac{1}{K}\sum_{k=1}^{K}\text{AUC}_k</w:t>
            </w:r>
          </w:p>
        </w:tc>
        <w:tc>
          <w:tcPr>
            <w:tcW w:w="0" w:type="auto"/>
            <w:tcBorders/>
            <w:shd w:val="clear" w:color="auto" w:fill="auto"/>
            <w:tcMar>
              <w:top w:w="0" w:type="dxa"/>
              <w:left w:w="0" w:type="dxa"/>
              <w:bottom w:w="0" w:type="dxa"/>
              <w:right w:w="0" w:type="dxa"/>
            </w:tcMar>
          </w:tcPr>
          <w:p w14:paraId="000000DC">
            <w:pPr>
              <w:pStyle w:val="style0"/>
              <w:pBdr>
                <w:left w:val="nil"/>
                <w:right w:val="nil"/>
                <w:top w:val="nil"/>
                <w:bottom w:val="nil"/>
                <w:between w:val="nil"/>
              </w:pBdr>
              <w:shd w:val="clear" w:color="auto" w:fill="auto"/>
              <w:rPr/>
            </w:pPr>
            <w:r>
              <w:rPr/>
              <w:t>&gt; 0.92 Internal Test, &gt; 0.85 External Test</w:t>
            </w:r>
          </w:p>
        </w:tc>
      </w:tr>
      <w:tr w14:paraId="FEE94CDB">
        <w:tblPrEx/>
        <w:trPr>
          <w:cantSplit w:val="false"/>
          <w:tblHeader w:val="false"/>
          <w:jc w:val="left"/>
        </w:trPr>
        <w:tc>
          <w:tcPr>
            <w:tcW w:w="0" w:type="auto"/>
            <w:tcBorders/>
            <w:shd w:val="clear" w:color="auto" w:fill="auto"/>
            <w:tcMar>
              <w:top w:w="0" w:type="dxa"/>
              <w:left w:w="0" w:type="dxa"/>
              <w:bottom w:w="0" w:type="dxa"/>
              <w:right w:w="0" w:type="dxa"/>
            </w:tcMar>
          </w:tcPr>
          <w:p w14:paraId="000000DD">
            <w:pPr>
              <w:pStyle w:val="style0"/>
              <w:pBdr>
                <w:left w:val="nil"/>
                <w:right w:val="nil"/>
                <w:top w:val="nil"/>
                <w:bottom w:val="nil"/>
                <w:between w:val="nil"/>
              </w:pBdr>
              <w:shd w:val="clear" w:color="auto" w:fill="auto"/>
              <w:rPr>
                <w:b/>
                <w:bCs/>
              </w:rPr>
            </w:pPr>
            <w:r>
              <w:rPr>
                <w:b/>
                <w:bCs/>
              </w:rPr>
              <w:t>Expected Calibration Error</w:t>
            </w:r>
          </w:p>
        </w:tc>
        <w:tc>
          <w:tcPr>
            <w:tcW w:w="0" w:type="auto"/>
            <w:tcBorders/>
            <w:shd w:val="clear" w:color="auto" w:fill="auto"/>
            <w:tcMar>
              <w:top w:w="0" w:type="dxa"/>
              <w:left w:w="0" w:type="dxa"/>
              <w:bottom w:w="0" w:type="dxa"/>
              <w:right w:w="0" w:type="dxa"/>
            </w:tcMar>
          </w:tcPr>
          <w:p w14:paraId="000000DE">
            <w:pPr>
              <w:pStyle w:val="style0"/>
              <w:pBdr>
                <w:left w:val="nil"/>
                <w:right w:val="nil"/>
                <w:top w:val="nil"/>
                <w:bottom w:val="nil"/>
                <w:between w:val="nil"/>
              </w:pBdr>
              <w:shd w:val="clear" w:color="auto" w:fill="auto"/>
              <w:rPr/>
            </w:pPr>
            <w:r>
              <w:rPr/>
              <w:t>\text{ECE} = \sum_{m=1}^{M}\frac{\Vert{}B_m\Vert{}}{N}\left\Vert{}\t[span_238](start_span)[span_238](end_span)[span_245](start_span)[span_245](end_span)ext{acc}(B_m) - \text{conf}(B_m)\right\Vert{}</w:t>
            </w:r>
          </w:p>
        </w:tc>
        <w:tc>
          <w:tcPr>
            <w:tcW w:w="0" w:type="auto"/>
            <w:tcBorders/>
            <w:shd w:val="clear" w:color="auto" w:fill="auto"/>
            <w:tcMar>
              <w:top w:w="0" w:type="dxa"/>
              <w:left w:w="0" w:type="dxa"/>
              <w:bottom w:w="0" w:type="dxa"/>
              <w:right w:w="0" w:type="dxa"/>
            </w:tcMar>
          </w:tcPr>
          <w:p w14:paraId="000000DF">
            <w:pPr>
              <w:pStyle w:val="style0"/>
              <w:pBdr>
                <w:left w:val="nil"/>
                <w:right w:val="nil"/>
                <w:top w:val="nil"/>
                <w:bottom w:val="nil"/>
                <w:between w:val="nil"/>
              </w:pBdr>
              <w:shd w:val="clear" w:color="auto" w:fill="auto"/>
              <w:rPr/>
            </w:pPr>
            <w:r>
              <w:rPr/>
              <w:t>&lt; 0.05 (Well-Calibrated Confidence)</w:t>
            </w:r>
          </w:p>
        </w:tc>
      </w:tr>
      <w:tr w14:paraId="2EB6BC60">
        <w:tblPrEx/>
        <w:trPr>
          <w:cantSplit w:val="false"/>
          <w:tblHeader w:val="false"/>
          <w:jc w:val="left"/>
        </w:trPr>
        <w:tc>
          <w:tcPr>
            <w:tcW w:w="0" w:type="auto"/>
            <w:tcBorders/>
            <w:shd w:val="clear" w:color="auto" w:fill="auto"/>
            <w:tcMar>
              <w:top w:w="0" w:type="dxa"/>
              <w:left w:w="0" w:type="dxa"/>
              <w:bottom w:w="0" w:type="dxa"/>
              <w:right w:w="0" w:type="dxa"/>
            </w:tcMar>
          </w:tcPr>
          <w:p w14:paraId="000000E0">
            <w:pPr>
              <w:pStyle w:val="style0"/>
              <w:pBdr>
                <w:left w:val="nil"/>
                <w:right w:val="nil"/>
                <w:top w:val="nil"/>
                <w:bottom w:val="nil"/>
                <w:between w:val="nil"/>
              </w:pBdr>
              <w:shd w:val="clear" w:color="auto" w:fill="auto"/>
              <w:rPr>
                <w:b/>
                <w:bCs/>
              </w:rPr>
            </w:pPr>
            <w:r>
              <w:rPr>
                <w:b/>
                <w:bCs/>
              </w:rPr>
              <w:t>Brier Score</w:t>
            </w:r>
          </w:p>
        </w:tc>
        <w:tc>
          <w:tcPr>
            <w:tcW w:w="0" w:type="auto"/>
            <w:tcBorders/>
            <w:shd w:val="clear" w:color="auto" w:fill="auto"/>
            <w:tcMar>
              <w:top w:w="0" w:type="dxa"/>
              <w:left w:w="0" w:type="dxa"/>
              <w:bottom w:w="0" w:type="dxa"/>
              <w:right w:w="0" w:type="dxa"/>
            </w:tcMar>
          </w:tcPr>
          <w:p w14:paraId="000000E1">
            <w:pPr>
              <w:pStyle w:val="style0"/>
              <w:pBdr>
                <w:left w:val="nil"/>
                <w:right w:val="nil"/>
                <w:top w:val="nil"/>
                <w:bottom w:val="nil"/>
                <w:between w:val="nil"/>
              </w:pBdr>
              <w:shd w:val="clear" w:color="auto" w:fill="auto"/>
              <w:rPr/>
            </w:pPr>
            <w:r>
              <w:rPr/>
              <w:t>\text{BS} = \frac{1}{N}\sum_{i=1}^{N}\sum_{k=1}^{K}(\hat{p}_{ik} - y_{ik})^2</w:t>
            </w:r>
          </w:p>
        </w:tc>
        <w:tc>
          <w:tcPr>
            <w:tcW w:w="0" w:type="auto"/>
            <w:tcBorders/>
            <w:shd w:val="clear" w:color="auto" w:fill="auto"/>
            <w:tcMar>
              <w:top w:w="0" w:type="dxa"/>
              <w:left w:w="0" w:type="dxa"/>
              <w:bottom w:w="0" w:type="dxa"/>
              <w:right w:w="0" w:type="dxa"/>
            </w:tcMar>
          </w:tcPr>
          <w:p w14:paraId="000000E2">
            <w:pPr>
              <w:pStyle w:val="style0"/>
              <w:pBdr>
                <w:left w:val="nil"/>
                <w:right w:val="nil"/>
                <w:top w:val="nil"/>
                <w:bottom w:val="nil"/>
                <w:between w:val="nil"/>
              </w:pBdr>
              <w:shd w:val="clear" w:color="auto" w:fill="auto"/>
              <w:rPr/>
            </w:pPr>
            <w:r>
              <w:rPr/>
              <w:t>&lt; 0.10</w:t>
            </w:r>
          </w:p>
        </w:tc>
      </w:tr>
    </w:tbl>
    <w:p w14:paraId="000000E3">
      <w:pPr>
        <w:pStyle w:val="style3"/>
        <w:pBdr>
          <w:left w:val="nil"/>
          <w:right w:val="nil"/>
          <w:top w:val="nil"/>
          <w:bottom w:val="nil"/>
          <w:between w:val="nil"/>
        </w:pBdr>
        <w:shd w:val="clear" w:color="auto" w:fill="auto"/>
        <w:rPr/>
      </w:pPr>
      <w:r>
        <w:rPr/>
        <w:t>Confidence Intervals and Significance Testing</w:t>
      </w:r>
    </w:p>
    <w:p w14:paraId="000000E4">
      <w:pPr>
        <w:pStyle w:val="style0"/>
        <w:numPr>
          <w:ilvl w:val="0"/>
          <w:numId w:val="12"/>
        </w:numPr>
        <w:pBdr>
          <w:left w:val="nil"/>
          <w:right w:val="nil"/>
          <w:top w:val="nil"/>
          <w:bottom w:val="nil"/>
          <w:between w:val="nil"/>
        </w:pBdr>
        <w:shd w:val="clear" w:color="auto" w:fill="auto"/>
        <w:ind w:left="600" w:hanging="360"/>
        <w:rPr/>
      </w:pPr>
      <w:r>
        <w:rPr>
          <w:b/>
          <w:bCs/>
        </w:rPr>
        <w:t>Non-Parametric Bootstrap Confidence Intervals</w:t>
      </w:r>
      <w:r>
        <w:rPr/>
        <w:t>: All reported metrics include 95% Confidence Intervals computed via non-parametric bootstrapping across B=1,000 resamples of the hold-out test set:</w:t>
      </w:r>
    </w:p>
    <w:p w14:paraId="000000E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00" w:right="0" w:firstLine="0"/>
        <w:jc w:val="left"/>
        <w:rPr/>
      </w:pPr>
      <w:r>
        <w:rPr/>
        <w:t>\text{CI}_{95\%} = \left[ Q_{2.5\%}\left(\{\theta^*_b\}\right), \, Q_{97.5\%}\left(\{\theta^*_b\}\right) \right]</w:t>
      </w:r>
    </w:p>
    <w:p w14:paraId="000000E6">
      <w:pPr>
        <w:pStyle w:val="style0"/>
        <w:numPr>
          <w:ilvl w:val="0"/>
          <w:numId w:val="13"/>
        </w:numPr>
        <w:pBdr>
          <w:left w:val="nil"/>
          <w:right w:val="nil"/>
          <w:top w:val="nil"/>
          <w:bottom w:val="nil"/>
          <w:between w:val="nil"/>
        </w:pBdr>
        <w:shd w:val="clear" w:color="auto" w:fill="auto"/>
        <w:ind w:left="600" w:hanging="360"/>
        <w:rPr/>
      </w:pPr>
      <w:r>
        <w:rPr>
          <w:b/>
          <w:bCs/>
        </w:rPr>
        <w:t>DeLong Test</w:t>
      </w:r>
      <w:r>
        <w:rPr/>
        <w:t>: Evaluates whether differences between Receiver Operating Characteristic (ROC-AUC) curves of OvaryVision and baseline models reach statistical significance (p &lt; 0.05).</w:t>
      </w:r>
    </w:p>
    <w:p w14:paraId="000000E7">
      <w:pPr>
        <w:pStyle w:val="style0"/>
        <w:numPr>
          <w:ilvl w:val="0"/>
          <w:numId w:val="13"/>
        </w:numPr>
        <w:pBdr>
          <w:left w:val="nil"/>
          <w:right w:val="nil"/>
          <w:top w:val="nil"/>
          <w:bottom w:val="nil"/>
          <w:between w:val="nil"/>
        </w:pBdr>
        <w:shd w:val="clear" w:color="auto" w:fill="auto"/>
        <w:ind w:left="600" w:hanging="360"/>
        <w:rPr/>
      </w:pPr>
      <w:r>
        <w:rPr>
          <w:b/>
          <w:bCs/>
        </w:rPr>
        <w:t>McNemar’s Test</w:t>
      </w:r>
      <w:r>
        <w:rPr/>
        <w:t>: Evaluates paired nominal confusion matrices to verify whether reductions in diagnostic classification errors are statistically significant.</w:t>
      </w:r>
    </w:p>
    <w:p w14:paraId="000000E8">
      <w:pPr>
        <w:pStyle w:val="style2"/>
        <w:pBdr>
          <w:left w:val="nil"/>
          <w:right w:val="nil"/>
          <w:top w:val="nil"/>
          <w:bottom w:val="nil"/>
          <w:between w:val="nil"/>
        </w:pBdr>
        <w:shd w:val="clear" w:color="auto" w:fill="auto"/>
        <w:rPr/>
      </w:pPr>
      <w:r>
        <w:rPr/>
        <w:t>P. Technical Reproducibility Plan</w:t>
      </w:r>
    </w:p>
    <w:p w14:paraId="000000E9">
      <w:pPr>
        <w:pStyle w:val="style0"/>
        <w:pBdr>
          <w:left w:val="nil"/>
          <w:right w:val="nil"/>
          <w:top w:val="nil"/>
          <w:bottom w:val="nil"/>
          <w:between w:val="nil"/>
        </w:pBdr>
        <w:shd w:val="clear" w:color="auto" w:fill="auto"/>
        <w:spacing w:after="225"/>
        <w:rPr>
          <w:rFonts w:ascii="Arial" w:cs="Arial" w:eastAsia="Arial" w:hAnsi="Arial"/>
        </w:rPr>
      </w:pPr>
      <w:r>
        <w:rPr>
          <w:rFonts w:ascii="Arial" w:cs="Arial" w:eastAsia="Arial" w:hAnsi="Arial"/>
        </w:rPr>
        <w:t xml:space="preserve">  [ Software Environment ] ──► Python 3.10, PyTorch 2.2, torchvision, CUDA 12.1, MMSegmentation, Captum</w:t>
      </w:r>
      <w:r>
        <w:rPr>
          <w:rFonts w:ascii="Arial" w:cs="Arial" w:eastAsia="Arial" w:hAnsi="Arial"/>
        </w:rPr>
        <w:br/>
      </w:r>
      <w:r>
        <w:rPr>
          <w:rFonts w:ascii="Arial" w:cs="Arial" w:eastAsia="Arial" w:hAnsi="Arial"/>
        </w:rPr>
        <w:t xml:space="preserve">  [ Deterministic Seeds ]  ──► Fixed seeds (seed=42) across PyTorch, NumPy, Python random, CUDA flags</w:t>
      </w:r>
      <w:r>
        <w:rPr>
          <w:rFonts w:ascii="Arial" w:cs="Arial" w:eastAsia="Arial" w:hAnsi="Arial"/>
        </w:rPr>
        <w:br/>
      </w:r>
      <w:r>
        <w:rPr>
          <w:rFonts w:ascii="Arial" w:cs="Arial" w:eastAsia="Arial" w:hAnsi="Arial"/>
        </w:rPr>
        <w:t xml:space="preserve">  [ Experiment Tracking]  ──► Weights &amp; Biases (W&amp;B) logging loss curves, calibration plots, metrics</w:t>
      </w:r>
      <w:r>
        <w:rPr>
          <w:rFonts w:ascii="Arial" w:cs="Arial" w:eastAsia="Arial" w:hAnsi="Arial"/>
        </w:rPr>
        <w:br/>
      </w:r>
      <w:r>
        <w:rPr>
          <w:rFonts w:ascii="Arial" w:cs="Arial" w:eastAsia="Arial" w:hAnsi="Arial"/>
        </w:rPr>
        <w:t xml:space="preserve">  [ Data Versioning ]     ──► Data Version Control (DVC) tracking raw, MGGAN inpainted datasets, and splits</w:t>
      </w:r>
      <w:r>
        <w:rPr>
          <w:rFonts w:ascii="Arial" w:cs="Arial" w:eastAsia="Arial" w:hAnsi="Arial"/>
        </w:rPr>
        <w:br/>
      </w:r>
      <w:r>
        <w:rPr>
          <w:rFonts w:ascii="Arial" w:cs="Arial" w:eastAsia="Arial" w:hAnsi="Arial"/>
        </w:rPr>
        <w:t xml:space="preserve">  [ Model Export ]        ──► Open Neural Network Exchange (ONNX) format with integrated preprocessing parameters</w:t>
      </w:r>
      <w:r>
        <w:rPr>
          <w:rFonts w:ascii="Arial" w:cs="Arial" w:eastAsia="Arial" w:hAnsi="Arial"/>
        </w:rPr>
        <w:br/>
      </w:r>
    </w:p>
    <w:p w14:paraId="000000EA">
      <w:pPr>
        <w:pStyle w:val="style2"/>
        <w:pBdr>
          <w:left w:val="nil"/>
          <w:right w:val="nil"/>
          <w:top w:val="nil"/>
          <w:bottom w:val="nil"/>
          <w:between w:val="nil"/>
        </w:pBdr>
        <w:shd w:val="clear" w:color="auto" w:fill="auto"/>
        <w:spacing w:before="0" w:after="240"/>
        <w:rPr/>
      </w:pPr>
      <w:r>
        <w:rPr/>
        <w:t>Q. Publication Strategy &amp; Target Venues</w:t>
      </w:r>
    </w:p>
    <w:p w14:paraId="000000EB">
      <w:pPr>
        <w:pStyle w:val="style3"/>
        <w:pBdr>
          <w:left w:val="nil"/>
          <w:right w:val="nil"/>
          <w:top w:val="nil"/>
          <w:bottom w:val="nil"/>
          <w:between w:val="nil"/>
        </w:pBdr>
        <w:shd w:val="clear" w:color="auto" w:fill="auto"/>
        <w:spacing w:before="0"/>
        <w:rPr/>
      </w:pPr>
      <w:r>
        <w:rPr/>
        <w:t>Primary Publication Targets</w:t>
      </w:r>
    </w:p>
    <w:p w14:paraId="000000EC">
      <w:pPr>
        <w:pStyle w:val="style0"/>
        <w:numPr>
          <w:ilvl w:val="0"/>
          <w:numId w:val="14"/>
        </w:numPr>
        <w:pBdr>
          <w:left w:val="nil"/>
          <w:right w:val="nil"/>
          <w:top w:val="nil"/>
          <w:bottom w:val="nil"/>
          <w:between w:val="nil"/>
        </w:pBdr>
        <w:shd w:val="clear" w:color="auto" w:fill="auto"/>
        <w:ind w:left="600" w:hanging="360"/>
        <w:rPr/>
      </w:pPr>
      <w:r>
        <w:rPr>
          <w:b/>
          <w:bCs/>
        </w:rPr>
        <w:t>Realistic Primary Target</w:t>
      </w:r>
      <w:r>
        <w:rPr/>
        <w:t xml:space="preserve">: </w:t>
      </w:r>
      <w:r>
        <w:rPr>
          <w:i/>
          <w:iCs/>
        </w:rPr>
        <w:t>Computers in Biology and Medicine</w:t>
      </w:r>
      <w:r>
        <w:rPr/>
        <w:t xml:space="preserve"> (Elsevier) or </w:t>
      </w:r>
      <w:r>
        <w:rPr>
          <w:i/>
          <w:iCs/>
        </w:rPr>
        <w:t>IEEE Journal of Biomedical and Health Informatics (JBHI)</w:t>
      </w:r>
      <w:r>
        <w:rPr/>
        <w:t>. These venues emphasize rigorous experimental methodology, artifact removal, multi-task learning, and statistical validation on medical imaging benchmarks.</w:t>
      </w:r>
    </w:p>
    <w:p w14:paraId="000000ED">
      <w:pPr>
        <w:pStyle w:val="style0"/>
        <w:numPr>
          <w:ilvl w:val="0"/>
          <w:numId w:val="14"/>
        </w:numPr>
        <w:pBdr>
          <w:left w:val="nil"/>
          <w:right w:val="nil"/>
          <w:top w:val="nil"/>
          <w:bottom w:val="nil"/>
          <w:between w:val="nil"/>
        </w:pBdr>
        <w:shd w:val="clear" w:color="auto" w:fill="auto"/>
        <w:ind w:left="600" w:hanging="360"/>
        <w:rPr/>
      </w:pPr>
      <w:r>
        <w:rPr>
          <w:b/>
          <w:bCs/>
        </w:rPr>
        <w:t>Ambitious High-Impact Target</w:t>
      </w:r>
      <w:r>
        <w:rPr/>
        <w:t xml:space="preserve">: </w:t>
      </w:r>
      <w:r>
        <w:rPr>
          <w:i/>
          <w:iCs/>
        </w:rPr>
        <w:t>IEEE Transactions on Medical Imaging (IEEE TMI)</w:t>
      </w:r>
      <w:r>
        <w:rPr/>
        <w:t xml:space="preserve"> or </w:t>
      </w:r>
      <w:r>
        <w:rPr>
          <w:i/>
          <w:iCs/>
        </w:rPr>
        <w:t>Medical Image Analysis (MedIA)</w:t>
      </w:r>
      <w:r>
        <w:rPr/>
        <w:t>. Attainable if the project incorporates multi-center prospective validation and novel theoretical contributions in task loss balancing.</w:t>
      </w:r>
    </w:p>
    <w:p w14:paraId="000000EE">
      <w:pPr>
        <w:pStyle w:val="style2"/>
        <w:pBdr>
          <w:left w:val="nil"/>
          <w:right w:val="nil"/>
          <w:top w:val="nil"/>
          <w:bottom w:val="nil"/>
          <w:between w:val="nil"/>
        </w:pBdr>
        <w:shd w:val="clear" w:color="auto" w:fill="auto"/>
        <w:rPr/>
      </w:pPr>
      <w:r>
        <w:rPr/>
        <w:t>R. Risk Analysis &amp; Mitigation Strategies</w:t>
      </w:r>
    </w:p>
    <w:tbl>
      <w:tblPr>
        <w:tblStyle w:val="style4101"/>
        <w:tblW w:w="936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14:paraId="1D0184A2">
        <w:trPr>
          <w:cantSplit w:val="false"/>
          <w:tblHeader/>
          <w:jc w:val="left"/>
        </w:trPr>
        <w:tc>
          <w:tcPr>
            <w:tcW w:w="0" w:type="auto"/>
            <w:tcBorders/>
            <w:shd w:val="clear" w:color="auto" w:fill="auto"/>
            <w:tcMar>
              <w:top w:w="0" w:type="dxa"/>
              <w:left w:w="0" w:type="dxa"/>
              <w:bottom w:w="0" w:type="dxa"/>
              <w:right w:w="0" w:type="dxa"/>
            </w:tcMar>
          </w:tcPr>
          <w:p w14:paraId="000000EF">
            <w:pPr>
              <w:pStyle w:val="style0"/>
              <w:pBdr>
                <w:left w:val="nil"/>
                <w:right w:val="nil"/>
                <w:top w:val="nil"/>
                <w:bottom w:val="nil"/>
                <w:between w:val="nil"/>
              </w:pBdr>
              <w:shd w:val="clear" w:color="auto" w:fill="auto"/>
              <w:rPr/>
            </w:pPr>
            <w:r>
              <w:rPr/>
              <w:t>Failure Mode</w:t>
            </w:r>
          </w:p>
        </w:tc>
        <w:tc>
          <w:tcPr>
            <w:tcW w:w="0" w:type="auto"/>
            <w:tcBorders/>
            <w:shd w:val="clear" w:color="auto" w:fill="auto"/>
            <w:tcMar>
              <w:top w:w="0" w:type="dxa"/>
              <w:left w:w="0" w:type="dxa"/>
              <w:bottom w:w="0" w:type="dxa"/>
              <w:right w:w="0" w:type="dxa"/>
            </w:tcMar>
          </w:tcPr>
          <w:p w14:paraId="000000F0">
            <w:pPr>
              <w:pStyle w:val="style0"/>
              <w:pBdr>
                <w:left w:val="nil"/>
                <w:right w:val="nil"/>
                <w:top w:val="nil"/>
                <w:bottom w:val="nil"/>
                <w:between w:val="nil"/>
              </w:pBdr>
              <w:shd w:val="clear" w:color="auto" w:fill="auto"/>
              <w:rPr/>
            </w:pPr>
            <w:r>
              <w:rPr/>
              <w:t>Underlying Root Cause</w:t>
            </w:r>
          </w:p>
        </w:tc>
        <w:tc>
          <w:tcPr>
            <w:tcW w:w="0" w:type="auto"/>
            <w:tcBorders/>
            <w:shd w:val="clear" w:color="auto" w:fill="auto"/>
            <w:tcMar>
              <w:top w:w="0" w:type="dxa"/>
              <w:left w:w="0" w:type="dxa"/>
              <w:bottom w:w="0" w:type="dxa"/>
              <w:right w:w="0" w:type="dxa"/>
            </w:tcMar>
          </w:tcPr>
          <w:p w14:paraId="000000F1">
            <w:pPr>
              <w:pStyle w:val="style0"/>
              <w:pBdr>
                <w:left w:val="nil"/>
                <w:right w:val="nil"/>
                <w:top w:val="nil"/>
                <w:bottom w:val="nil"/>
                <w:between w:val="nil"/>
              </w:pBdr>
              <w:shd w:val="clear" w:color="auto" w:fill="auto"/>
              <w:rPr/>
            </w:pPr>
            <w:r>
              <w:rPr/>
              <w:t>Impact</w:t>
            </w:r>
          </w:p>
        </w:tc>
        <w:tc>
          <w:tcPr>
            <w:tcW w:w="0" w:type="auto"/>
            <w:tcBorders/>
            <w:shd w:val="clear" w:color="auto" w:fill="auto"/>
            <w:tcMar>
              <w:top w:w="0" w:type="dxa"/>
              <w:left w:w="0" w:type="dxa"/>
              <w:bottom w:w="0" w:type="dxa"/>
              <w:right w:w="0" w:type="dxa"/>
            </w:tcMar>
          </w:tcPr>
          <w:p w14:paraId="000000F2">
            <w:pPr>
              <w:pStyle w:val="style0"/>
              <w:pBdr>
                <w:left w:val="nil"/>
                <w:right w:val="nil"/>
                <w:top w:val="nil"/>
                <w:bottom w:val="nil"/>
                <w:between w:val="nil"/>
              </w:pBdr>
              <w:shd w:val="clear" w:color="auto" w:fill="auto"/>
              <w:rPr/>
            </w:pPr>
            <w:r>
              <w:rPr/>
              <w:t>Mitigation Protocol</w:t>
            </w:r>
          </w:p>
        </w:tc>
      </w:tr>
      <w:tr w14:paraId="643849FF">
        <w:tblPrEx/>
        <w:trPr>
          <w:cantSplit w:val="false"/>
          <w:tblHeader w:val="false"/>
          <w:jc w:val="left"/>
        </w:trPr>
        <w:tc>
          <w:tcPr>
            <w:tcW w:w="0" w:type="auto"/>
            <w:tcBorders/>
            <w:shd w:val="clear" w:color="auto" w:fill="auto"/>
            <w:tcMar>
              <w:top w:w="0" w:type="dxa"/>
              <w:left w:w="0" w:type="dxa"/>
              <w:bottom w:w="0" w:type="dxa"/>
              <w:right w:w="0" w:type="dxa"/>
            </w:tcMar>
          </w:tcPr>
          <w:p w14:paraId="000000F3">
            <w:pPr>
              <w:pStyle w:val="style0"/>
              <w:pBdr>
                <w:left w:val="nil"/>
                <w:right w:val="nil"/>
                <w:top w:val="nil"/>
                <w:bottom w:val="nil"/>
                <w:between w:val="nil"/>
              </w:pBdr>
              <w:shd w:val="clear" w:color="auto" w:fill="auto"/>
              <w:rPr>
                <w:b/>
                <w:bCs/>
              </w:rPr>
            </w:pPr>
            <w:r>
              <w:rPr>
                <w:b/>
                <w:bCs/>
              </w:rPr>
              <w:t>Inpainting Artifact Generation</w:t>
            </w:r>
          </w:p>
        </w:tc>
        <w:tc>
          <w:tcPr>
            <w:tcW w:w="0" w:type="auto"/>
            <w:tcBorders/>
            <w:shd w:val="clear" w:color="auto" w:fill="auto"/>
            <w:tcMar>
              <w:top w:w="0" w:type="dxa"/>
              <w:left w:w="0" w:type="dxa"/>
              <w:bottom w:w="0" w:type="dxa"/>
              <w:right w:w="0" w:type="dxa"/>
            </w:tcMar>
          </w:tcPr>
          <w:p w14:paraId="000000F4">
            <w:pPr>
              <w:pStyle w:val="style0"/>
              <w:pBdr>
                <w:left w:val="nil"/>
                <w:right w:val="nil"/>
                <w:top w:val="nil"/>
                <w:bottom w:val="nil"/>
                <w:between w:val="nil"/>
              </w:pBdr>
              <w:shd w:val="clear" w:color="auto" w:fill="auto"/>
              <w:rPr/>
            </w:pPr>
            <w:r>
              <w:rPr/>
              <w:t>MGGAN produces unrealistically smooth texture in large cropped regions.</w:t>
            </w:r>
          </w:p>
        </w:tc>
        <w:tc>
          <w:tcPr>
            <w:tcW w:w="0" w:type="auto"/>
            <w:tcBorders/>
            <w:shd w:val="clear" w:color="auto" w:fill="auto"/>
            <w:tcMar>
              <w:top w:w="0" w:type="dxa"/>
              <w:left w:w="0" w:type="dxa"/>
              <w:bottom w:w="0" w:type="dxa"/>
              <w:right w:w="0" w:type="dxa"/>
            </w:tcMar>
          </w:tcPr>
          <w:p w14:paraId="000000F5">
            <w:pPr>
              <w:pStyle w:val="style0"/>
              <w:pBdr>
                <w:left w:val="nil"/>
                <w:right w:val="nil"/>
                <w:top w:val="nil"/>
                <w:bottom w:val="nil"/>
                <w:between w:val="nil"/>
              </w:pBdr>
              <w:shd w:val="clear" w:color="auto" w:fill="auto"/>
              <w:rPr/>
            </w:pPr>
            <w:r>
              <w:rPr/>
              <w:t>High</w:t>
            </w:r>
          </w:p>
        </w:tc>
        <w:tc>
          <w:tcPr>
            <w:tcW w:w="0" w:type="auto"/>
            <w:tcBorders/>
            <w:shd w:val="clear" w:color="auto" w:fill="auto"/>
            <w:tcMar>
              <w:top w:w="0" w:type="dxa"/>
              <w:left w:w="0" w:type="dxa"/>
              <w:bottom w:w="0" w:type="dxa"/>
              <w:right w:w="0" w:type="dxa"/>
            </w:tcMar>
          </w:tcPr>
          <w:p w14:paraId="000000F6">
            <w:pPr>
              <w:pStyle w:val="style0"/>
              <w:pBdr>
                <w:left w:val="nil"/>
                <w:right w:val="nil"/>
                <w:top w:val="nil"/>
                <w:bottom w:val="nil"/>
                <w:between w:val="nil"/>
              </w:pBdr>
              <w:shd w:val="clear" w:color="auto" w:fill="auto"/>
              <w:rPr/>
            </w:pPr>
            <w:r>
              <w:rPr/>
              <w:t>Apply Structural Similarity Index (SSIM) quality filters; discard scans where inpainting distortion exceeds threshold.</w:t>
            </w:r>
          </w:p>
        </w:tc>
      </w:tr>
      <w:tr w14:paraId="86F24903">
        <w:tblPrEx/>
        <w:trPr>
          <w:cantSplit w:val="false"/>
          <w:tblHeader w:val="false"/>
          <w:jc w:val="left"/>
        </w:trPr>
        <w:tc>
          <w:tcPr>
            <w:tcW w:w="0" w:type="auto"/>
            <w:tcBorders/>
            <w:shd w:val="clear" w:color="auto" w:fill="auto"/>
            <w:tcMar>
              <w:top w:w="0" w:type="dxa"/>
              <w:left w:w="0" w:type="dxa"/>
              <w:bottom w:w="0" w:type="dxa"/>
              <w:right w:w="0" w:type="dxa"/>
            </w:tcMar>
          </w:tcPr>
          <w:p w14:paraId="000000F7">
            <w:pPr>
              <w:pStyle w:val="style0"/>
              <w:pBdr>
                <w:left w:val="nil"/>
                <w:right w:val="nil"/>
                <w:top w:val="nil"/>
                <w:bottom w:val="nil"/>
                <w:between w:val="nil"/>
              </w:pBdr>
              <w:shd w:val="clear" w:color="auto" w:fill="auto"/>
              <w:rPr>
                <w:b/>
                <w:bCs/>
              </w:rPr>
            </w:pPr>
            <w:r>
              <w:rPr>
                <w:b/>
                <w:bCs/>
              </w:rPr>
              <w:t>Multi-Task Gradient Conflict</w:t>
            </w:r>
          </w:p>
        </w:tc>
        <w:tc>
          <w:tcPr>
            <w:tcW w:w="0" w:type="auto"/>
            <w:tcBorders/>
            <w:shd w:val="clear" w:color="auto" w:fill="auto"/>
            <w:tcMar>
              <w:top w:w="0" w:type="dxa"/>
              <w:left w:w="0" w:type="dxa"/>
              <w:bottom w:w="0" w:type="dxa"/>
              <w:right w:w="0" w:type="dxa"/>
            </w:tcMar>
          </w:tcPr>
          <w:p w14:paraId="000000F8">
            <w:pPr>
              <w:pStyle w:val="style0"/>
              <w:pBdr>
                <w:left w:val="nil"/>
                <w:right w:val="nil"/>
                <w:top w:val="nil"/>
                <w:bottom w:val="nil"/>
                <w:between w:val="nil"/>
              </w:pBdr>
              <w:shd w:val="clear" w:color="auto" w:fill="auto"/>
              <w:rPr/>
            </w:pPr>
            <w:r>
              <w:rPr/>
              <w:t>Segmentation loss and classification loss gradients diverge during backpropagation.</w:t>
            </w:r>
          </w:p>
        </w:tc>
        <w:tc>
          <w:tcPr>
            <w:tcW w:w="0" w:type="auto"/>
            <w:tcBorders/>
            <w:shd w:val="clear" w:color="auto" w:fill="auto"/>
            <w:tcMar>
              <w:top w:w="0" w:type="dxa"/>
              <w:left w:w="0" w:type="dxa"/>
              <w:bottom w:w="0" w:type="dxa"/>
              <w:right w:w="0" w:type="dxa"/>
            </w:tcMar>
          </w:tcPr>
          <w:p w14:paraId="000000F9">
            <w:pPr>
              <w:pStyle w:val="style0"/>
              <w:pBdr>
                <w:left w:val="nil"/>
                <w:right w:val="nil"/>
                <w:top w:val="nil"/>
                <w:bottom w:val="nil"/>
                <w:between w:val="nil"/>
              </w:pBdr>
              <w:shd w:val="clear" w:color="auto" w:fill="auto"/>
              <w:rPr/>
            </w:pPr>
            <w:r>
              <w:rPr/>
              <w:t>Medium</w:t>
            </w:r>
          </w:p>
        </w:tc>
        <w:tc>
          <w:tcPr>
            <w:tcW w:w="0" w:type="auto"/>
            <w:tcBorders/>
            <w:shd w:val="clear" w:color="auto" w:fill="auto"/>
            <w:tcMar>
              <w:top w:w="0" w:type="dxa"/>
              <w:left w:w="0" w:type="dxa"/>
              <w:bottom w:w="0" w:type="dxa"/>
              <w:right w:w="0" w:type="dxa"/>
            </w:tcMar>
          </w:tcPr>
          <w:p w14:paraId="000000FA">
            <w:pPr>
              <w:pStyle w:val="style0"/>
              <w:pBdr>
                <w:left w:val="nil"/>
                <w:right w:val="nil"/>
                <w:top w:val="nil"/>
                <w:bottom w:val="nil"/>
                <w:between w:val="nil"/>
              </w:pBdr>
              <w:shd w:val="clear" w:color="auto" w:fill="auto"/>
              <w:rPr/>
            </w:pPr>
            <w:r>
              <w:rPr/>
              <w:t>Implement Dynamic Task Weighting (GradNorm) to dynamically scale task loss parameters \alpha and \beta.</w:t>
            </w:r>
          </w:p>
        </w:tc>
      </w:tr>
      <w:tr w14:paraId="21456BAB">
        <w:tblPrEx/>
        <w:trPr>
          <w:cantSplit w:val="false"/>
          <w:tblHeader w:val="false"/>
          <w:jc w:val="left"/>
        </w:trPr>
        <w:tc>
          <w:tcPr>
            <w:tcW w:w="0" w:type="auto"/>
            <w:tcBorders/>
            <w:shd w:val="clear" w:color="auto" w:fill="auto"/>
            <w:tcMar>
              <w:top w:w="0" w:type="dxa"/>
              <w:left w:w="0" w:type="dxa"/>
              <w:bottom w:w="0" w:type="dxa"/>
              <w:right w:w="0" w:type="dxa"/>
            </w:tcMar>
          </w:tcPr>
          <w:p w14:paraId="000000FB">
            <w:pPr>
              <w:pStyle w:val="style0"/>
              <w:pBdr>
                <w:left w:val="nil"/>
                <w:right w:val="nil"/>
                <w:top w:val="nil"/>
                <w:bottom w:val="nil"/>
                <w:between w:val="nil"/>
              </w:pBdr>
              <w:shd w:val="clear" w:color="auto" w:fill="auto"/>
              <w:rPr>
                <w:b/>
                <w:bCs/>
              </w:rPr>
            </w:pPr>
            <w:r>
              <w:rPr>
                <w:b/>
                <w:bCs/>
              </w:rPr>
              <w:t>Borderline Tumor Misclassification</w:t>
            </w:r>
          </w:p>
        </w:tc>
        <w:tc>
          <w:tcPr>
            <w:tcW w:w="0" w:type="auto"/>
            <w:tcBorders/>
            <w:shd w:val="clear" w:color="auto" w:fill="auto"/>
            <w:tcMar>
              <w:top w:w="0" w:type="dxa"/>
              <w:left w:w="0" w:type="dxa"/>
              <w:bottom w:w="0" w:type="dxa"/>
              <w:right w:w="0" w:type="dxa"/>
            </w:tcMar>
          </w:tcPr>
          <w:p w14:paraId="000000FC">
            <w:pPr>
              <w:pStyle w:val="style0"/>
              <w:pBdr>
                <w:left w:val="nil"/>
                <w:right w:val="nil"/>
                <w:top w:val="nil"/>
                <w:bottom w:val="nil"/>
                <w:between w:val="nil"/>
              </w:pBdr>
              <w:shd w:val="clear" w:color="auto" w:fill="auto"/>
              <w:rPr/>
            </w:pPr>
            <w:r>
              <w:rPr/>
              <w:t>Histopathological feature overlap between BOTs and complex cystadenomas.</w:t>
            </w:r>
          </w:p>
        </w:tc>
        <w:tc>
          <w:tcPr>
            <w:tcW w:w="0" w:type="auto"/>
            <w:tcBorders/>
            <w:shd w:val="clear" w:color="auto" w:fill="auto"/>
            <w:tcMar>
              <w:top w:w="0" w:type="dxa"/>
              <w:left w:w="0" w:type="dxa"/>
              <w:bottom w:w="0" w:type="dxa"/>
              <w:right w:w="0" w:type="dxa"/>
            </w:tcMar>
          </w:tcPr>
          <w:p w14:paraId="000000FD">
            <w:pPr>
              <w:pStyle w:val="style0"/>
              <w:pBdr>
                <w:left w:val="nil"/>
                <w:right w:val="nil"/>
                <w:top w:val="nil"/>
                <w:bottom w:val="nil"/>
                <w:between w:val="nil"/>
              </w:pBdr>
              <w:shd w:val="clear" w:color="auto" w:fill="auto"/>
              <w:rPr/>
            </w:pPr>
            <w:r>
              <w:rPr/>
              <w:t>High</w:t>
            </w:r>
          </w:p>
        </w:tc>
        <w:tc>
          <w:tcPr>
            <w:tcW w:w="0" w:type="auto"/>
            <w:tcBorders/>
            <w:shd w:val="clear" w:color="auto" w:fill="auto"/>
            <w:tcMar>
              <w:top w:w="0" w:type="dxa"/>
              <w:left w:w="0" w:type="dxa"/>
              <w:bottom w:w="0" w:type="dxa"/>
              <w:right w:w="0" w:type="dxa"/>
            </w:tcMar>
          </w:tcPr>
          <w:p w14:paraId="000000FE">
            <w:pPr>
              <w:pStyle w:val="style0"/>
              <w:pBdr>
                <w:left w:val="nil"/>
                <w:right w:val="nil"/>
                <w:top w:val="nil"/>
                <w:bottom w:val="nil"/>
                <w:between w:val="nil"/>
              </w:pBdr>
              <w:shd w:val="clear" w:color="auto" w:fill="auto"/>
              <w:rPr/>
            </w:pPr>
            <w:r>
              <w:rPr/>
              <w:t>Apply targeted Focal Loss weighting (w_{\text{BOT}} = 3.0) and incorporate clinical features into the classification layer.</w:t>
            </w:r>
          </w:p>
        </w:tc>
      </w:tr>
      <w:tr w14:paraId="A7825E34">
        <w:tblPrEx/>
        <w:trPr>
          <w:cantSplit w:val="false"/>
          <w:tblHeader w:val="false"/>
          <w:jc w:val="left"/>
        </w:trPr>
        <w:tc>
          <w:tcPr>
            <w:tcW w:w="0" w:type="auto"/>
            <w:tcBorders/>
            <w:shd w:val="clear" w:color="auto" w:fill="auto"/>
            <w:tcMar>
              <w:top w:w="0" w:type="dxa"/>
              <w:left w:w="0" w:type="dxa"/>
              <w:bottom w:w="0" w:type="dxa"/>
              <w:right w:w="0" w:type="dxa"/>
            </w:tcMar>
          </w:tcPr>
          <w:p w14:paraId="000000FF">
            <w:pPr>
              <w:pStyle w:val="style0"/>
              <w:pBdr>
                <w:left w:val="nil"/>
                <w:right w:val="nil"/>
                <w:top w:val="nil"/>
                <w:bottom w:val="nil"/>
                <w:between w:val="nil"/>
              </w:pBdr>
              <w:shd w:val="clear" w:color="auto" w:fill="auto"/>
              <w:rPr>
                <w:b/>
                <w:bCs/>
              </w:rPr>
            </w:pPr>
            <w:r>
              <w:rPr>
                <w:b/>
                <w:bCs/>
              </w:rPr>
              <w:t>Severe External Domain Shift</w:t>
            </w:r>
          </w:p>
        </w:tc>
        <w:tc>
          <w:tcPr>
            <w:tcW w:w="0" w:type="auto"/>
            <w:tcBorders/>
            <w:shd w:val="clear" w:color="auto" w:fill="auto"/>
            <w:tcMar>
              <w:top w:w="0" w:type="dxa"/>
              <w:left w:w="0" w:type="dxa"/>
              <w:bottom w:w="0" w:type="dxa"/>
              <w:right w:w="0" w:type="dxa"/>
            </w:tcMar>
          </w:tcPr>
          <w:p w14:paraId="00000100">
            <w:pPr>
              <w:pStyle w:val="style0"/>
              <w:pBdr>
                <w:left w:val="nil"/>
                <w:right w:val="nil"/>
                <w:top w:val="nil"/>
                <w:bottom w:val="nil"/>
                <w:between w:val="nil"/>
              </w:pBdr>
              <w:shd w:val="clear" w:color="auto" w:fill="auto"/>
              <w:rPr/>
            </w:pPr>
            <w:r>
              <w:rPr/>
              <w:t>Ultrasound hardware variations cause performance drop on external test sets.</w:t>
            </w:r>
          </w:p>
        </w:tc>
        <w:tc>
          <w:tcPr>
            <w:tcW w:w="0" w:type="auto"/>
            <w:tcBorders/>
            <w:shd w:val="clear" w:color="auto" w:fill="auto"/>
            <w:tcMar>
              <w:top w:w="0" w:type="dxa"/>
              <w:left w:w="0" w:type="dxa"/>
              <w:bottom w:w="0" w:type="dxa"/>
              <w:right w:w="0" w:type="dxa"/>
            </w:tcMar>
          </w:tcPr>
          <w:p w14:paraId="00000101">
            <w:pPr>
              <w:pStyle w:val="style0"/>
              <w:pBdr>
                <w:left w:val="nil"/>
                <w:right w:val="nil"/>
                <w:top w:val="nil"/>
                <w:bottom w:val="nil"/>
                <w:between w:val="nil"/>
              </w:pBdr>
              <w:shd w:val="clear" w:color="auto" w:fill="auto"/>
              <w:rPr/>
            </w:pPr>
            <w:r>
              <w:rPr/>
              <w:t>High</w:t>
            </w:r>
          </w:p>
        </w:tc>
        <w:tc>
          <w:tcPr>
            <w:tcW w:w="0" w:type="auto"/>
            <w:tcBorders/>
            <w:shd w:val="clear" w:color="auto" w:fill="auto"/>
            <w:tcMar>
              <w:top w:w="0" w:type="dxa"/>
              <w:left w:w="0" w:type="dxa"/>
              <w:bottom w:w="0" w:type="dxa"/>
              <w:right w:w="0" w:type="dxa"/>
            </w:tcMar>
          </w:tcPr>
          <w:p w14:paraId="00000102">
            <w:pPr>
              <w:pStyle w:val="style0"/>
              <w:pBdr>
                <w:left w:val="nil"/>
                <w:right w:val="nil"/>
                <w:top w:val="nil"/>
                <w:bottom w:val="nil"/>
                <w:between w:val="nil"/>
              </w:pBdr>
              <w:shd w:val="clear" w:color="auto" w:fill="auto"/>
              <w:rPr/>
            </w:pPr>
            <w:r>
              <w:rPr/>
              <w:t>Apply dynamic intensity normalization and histogram matching during out-of-domain evaluation.</w:t>
            </w:r>
          </w:p>
        </w:tc>
      </w:tr>
    </w:tbl>
    <w:p w14:paraId="00000103">
      <w:pPr>
        <w:pStyle w:val="style2"/>
        <w:pBdr>
          <w:left w:val="nil"/>
          <w:right w:val="nil"/>
          <w:top w:val="nil"/>
          <w:bottom w:val="nil"/>
          <w:between w:val="nil"/>
        </w:pBdr>
        <w:shd w:val="clear" w:color="auto" w:fill="auto"/>
        <w:rPr/>
      </w:pPr>
      <w:r>
        <w:rPr/>
        <w:t>S. 16-Week Implementation Roadmap</w:t>
      </w:r>
    </w:p>
    <w:p w14:paraId="00000104">
      <w:pPr>
        <w:pStyle w:val="style0"/>
        <w:pBdr>
          <w:left w:val="nil"/>
          <w:right w:val="nil"/>
          <w:top w:val="nil"/>
          <w:bottom w:val="nil"/>
          <w:between w:val="nil"/>
        </w:pBdr>
        <w:shd w:val="clear" w:color="auto" w:fill="auto"/>
        <w:spacing w:after="240"/>
        <w:rPr>
          <w:rFonts w:ascii="Arial" w:cs="Arial" w:eastAsia="Arial" w:hAnsi="Arial"/>
        </w:rPr>
      </w:pPr>
      <w:r>
        <w:rPr>
          <w:rFonts w:ascii="Arial" w:cs="Arial" w:eastAsia="Arial" w:hAnsi="Arial"/>
        </w:rPr>
        <w:t xml:space="preserve">  Weeks 01[span_230](start_span)[span_230](end_span)[span_233](start_span)[span_233](end_span) - 04 : Phase 1 — Data Curation, Artifact Inpainting &amp; Audit</w:t>
      </w:r>
      <w:r>
        <w:rPr>
          <w:rFonts w:ascii="Arial" w:cs="Arial" w:eastAsia="Arial" w:hAnsi="Arial"/>
        </w:rPr>
        <w:br/>
      </w:r>
      <w:r>
        <w:rPr>
          <w:rFonts w:ascii="Arial" w:cs="Arial" w:eastAsia="Arial" w:hAnsi="Arial"/>
        </w:rPr>
        <w:t xml:space="preserve">  Weeks 05 - 08 : Phase 2 — Multi-Task Architecture Engineering &amp; Baseline Setup</w:t>
      </w:r>
      <w:r>
        <w:rPr>
          <w:rFonts w:ascii="Arial" w:cs="Arial" w:eastAsia="Arial" w:hAnsi="Arial"/>
        </w:rPr>
        <w:br/>
      </w:r>
      <w:r>
        <w:rPr>
          <w:rFonts w:ascii="Arial" w:cs="Arial" w:eastAsia="Arial" w:hAnsi="Arial"/>
        </w:rPr>
        <w:t xml:space="preserve">  Weeks 09 - 12 : Phase 3 — Model Calibration, Robustness Stress Testing &amp; XAI</w:t>
      </w:r>
      <w:r>
        <w:rPr>
          <w:rFonts w:ascii="Arial" w:cs="Arial" w:eastAsia="Arial" w:hAnsi="Arial"/>
        </w:rPr>
        <w:br/>
      </w:r>
      <w:r>
        <w:rPr>
          <w:rFonts w:ascii="Arial" w:cs="Arial" w:eastAsia="Arial" w:hAnsi="Arial"/>
        </w:rPr>
        <w:t xml:space="preserve">  Weeks 13 - 16 : Phase 4 — Statistical Evaluation &amp; Paper Structuring</w:t>
      </w:r>
      <w:r>
        <w:rPr>
          <w:rFonts w:ascii="Arial" w:cs="Arial" w:eastAsia="Arial" w:hAnsi="Arial"/>
        </w:rPr>
        <w:br/>
      </w:r>
    </w:p>
    <w:p w14:paraId="00000105">
      <w:pPr>
        <w:pStyle w:val="style3"/>
        <w:pBdr>
          <w:left w:val="nil"/>
          <w:right w:val="nil"/>
          <w:top w:val="nil"/>
          <w:bottom w:val="nil"/>
          <w:between w:val="nil"/>
        </w:pBdr>
        <w:shd w:val="clear" w:color="auto" w:fill="auto"/>
        <w:spacing w:before="0"/>
        <w:rPr/>
      </w:pPr>
      <w:r>
        <w:rPr/>
        <w:t>Phase 1: Data Curation &amp; Symbol Inpainting (Weeks 1–4)</w:t>
      </w:r>
    </w:p>
    <w:p w14:paraId="00000106">
      <w:pPr>
        <w:pStyle w:val="style0"/>
        <w:numPr>
          <w:ilvl w:val="0"/>
          <w:numId w:val="15"/>
        </w:numPr>
        <w:pBdr>
          <w:left w:val="nil"/>
          <w:right w:val="nil"/>
          <w:top w:val="nil"/>
          <w:bottom w:val="nil"/>
          <w:between w:val="nil"/>
        </w:pBdr>
        <w:shd w:val="clear" w:color="auto" w:fill="auto"/>
        <w:ind w:left="600" w:hanging="360"/>
        <w:rPr/>
      </w:pPr>
      <w:r>
        <w:rPr>
          <w:b/>
          <w:bCs/>
        </w:rPr>
        <w:t>Week 1</w:t>
      </w:r>
      <w:r>
        <w:rPr/>
        <w:t>: Download MMOTU, OvaTUS-V1, and UMTD datasets. Establish DVC data versioning and project architecture.</w:t>
      </w:r>
    </w:p>
    <w:p w14:paraId="00000107">
      <w:pPr>
        <w:pStyle w:val="style0"/>
        <w:numPr>
          <w:ilvl w:val="0"/>
          <w:numId w:val="15"/>
        </w:numPr>
        <w:pBdr>
          <w:left w:val="nil"/>
          <w:right w:val="nil"/>
          <w:top w:val="nil"/>
          <w:bottom w:val="nil"/>
          <w:between w:val="nil"/>
        </w:pBdr>
        <w:shd w:val="clear" w:color="auto" w:fill="auto"/>
        <w:ind w:left="600" w:hanging="360"/>
        <w:rPr/>
      </w:pPr>
      <w:r>
        <w:rPr>
          <w:b/>
          <w:bCs/>
        </w:rPr>
        <w:t>Week 2</w:t>
      </w:r>
      <w:r>
        <w:rPr/>
        <w:t>: Execute MGGAN symbol inpainting across B-mode scans to remove measurement calipers, text, and yellow lines. Validate output quality via SSIM.</w:t>
      </w:r>
    </w:p>
    <w:p w14:paraId="00000108">
      <w:pPr>
        <w:pStyle w:val="style0"/>
        <w:numPr>
          <w:ilvl w:val="0"/>
          <w:numId w:val="15"/>
        </w:numPr>
        <w:pBdr>
          <w:left w:val="nil"/>
          <w:right w:val="nil"/>
          <w:top w:val="nil"/>
          <w:bottom w:val="nil"/>
          <w:between w:val="nil"/>
        </w:pBdr>
        <w:shd w:val="clear" w:color="auto" w:fill="auto"/>
        <w:ind w:left="600" w:hanging="360"/>
        <w:rPr/>
      </w:pPr>
      <w:r>
        <w:rPr>
          <w:b/>
          <w:bCs/>
        </w:rPr>
        <w:t>Week 3</w:t>
      </w:r>
      <w:r>
        <w:rPr/>
        <w:t>: Build patient-level metadata registries. Implement Stratified GroupKFold cross-validation splits.</w:t>
      </w:r>
    </w:p>
    <w:p w14:paraId="00000109">
      <w:pPr>
        <w:pStyle w:val="style0"/>
        <w:numPr>
          <w:ilvl w:val="0"/>
          <w:numId w:val="15"/>
        </w:numPr>
        <w:pBdr>
          <w:left w:val="nil"/>
          <w:right w:val="nil"/>
          <w:top w:val="nil"/>
          <w:bottom w:val="nil"/>
          <w:between w:val="nil"/>
        </w:pBdr>
        <w:shd w:val="clear" w:color="auto" w:fill="auto"/>
        <w:ind w:left="600" w:hanging="360"/>
        <w:rPr/>
      </w:pPr>
      <w:r>
        <w:rPr>
          <w:b/>
          <w:bCs/>
        </w:rPr>
        <w:t>Week 4</w:t>
      </w:r>
      <w:r>
        <w:rPr/>
        <w:t>: Finalize data quality audits. Calculate intensity normalization parameters on training splits exclusively.</w:t>
      </w:r>
    </w:p>
    <w:p w14:paraId="0000010A">
      <w:pPr>
        <w:pStyle w:val="style3"/>
        <w:pBdr>
          <w:left w:val="nil"/>
          <w:right w:val="nil"/>
          <w:top w:val="nil"/>
          <w:bottom w:val="nil"/>
          <w:between w:val="nil"/>
        </w:pBdr>
        <w:shd w:val="clear" w:color="auto" w:fill="auto"/>
        <w:rPr/>
      </w:pPr>
      <w:r>
        <w:rPr/>
        <w:t>Phase 2: Architecture Engineering &amp; Baselines (Weeks 5–8)</w:t>
      </w:r>
    </w:p>
    <w:p w14:paraId="0000010B">
      <w:pPr>
        <w:pStyle w:val="style0"/>
        <w:numPr>
          <w:ilvl w:val="0"/>
          <w:numId w:val="16"/>
        </w:numPr>
        <w:pBdr>
          <w:left w:val="nil"/>
          <w:right w:val="nil"/>
          <w:top w:val="nil"/>
          <w:bottom w:val="nil"/>
          <w:between w:val="nil"/>
        </w:pBdr>
        <w:shd w:val="clear" w:color="auto" w:fill="auto"/>
        <w:ind w:left="600" w:hanging="360"/>
        <w:rPr/>
      </w:pPr>
      <w:r>
        <w:rPr>
          <w:b/>
          <w:bCs/>
        </w:rPr>
        <w:t>Week 5</w:t>
      </w:r>
      <w:r>
        <w:rPr/>
        <w:t>: Implement baseline classifiers (ResNet-50, EfficientNet-B3, Swin-Tiny) on raw and inpainted datasets.</w:t>
      </w:r>
    </w:p>
    <w:p w14:paraId="0000010C">
      <w:pPr>
        <w:pStyle w:val="style0"/>
        <w:numPr>
          <w:ilvl w:val="0"/>
          <w:numId w:val="16"/>
        </w:numPr>
        <w:pBdr>
          <w:left w:val="nil"/>
          <w:right w:val="nil"/>
          <w:top w:val="nil"/>
          <w:bottom w:val="nil"/>
          <w:between w:val="nil"/>
        </w:pBdr>
        <w:shd w:val="clear" w:color="auto" w:fill="auto"/>
        <w:ind w:left="600" w:hanging="360"/>
        <w:rPr/>
      </w:pPr>
      <w:r>
        <w:rPr>
          <w:b/>
          <w:bCs/>
        </w:rPr>
        <w:t>Week 6</w:t>
      </w:r>
      <w:r>
        <w:rPr/>
        <w:t>: Build joint Multi-Task ConvNeXt architecture (Segmentation Decoder + Attention Classification Head).</w:t>
      </w:r>
    </w:p>
    <w:p w14:paraId="0000010D">
      <w:pPr>
        <w:pStyle w:val="style0"/>
        <w:numPr>
          <w:ilvl w:val="0"/>
          <w:numId w:val="16"/>
        </w:numPr>
        <w:pBdr>
          <w:left w:val="nil"/>
          <w:right w:val="nil"/>
          <w:top w:val="nil"/>
          <w:bottom w:val="nil"/>
          <w:between w:val="nil"/>
        </w:pBdr>
        <w:shd w:val="clear" w:color="auto" w:fill="auto"/>
        <w:ind w:left="600" w:hanging="360"/>
        <w:rPr/>
      </w:pPr>
      <w:r>
        <w:rPr>
          <w:b/>
          <w:bCs/>
        </w:rPr>
        <w:t>Week 7</w:t>
      </w:r>
      <w:r>
        <w:rPr/>
        <w:t>: Integrate weighted Focal Loss and Dice loss modules. Implement Dynamic Loss Weighting.</w:t>
      </w:r>
    </w:p>
    <w:p w14:paraId="0000010E">
      <w:pPr>
        <w:pStyle w:val="style0"/>
        <w:numPr>
          <w:ilvl w:val="0"/>
          <w:numId w:val="16"/>
        </w:numPr>
        <w:pBdr>
          <w:left w:val="nil"/>
          <w:right w:val="nil"/>
          <w:top w:val="nil"/>
          <w:bottom w:val="nil"/>
          <w:between w:val="nil"/>
        </w:pBdr>
        <w:shd w:val="clear" w:color="auto" w:fill="auto"/>
        <w:ind w:left="600" w:hanging="360"/>
        <w:rPr/>
      </w:pPr>
      <w:r>
        <w:rPr>
          <w:b/>
          <w:bCs/>
        </w:rPr>
        <w:t>Week 8</w:t>
      </w:r>
      <w:r>
        <w:rPr/>
        <w:t>: Perform hyperparameter tuning (learning rate, batch size, weight decay) using inner validation folds.</w:t>
      </w:r>
    </w:p>
    <w:p w14:paraId="0000010F">
      <w:pPr>
        <w:pStyle w:val="style3"/>
        <w:pBdr>
          <w:left w:val="nil"/>
          <w:right w:val="nil"/>
          <w:top w:val="nil"/>
          <w:bottom w:val="nil"/>
          <w:between w:val="nil"/>
        </w:pBdr>
        <w:shd w:val="clear" w:color="auto" w:fill="auto"/>
        <w:rPr/>
      </w:pPr>
      <w:r>
        <w:rPr/>
        <w:t>Phase 3: Calibration, XAI &amp; Robustness (Weeks 9–12)</w:t>
      </w:r>
    </w:p>
    <w:p w14:paraId="00000110">
      <w:pPr>
        <w:pStyle w:val="style0"/>
        <w:numPr>
          <w:ilvl w:val="0"/>
          <w:numId w:val="17"/>
        </w:numPr>
        <w:pBdr>
          <w:left w:val="nil"/>
          <w:right w:val="nil"/>
          <w:top w:val="nil"/>
          <w:bottom w:val="nil"/>
          <w:between w:val="nil"/>
        </w:pBdr>
        <w:shd w:val="clear" w:color="auto" w:fill="auto"/>
        <w:ind w:left="600" w:hanging="360"/>
        <w:rPr/>
      </w:pPr>
      <w:r>
        <w:rPr>
          <w:b/>
          <w:bCs/>
        </w:rPr>
        <w:t>Week 9</w:t>
      </w:r>
      <w:r>
        <w:rPr/>
        <w:t>: Implement Post-Hoc Temperature Scaling calibration. Compute raw vs calibrated ECE and Brier scores.</w:t>
      </w:r>
    </w:p>
    <w:p w14:paraId="00000111">
      <w:pPr>
        <w:pStyle w:val="style0"/>
        <w:numPr>
          <w:ilvl w:val="0"/>
          <w:numId w:val="17"/>
        </w:numPr>
        <w:pBdr>
          <w:left w:val="nil"/>
          <w:right w:val="nil"/>
          <w:top w:val="nil"/>
          <w:bottom w:val="nil"/>
          <w:between w:val="nil"/>
        </w:pBdr>
        <w:shd w:val="clear" w:color="auto" w:fill="auto"/>
        <w:ind w:left="600" w:hanging="360"/>
        <w:rPr/>
      </w:pPr>
      <w:r>
        <w:rPr>
          <w:b/>
          <w:bCs/>
        </w:rPr>
        <w:t>Week 10</w:t>
      </w:r>
      <w:r>
        <w:rPr/>
        <w:t>: Integrate Grad-CAM++ attribution mapping and MC-Dropout uncertainty estimation (N=50).</w:t>
      </w:r>
    </w:p>
    <w:p w14:paraId="00000112">
      <w:pPr>
        <w:pStyle w:val="style0"/>
        <w:numPr>
          <w:ilvl w:val="0"/>
          <w:numId w:val="17"/>
        </w:numPr>
        <w:pBdr>
          <w:left w:val="nil"/>
          <w:right w:val="nil"/>
          <w:top w:val="nil"/>
          <w:bottom w:val="nil"/>
          <w:between w:val="nil"/>
        </w:pBdr>
        <w:shd w:val="clear" w:color="auto" w:fill="auto"/>
        <w:ind w:left="600" w:hanging="360"/>
        <w:rPr/>
      </w:pPr>
      <w:r>
        <w:rPr>
          <w:b/>
          <w:bCs/>
        </w:rPr>
        <w:t>Week 11</w:t>
      </w:r>
      <w:r>
        <w:rPr/>
        <w:t>: Execute Pointing Game and Attribution Energy Mass evaluations against expert ROI masks.</w:t>
      </w:r>
    </w:p>
    <w:p w14:paraId="00000113">
      <w:pPr>
        <w:pStyle w:val="style0"/>
        <w:numPr>
          <w:ilvl w:val="0"/>
          <w:numId w:val="17"/>
        </w:numPr>
        <w:pBdr>
          <w:left w:val="nil"/>
          <w:right w:val="nil"/>
          <w:top w:val="nil"/>
          <w:bottom w:val="nil"/>
          <w:between w:val="nil"/>
        </w:pBdr>
        <w:shd w:val="clear" w:color="auto" w:fill="auto"/>
        <w:ind w:left="600" w:hanging="360"/>
        <w:rPr/>
      </w:pPr>
      <w:r>
        <w:rPr>
          <w:b/>
          <w:bCs/>
        </w:rPr>
        <w:t>Week 12</w:t>
      </w:r>
      <w:r>
        <w:rPr/>
        <w:t>: Perform cross-dataset evaluation (MMOTU \rightarrow OvaTUS-V1) and synthetic noise stress testing.</w:t>
      </w:r>
    </w:p>
    <w:p w14:paraId="00000114">
      <w:pPr>
        <w:pStyle w:val="style3"/>
        <w:pBdr>
          <w:left w:val="nil"/>
          <w:right w:val="nil"/>
          <w:top w:val="nil"/>
          <w:bottom w:val="nil"/>
          <w:between w:val="nil"/>
        </w:pBdr>
        <w:shd w:val="clear" w:color="auto" w:fill="auto"/>
        <w:rPr/>
      </w:pPr>
      <w:r>
        <w:rPr/>
        <w:t>Phase 4: Statistical Evaluation &amp; Manuscript Drafting (Weeks 13–16)</w:t>
      </w:r>
    </w:p>
    <w:p w14:paraId="00000115">
      <w:pPr>
        <w:pStyle w:val="style0"/>
        <w:numPr>
          <w:ilvl w:val="0"/>
          <w:numId w:val="19"/>
        </w:numPr>
        <w:pBdr>
          <w:left w:val="nil"/>
          <w:right w:val="nil"/>
          <w:top w:val="nil"/>
          <w:bottom w:val="nil"/>
          <w:between w:val="nil"/>
        </w:pBdr>
        <w:shd w:val="clear" w:color="auto" w:fill="auto"/>
        <w:ind w:left="600" w:hanging="360"/>
        <w:rPr/>
      </w:pPr>
      <w:r>
        <w:rPr>
          <w:b/>
          <w:bCs/>
        </w:rPr>
        <w:t>Week 13</w:t>
      </w:r>
      <w:r>
        <w:rPr/>
        <w:t>: Compute non-parametric bootstrap 95% CIs across all metrics. Run DeLong and McNemar tests against baselines.</w:t>
      </w:r>
    </w:p>
    <w:p w14:paraId="00000116">
      <w:pPr>
        <w:pStyle w:val="style0"/>
        <w:numPr>
          <w:ilvl w:val="0"/>
          <w:numId w:val="19"/>
        </w:numPr>
        <w:pBdr>
          <w:left w:val="nil"/>
          <w:right w:val="nil"/>
          <w:top w:val="nil"/>
          <w:bottom w:val="nil"/>
          <w:between w:val="nil"/>
        </w:pBdr>
        <w:shd w:val="clear" w:color="auto" w:fill="auto"/>
        <w:ind w:left="600" w:hanging="360"/>
        <w:rPr/>
      </w:pPr>
      <w:r>
        <w:rPr>
          <w:b/>
          <w:bCs/>
        </w:rPr>
        <w:t>Week 14</w:t>
      </w:r>
      <w:r>
        <w:rPr/>
        <w:t>: Generate publication-grade figures: ROC curves, calibration plots, Grad-CAM++ overlays, and confusion matrices.</w:t>
      </w:r>
    </w:p>
    <w:p w14:paraId="00000117">
      <w:pPr>
        <w:pStyle w:val="style0"/>
        <w:numPr>
          <w:ilvl w:val="0"/>
          <w:numId w:val="19"/>
        </w:numPr>
        <w:pBdr>
          <w:left w:val="nil"/>
          <w:right w:val="nil"/>
          <w:top w:val="nil"/>
          <w:bottom w:val="nil"/>
          <w:between w:val="nil"/>
        </w:pBdr>
        <w:shd w:val="clear" w:color="auto" w:fill="auto"/>
        <w:ind w:left="600" w:hanging="360"/>
        <w:rPr/>
      </w:pPr>
      <w:r>
        <w:rPr>
          <w:b/>
          <w:bCs/>
        </w:rPr>
        <w:t>Week 15</w:t>
      </w:r>
      <w:r>
        <w:rPr/>
        <w:t>: Draft manuscript following structured journal sections (Introduction through Discussion).</w:t>
      </w:r>
    </w:p>
    <w:p w14:paraId="00000118">
      <w:pPr>
        <w:pStyle w:val="style0"/>
        <w:numPr>
          <w:ilvl w:val="0"/>
          <w:numId w:val="19"/>
        </w:numPr>
        <w:pBdr>
          <w:left w:val="nil"/>
          <w:right w:val="nil"/>
          <w:top w:val="nil"/>
          <w:bottom w:val="nil"/>
          <w:between w:val="nil"/>
        </w:pBdr>
        <w:shd w:val="clear" w:color="auto" w:fill="auto"/>
        <w:ind w:left="600" w:hanging="360"/>
        <w:rPr/>
      </w:pPr>
      <w:r>
        <w:rPr>
          <w:b/>
          <w:bCs/>
        </w:rPr>
        <w:t>Week 16</w:t>
      </w:r>
      <w:r>
        <w:rPr/>
        <w:t>: Code repository audit, reproducibility package packaging, and manuscript submission.</w:t>
      </w:r>
    </w:p>
    <w:p w14:paraId="00000119">
      <w:pPr>
        <w:pStyle w:val="style0"/>
        <w:pBdr>
          <w:left w:val="nil"/>
          <w:right w:val="nil"/>
          <w:top w:val="nil"/>
          <w:bottom w:val="nil"/>
          <w:between w:val="nil"/>
        </w:pBdr>
        <w:shd w:val="clear" w:color="auto" w:fill="auto"/>
        <w:spacing w:after="225"/>
        <w:rPr/>
      </w:pPr>
      <w:r>
        <w:rPr/>
        <w:t>---</w:t>
      </w:r>
    </w:p>
    <w:p w14:paraId="0000011A">
      <w:pPr>
        <w:pStyle w:val="style2"/>
        <w:pBdr>
          <w:left w:val="nil"/>
          <w:right w:val="nil"/>
          <w:top w:val="nil"/>
          <w:bottom w:val="nil"/>
          <w:between w:val="nil"/>
        </w:pBdr>
        <w:shd w:val="clear" w:color="auto" w:fill="auto"/>
        <w:spacing w:before="0"/>
        <w:rPr/>
      </w:pPr>
      <w:r>
        <w:rPr/>
        <w:t>Direct Execution Directives for OvaryVision</w:t>
      </w:r>
    </w:p>
    <w:p w14:paraId="0000011B">
      <w:pPr>
        <w:pStyle w:val="style0"/>
        <w:pBdr>
          <w:left w:val="nil"/>
          <w:right w:val="nil"/>
          <w:top w:val="nil"/>
          <w:bottom w:val="nil"/>
          <w:between w:val="nil"/>
        </w:pBdr>
        <w:shd w:val="clear" w:color="auto" w:fill="auto"/>
        <w:rPr/>
      </w:pPr>
      <w:r>
        <w:rPr/>
        <w:t>To successfully execute and publish the OvaryVision project, the implementation strategy should focus on the following core components:</w:t>
      </w:r>
    </w:p>
    <w:p w14:paraId="0000011C">
      <w:pPr>
        <w:pStyle w:val="style0"/>
        <w:numPr>
          <w:ilvl w:val="0"/>
          <w:numId w:val="20"/>
        </w:numPr>
        <w:pBdr>
          <w:left w:val="nil"/>
          <w:right w:val="nil"/>
          <w:top w:val="nil"/>
          <w:bottom w:val="nil"/>
          <w:between w:val="nil"/>
        </w:pBdr>
        <w:shd w:val="clear" w:color="auto" w:fill="auto"/>
        <w:ind w:left="600" w:hanging="360"/>
        <w:rPr/>
      </w:pPr>
      <w:r>
        <w:rPr>
          <w:b/>
          <w:bCs/>
        </w:rPr>
        <w:t>Exact Architecture to Build</w:t>
      </w:r>
      <w:r>
        <w:rPr/>
        <w:t>: Construct an artifact-aware, multi-task deep learning model featuring an MGGAN pre-processing symbol inpainting pipeline, a ConvNeXt-Base multi-scale feature encoder, a U-Net lesion segmentation decoder head, a spatial-attention 3-class classification head (Benign, Borderline, Malignant), and a Post-Hoc Temperature Scaling calibration module.</w:t>
      </w:r>
    </w:p>
    <w:p w14:paraId="0000011D">
      <w:pPr>
        <w:pStyle w:val="style0"/>
        <w:numPr>
          <w:ilvl w:val="0"/>
          <w:numId w:val="20"/>
        </w:numPr>
        <w:pBdr>
          <w:left w:val="nil"/>
          <w:right w:val="nil"/>
          <w:top w:val="nil"/>
          <w:bottom w:val="nil"/>
          <w:between w:val="nil"/>
        </w:pBdr>
        <w:shd w:val="clear" w:color="auto" w:fill="auto"/>
        <w:ind w:left="600" w:hanging="360"/>
        <w:rPr/>
      </w:pPr>
      <w:r>
        <w:rPr>
          <w:b/>
          <w:bCs/>
        </w:rPr>
        <w:t>Core Experiments to Run</w:t>
      </w:r>
      <w:r>
        <w:rPr/>
        <w:t>:</w:t>
      </w:r>
    </w:p>
    <w:p w14:paraId="0000011E">
      <w:pPr>
        <w:pStyle w:val="style0"/>
        <w:numPr>
          <w:ilvl w:val="1"/>
          <w:numId w:val="21"/>
        </w:numPr>
        <w:pBdr>
          <w:left w:val="nil"/>
          <w:right w:val="nil"/>
          <w:top w:val="nil"/>
          <w:bottom w:val="nil"/>
          <w:between w:val="nil"/>
        </w:pBdr>
        <w:shd w:val="clear" w:color="auto" w:fill="auto"/>
        <w:ind w:left="1200" w:hanging="360"/>
        <w:rPr/>
      </w:pPr>
      <w:r>
        <w:rPr>
          <w:i/>
          <w:iCs/>
        </w:rPr>
        <w:t>Patient-Level Split Audit</w:t>
      </w:r>
      <w:r>
        <w:rPr/>
        <w:t>: Enforce strict GroupKFold patient-level partitioning to prove performance is not driven by data leakage.</w:t>
      </w:r>
    </w:p>
    <w:p w14:paraId="0000011F">
      <w:pPr>
        <w:pStyle w:val="style0"/>
        <w:numPr>
          <w:ilvl w:val="1"/>
          <w:numId w:val="21"/>
        </w:numPr>
        <w:pBdr>
          <w:left w:val="nil"/>
          <w:right w:val="nil"/>
          <w:top w:val="nil"/>
          <w:bottom w:val="nil"/>
          <w:between w:val="nil"/>
        </w:pBdr>
        <w:shd w:val="clear" w:color="auto" w:fill="auto"/>
        <w:ind w:left="1200" w:hanging="360"/>
        <w:rPr/>
      </w:pPr>
      <w:r>
        <w:rPr>
          <w:i/>
          <w:iCs/>
        </w:rPr>
        <w:t>Symbol Shortcut Ablation</w:t>
      </w:r>
      <w:r>
        <w:rPr/>
        <w:t>: Train identical models on raw marked images versus MGGAN-inpainted images to quantify performance degradation when synthetic artifacts are removed.</w:t>
      </w:r>
    </w:p>
    <w:p w14:paraId="00000120">
      <w:pPr>
        <w:pStyle w:val="style0"/>
        <w:numPr>
          <w:ilvl w:val="1"/>
          <w:numId w:val="21"/>
        </w:numPr>
        <w:pBdr>
          <w:left w:val="nil"/>
          <w:right w:val="nil"/>
          <w:top w:val="nil"/>
          <w:bottom w:val="nil"/>
          <w:between w:val="nil"/>
        </w:pBdr>
        <w:shd w:val="clear" w:color="auto" w:fill="auto"/>
        <w:ind w:left="1200" w:hanging="360"/>
        <w:rPr/>
      </w:pPr>
      <w:r>
        <w:rPr>
          <w:i/>
          <w:iCs/>
        </w:rPr>
        <w:t>Borderline Tumor Sensitivity</w:t>
      </w:r>
      <w:r>
        <w:rPr/>
        <w:t>: Benchmark multi-task Focal Loss against standard single-task cross-entropy models to demonstrate improved recall on borderline lesions.</w:t>
      </w:r>
    </w:p>
    <w:p w14:paraId="00000121">
      <w:pPr>
        <w:pStyle w:val="style0"/>
        <w:numPr>
          <w:ilvl w:val="1"/>
          <w:numId w:val="21"/>
        </w:numPr>
        <w:pBdr>
          <w:left w:val="nil"/>
          <w:right w:val="nil"/>
          <w:top w:val="nil"/>
          <w:bottom w:val="nil"/>
          <w:between w:val="nil"/>
        </w:pBdr>
        <w:shd w:val="clear" w:color="auto" w:fill="auto"/>
        <w:ind w:left="1200" w:hanging="360"/>
        <w:rPr/>
      </w:pPr>
      <w:r>
        <w:rPr>
          <w:i/>
          <w:iCs/>
        </w:rPr>
        <w:t>Out-of-Domain Generalization</w:t>
      </w:r>
      <w:r>
        <w:rPr/>
        <w:t>: Evaluate models trained on MMOTU directly on OvaTUS-V1 to measure generalization under scanner vendor shift.</w:t>
      </w:r>
    </w:p>
    <w:p w14:paraId="00000122">
      <w:pPr>
        <w:pStyle w:val="style0"/>
        <w:numPr>
          <w:ilvl w:val="1"/>
          <w:numId w:val="21"/>
        </w:numPr>
        <w:pBdr>
          <w:left w:val="nil"/>
          <w:right w:val="nil"/>
          <w:top w:val="nil"/>
          <w:bottom w:val="nil"/>
          <w:between w:val="nil"/>
        </w:pBdr>
        <w:shd w:val="clear" w:color="auto" w:fill="auto"/>
        <w:ind w:left="1200" w:hanging="360"/>
        <w:rPr/>
      </w:pPr>
      <w:r>
        <w:rPr>
          <w:i/>
          <w:iCs/>
        </w:rPr>
        <w:t>Calibration &amp; XAI Validation</w:t>
      </w:r>
      <w:r>
        <w:rPr/>
        <w:t>: Quantify Expected Calibration Error (ECE &lt;0.05) and validate Grad-CAM++ heatmaps against radiologist masks using Pointing Game accuracy.</w:t>
      </w:r>
    </w:p>
    <w:p w14:paraId="00000123">
      <w:pPr>
        <w:pStyle w:val="style0"/>
        <w:numPr>
          <w:ilvl w:val="0"/>
          <w:numId w:val="20"/>
        </w:numPr>
        <w:pBdr>
          <w:left w:val="nil"/>
          <w:right w:val="nil"/>
          <w:top w:val="nil"/>
          <w:bottom w:val="nil"/>
          <w:between w:val="nil"/>
        </w:pBdr>
        <w:shd w:val="clear" w:color="auto" w:fill="auto"/>
        <w:ind w:left="600" w:hanging="360"/>
        <w:rPr/>
      </w:pPr>
      <w:r>
        <w:rPr>
          <w:b/>
          <w:bCs/>
        </w:rPr>
        <w:t>Meaningful Scientific Contribution</w:t>
      </w:r>
      <w:r>
        <w:rPr/>
        <w:t>: The contribution does not rely on claiming marginal benchmark improvements on raw images. Instead, it demonstrates how synthetic clinical annotations induce shortcut learning in deep networks, provides an inpainting methodology to eliminate this bias, and delivers a calibrated multi-task system capable of identifying borderline ovarian tumors under real-world domain shifts.</w:t>
      </w:r>
    </w:p>
    <w:p w14:paraId="00000124">
      <w:pPr>
        <w:pStyle w:val="style0"/>
        <w:numPr>
          <w:ilvl w:val="0"/>
          <w:numId w:val="20"/>
        </w:numPr>
        <w:pBdr>
          <w:left w:val="nil"/>
          <w:right w:val="nil"/>
          <w:top w:val="nil"/>
          <w:bottom w:val="nil"/>
          <w:between w:val="nil"/>
        </w:pBdr>
        <w:shd w:val="clear" w:color="auto" w:fill="auto"/>
        <w:ind w:left="600" w:hanging="360"/>
        <w:rPr/>
      </w:pPr>
      <w:r>
        <w:rPr>
          <w:b/>
          <w:bCs/>
        </w:rPr>
        <w:t>Scientific Defensibility Requirements</w:t>
      </w:r>
      <w:r>
        <w:rPr/>
        <w:t>: Ensure every reported metric includes bootstrap 95% confidence intervals, verify that diagnostic error reductions reach statistical significance via DeLong and McNemar tests, enforce strict patient-level split separation, and provide a fully open-source, reproducible code repository.</w:t>
      </w:r>
    </w:p>
    <w:p w14:paraId="00000125">
      <w:pPr>
        <w:pStyle w:val="style4"/>
        <w:pBdr>
          <w:left w:val="nil"/>
          <w:right w:val="nil"/>
          <w:top w:val="nil"/>
          <w:bottom w:val="nil"/>
          <w:between w:val="nil"/>
        </w:pBdr>
        <w:shd w:val="clear" w:color="auto" w:fill="auto"/>
        <w:rPr/>
      </w:pPr>
      <w:r>
        <w:rPr/>
        <w:t>Works cited</w:t>
      </w:r>
    </w:p>
    <w:p w14:paraId="00000126">
      <w:pPr>
        <w:pStyle w:val="style0"/>
        <w:pBdr>
          <w:left w:val="nil"/>
          <w:right w:val="nil"/>
          <w:top w:val="nil"/>
          <w:bottom w:val="nil"/>
          <w:between w:val="nil"/>
        </w:pBdr>
        <w:shd w:val="clear" w:color="auto" w:fill="auto"/>
        <w:rPr/>
      </w:pPr>
      <w:r>
        <w:rPr/>
        <w:t>1. Integrative multi-stage deep learning framework for ovarian tumor, https://www.frontiersin.org/journals/medicine/articles/10.3389/fmed.2025.1760167/full 2. Deep learning in ovarian cancer diagnosis: a comprehensive review, https://pmc.ncbi.nlm.nih.gov/articles/PMC10867948/ 3. Comparative Diagnostic Performance of IOTA Simple Rules, O, https://pubmed.ncbi.nlm.nih.gov/41699884/ 4. Systematic Review and Meta-Analysis of O-RADS Ultrasound and O, https://www.ajronline.org/doi/abs/10.2214/ajr.22.28396 5. Improving the Segmentation Accuracy of Ovarian-Tumor Ultrasound, https://www.mdpi.com/2306-5354/10/2/184 6. Ultrasound Muti-task Dataset(UMTD) - Zenodo, https://zenodo.org/records/7947246 7. Deep Learning for Ovarian Tumor Classification with Ultrasound, https://www.researchgate.net/publication/327707942_Deep_Learning_for_Ovarian_Tumor_Classification_with_Ultrasound_Images_19th_Pacific-Rim_Conference_on_Multimedia_Hefei_China_September_21-22_2018_Proceedings_Part_III 8. Ultrasound-based deep learning radiomics model for differentiating, https://pubmed.ncbi.nlm.nih.gov/38622546/ 9. Comparative Deep Learning Analysis of CNN, Transformer and, https://ieeexplore.ieee.org/document/11491734/ 10. Ultrasound ovary cyst image classification with deep learning neural, https://www.researchgate.net/publication/360589696_Ultrasound_ovary_cyst_image_classification_with_deep_learning_neural_network_with_Support_vector_machine 11. Ovarian Cyst Classification and Abnormality Detection Using, https://ieeexplore.ieee.org/document/11039418/ 12. Ovarian Ultrasound Image Dataset - Kaggle, https://www.kaggle.com/datasets/ucimachinelearning/ovarian-ultrasound-image-dataset 13. Classification of PCOS Using Machine Learning Algorithms Based, https://ieeexplore.ieee.org/iel7/10142230/10142223/10142359.pdf 14. Classification of PCOS in ultrasound images using deep learning, https://ieeexplore.ieee.org/document/10922879/ 15. Performance of IOTA Simple Rules Risks, ADNEX Model, Subjective, https://www.mdpi.com/2075-4418/13/5/885 16. Comparison of O-RADS with the ADNEX model and IOTA SR for risk, https://www.frontiersin.org/journals/oncology/articles/10.3389/fonc.2024.1354837/full 17. ASUM IOTA and ORADS presentation 5.2021 - YouTube, https://www.youtube.com/watch?v=FrVpDQFMsRk 18. Ultrasound-Based Deep Learning Models Performance versus, https://www.mdpi.com/2076-3417/14/7/2998 19. Ovarian-Adnexal Reporting and Data System Ultrasound (O-RADS, https://www.youtube.com/watch?v=muUwFHMNhwc 20. O-RADS US Risk Stratification and Management System, https://pubs.rsna.org/doi/abs/10.1148/radiol.2019191150 21. (PDF) Comparison of O-RADS, GI-RADS, and IOTA simple rules, https://www.researchgate.net/publication/343723865_Comparison_of_O-RADS_GI-RADS_and_IOTA_simple_rules_regarding_malignancy_rate_validity_and_reliability_for_diagnosis_of_adnexal_masses 22. Identification of ovarian mass through ultrasound images using, https://ieeexplore.ieee.org/document/7434224/ 23. Classification of Ultrasound PCOS Image using Deep Learning, https://ieeexplore.ieee.org/document/10085400 24. 2D Multi-Modality Ovarian Tumor Ultrasound (MMOTU) - Zenodo, https://zenodo.org/records/21128657 25. GitHub - cv516Buaa/MMOTU_DS2Net, https://github.com/cv516Buaa/MMOTU_DS2Net 26. MMOTU: A Multi-Modality Ovarian Tumor Ultrasound Image Dataset, https://arxiv.org/abs/2207.06799 27. MMOTU dataset - figshare, https://figshare.com/articles/dataset/_zip/25058690 28. Ovarian Tumor Dataset, https://sigm-seee.github.io/datasets/Ovarian.html</w:t>
      </w:r>
    </w:p>
    <w:sectPr>
      <w:pgSz w:w="12240" w:h="15840" w:orient="portrait"/>
      <w:pgMar w:top="1440" w:right="1440" w:bottom="1440" w:left="144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
    <w:nsid w:val="00000001"/>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
    <w:nsid w:val="00000002"/>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3">
    <w:nsid w:val="00000003"/>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4">
    <w:nsid w:val="00000004"/>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5">
    <w:nsid w:val="00000005"/>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6">
    <w:nsid w:val="00000006"/>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7">
    <w:nsid w:val="00000007"/>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8">
    <w:nsid w:val="00000008"/>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9">
    <w:nsid w:val="00000009"/>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0">
    <w:nsid w:val="0000000A"/>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1">
    <w:nsid w:val="0000000B"/>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2">
    <w:nsid w:val="0000000C"/>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3">
    <w:nsid w:val="0000000D"/>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4">
    <w:nsid w:val="0000000E"/>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5">
    <w:nsid w:val="0000000F"/>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6">
    <w:nsid w:val="00000010"/>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7">
    <w:nsid w:val="00000011"/>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8">
    <w:nsid w:val="00000012"/>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9">
    <w:nsid w:val="00000013"/>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0">
    <w:nsid w:val="00000014"/>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1">
    <w:nsid w:val="00000015"/>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2">
    <w:nsid w:val="00000016"/>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3">
    <w:nsid w:val="00000017"/>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4">
    <w:nsid w:val="00000018"/>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5">
    <w:nsid w:val="00000019"/>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6">
    <w:nsid w:val="0000001A"/>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7">
    <w:nsid w:val="0000001B"/>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8">
    <w:nsid w:val="0000001C"/>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9">
    <w:nsid w:val="0000001D"/>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30">
    <w:nsid w:val="0000001E"/>
    <w:multiLevelType w:val="multilevel"/>
    <w:tmpl w:val="FFFFFFFF"/>
    <w:lvl w:ilvl="0">
      <w:start w:val="1"/>
      <w:numFmt w:val="bullet"/>
      <w:lvlText w:val="●"/>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31">
    <w:nsid w:val="0000001F"/>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32">
    <w:nsid w:val="00000020"/>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2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33">
    <w:nsid w:val="00000021"/>
    <w:multiLevelType w:val="multilevel"/>
    <w:tmpl w:val="FFFFFFFF"/>
    <w:lvl w:ilvl="0">
      <w:start w:val="1"/>
      <w:numFmt w:val="decimal"/>
      <w:lvlText w:val="%1."/>
      <w:lvlJc w:val="left"/>
      <w:pPr>
        <w:ind w:left="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widowControl w:val="false"/>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pBdr>
        <w:left w:val="nil"/>
        <w:right w:val="nil"/>
        <w:top w:val="nil"/>
        <w:bottom w:val="nil"/>
        <w:between w:val="nil"/>
      </w:pBdr>
      <w:shd w:val="clear" w:color="auto" w:fill="auto"/>
      <w:spacing w:before="240" w:after="240"/>
    </w:pPr>
    <w:rPr>
      <w:b/>
      <w:bCs/>
      <w:i w:val="false"/>
      <w:iCs w:val="false"/>
      <w:sz w:val="48"/>
      <w:szCs w:val="48"/>
    </w:rPr>
  </w:style>
  <w:style w:type="paragraph" w:styleId="style2">
    <w:name w:val="heading 2"/>
    <w:basedOn w:val="style4098"/>
    <w:next w:val="style4098"/>
    <w:pPr>
      <w:pBdr>
        <w:left w:val="nil"/>
        <w:right w:val="nil"/>
        <w:top w:val="nil"/>
        <w:bottom w:val="nil"/>
        <w:between w:val="nil"/>
      </w:pBdr>
      <w:shd w:val="clear" w:color="auto" w:fill="auto"/>
      <w:spacing w:before="225" w:after="225"/>
    </w:pPr>
    <w:rPr>
      <w:b/>
      <w:bCs/>
      <w:i w:val="false"/>
      <w:iCs w:val="false"/>
      <w:sz w:val="36"/>
      <w:szCs w:val="36"/>
    </w:rPr>
  </w:style>
  <w:style w:type="paragraph" w:styleId="style3">
    <w:name w:val="heading 3"/>
    <w:basedOn w:val="style4098"/>
    <w:next w:val="style4098"/>
    <w:pPr>
      <w:pBdr>
        <w:left w:val="nil"/>
        <w:right w:val="nil"/>
        <w:top w:val="nil"/>
        <w:bottom w:val="nil"/>
        <w:between w:val="nil"/>
      </w:pBdr>
      <w:shd w:val="clear" w:color="auto" w:fill="auto"/>
      <w:spacing w:before="240" w:after="240"/>
    </w:pPr>
    <w:rPr>
      <w:b/>
      <w:bCs/>
      <w:i w:val="false"/>
      <w:iCs w:val="false"/>
      <w:sz w:val="28"/>
      <w:szCs w:val="28"/>
    </w:rPr>
  </w:style>
  <w:style w:type="paragraph" w:styleId="style4">
    <w:name w:val="heading 4"/>
    <w:basedOn w:val="style4098"/>
    <w:next w:val="style4098"/>
    <w:pPr>
      <w:pBdr>
        <w:left w:val="nil"/>
        <w:right w:val="nil"/>
        <w:top w:val="nil"/>
        <w:bottom w:val="nil"/>
        <w:between w:val="nil"/>
      </w:pBdr>
      <w:shd w:val="clear" w:color="auto" w:fill="auto"/>
      <w:spacing w:before="255" w:after="255"/>
    </w:pPr>
    <w:rPr>
      <w:b/>
      <w:bCs/>
      <w:i w:val="false"/>
      <w:iCs w:val="false"/>
      <w:sz w:val="24"/>
      <w:szCs w:val="24"/>
    </w:rPr>
  </w:style>
  <w:style w:type="paragraph" w:styleId="style5">
    <w:name w:val="heading 5"/>
    <w:basedOn w:val="style4098"/>
    <w:next w:val="style4098"/>
    <w:pPr>
      <w:pBdr>
        <w:left w:val="nil"/>
        <w:right w:val="nil"/>
        <w:top w:val="nil"/>
        <w:bottom w:val="nil"/>
        <w:between w:val="nil"/>
      </w:pBdr>
      <w:shd w:val="clear" w:color="auto" w:fill="auto"/>
      <w:spacing w:before="255" w:after="255"/>
    </w:pPr>
    <w:rPr>
      <w:b/>
      <w:bCs/>
      <w:i w:val="false"/>
      <w:iCs w:val="false"/>
      <w:sz w:val="18"/>
      <w:szCs w:val="18"/>
    </w:rPr>
  </w:style>
  <w:style w:type="paragraph" w:styleId="style6">
    <w:name w:val="heading 6"/>
    <w:basedOn w:val="style4098"/>
    <w:next w:val="style4098"/>
    <w:pPr>
      <w:pBdr>
        <w:left w:val="nil"/>
        <w:right w:val="nil"/>
        <w:top w:val="nil"/>
        <w:bottom w:val="nil"/>
        <w:between w:val="nil"/>
      </w:pBdr>
      <w:shd w:val="clear" w:color="auto" w:fill="auto"/>
      <w:spacing w:before="360" w:after="360"/>
    </w:pPr>
    <w:rPr>
      <w:b/>
      <w:bCs/>
      <w:i w:val="false"/>
      <w:iCs w:val="false"/>
      <w:sz w:val="16"/>
      <w:szCs w:val="16"/>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5528</Words>
  <Characters>40531</Characters>
  <Application>WPS Office</Application>
  <Paragraphs>313</Paragraphs>
  <CharactersWithSpaces>48048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2026-08-27T06:01:23Z</dcterms:created>
  <dc:creator>WPS Office</dc:creator>
  <lastModifiedBy>CPH2381</lastModifiedBy>
  <dcterms:modified xsi:type="dcterms:W3CDTF">2026-08-27T06:01:24Z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60c0f03be43b449db897adb8b201a863_23</vt:lpwstr>
  </property>
</Properties>
</file>