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HMDA 2023 Loan Denial Prediction</w:t>
      </w:r>
    </w:p>
    <w:p>
      <w:pPr>
        <w:pStyle w:val="MetaInfo"/>
      </w:pPr>
      <w:r>
        <w:rPr/>
        <w:t xml:space="preserve">Distributed Machine Learning Pipeline</w:t>
      </w:r>
    </w:p>
    <w:p>
      <w:pPr>
        <w:pBdr>
          <w:bottom w:val="single" w:sz="6" w:space="1" w:color="cccccc"/>
        </w:pBdr>
      </w:pPr>
    </w:p>
    <w:p>
      <w:pPr>
        <w:pStyle w:val="Heading1"/>
      </w:pPr>
      <w:r>
        <w:rPr/>
        <w:t xml:space="preserve">Abstract</w:t>
      </w:r>
    </w:p>
    <w:p>
      <w:pPr/>
      <w:r>
        <w:rPr/>
        <w:t xml:space="preserve">This project develops a distributed machine learning pipeline for predicting mortgage loan denial using the HMDA 2023 Snapshot dataset (11.5M records, 99 features, ~4 GB). Five classifiers were trained via Apache Spark MLlib with TrainValidationSplit and PR-AUC as the primary metric: a majority-class baseline, Naive Bayes, Logistic Regression, Linear SVM, and Decision Tree. Logistic Regression achieved the best PR-AUC (0.9988) and ROC-AUC (0.9996); Linear SVM achieved the highest denial F1 (0.989). Bootstrap confidence intervals confirmed statistically significant model differences. Key findings include strong linear separability in HMDA underwriting features and persistent demographic disparities — minority applicants face 2-3x higher denial rates.</w:t>
      </w:r>
    </w:p>
    <w:p>
      <w:pPr>
        <w:pStyle w:val="Heading1"/>
      </w:pPr>
      <w:r>
        <w:rPr/>
        <w:t xml:space="preserve">1. Introduction</w:t>
      </w:r>
    </w:p>
    <w:p>
      <w:pPr/>
      <w:r>
        <w:rPr/>
        <w:t xml:space="preserve">Under the Home Mortgage Disclosure Act, financial institutions report detailed mortgage application data, enabling regulators to monitor fair lending. Predicting denial from application features supports discrimination detection, underwriting consistency, and regulatory compliance. Previous studies applied logistic regression and tree-based models to state-level HMDA subsets (AUC 0.85-0.92), but rarely addressed the distributed infrastructure needed for the full national dataset.</w:t>
      </w:r>
    </w:p>
    <w:p>
      <w:pPr/>
      <w:r>
        <w:rPr/>
        <w:t xml:space="preserve">Research Questions: (RQ1) How accurately can denial be predicted using distributed ML? (RQ2) Which model provides the best performance-cost trade-off at national scale? (RQ3) What demographic disparities exist in 2023 denial rates?</w:t>
      </w:r>
    </w:p>
    <w:p>
      <w:pPr/>
      <w:r>
        <w:rPr/>
        <w:t xml:space="preserve">Working with the full 11.5M-record dataset rather than sampled subsets is essential for capturing geographic variation, rare subgroups, and low-frequency loan types. Apache Spark enables this scale through horizontal parallelism across cores and nodes.</w:t>
      </w:r>
    </w:p>
    <w:p>
      <w:pPr>
        <w:pStyle w:val="Heading1"/>
      </w:pPr>
      <w:r>
        <w:rPr/>
        <w:t xml:space="preserve">2. Dataset Overview</w:t>
      </w:r>
    </w:p>
    <w:p>
      <w:pPr>
        <w:pStyle w:val="Heading2"/>
      </w:pPr>
      <w:r>
        <w:rPr/>
        <w:t xml:space="preserve">2.1 Description</w:t>
      </w:r>
    </w:p>
    <w:tbl>
      <w:tblPr>
        <w:tblW w:w="9500" w:type="dxa"/>
        <w:tblLayout w:type="fixe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left w:w="60" w:type="dxa"/>
          <w:bottom w:w="30" w:type="dxa"/>
          <w:right w:w="60" w:type="dxa"/>
        </w:tblCellMar>
      </w:tblPr>
      <w:tblGrid>
        <w:gridCol w:w="4750"/>
        <w:gridCol w:w="4750"/>
      </w:tblGrid>
      <w:tr>
        <w:trPr>
          <w:tblHeader/>
        </w:trPr>
        <w:tc>
          <w:tcPr>
            <w:tcW w:w="4750" w:type="dxa"/>
            <w:shd w:val="clear" w:color="auto" w:fill="1565c0"/>
            <w:vAlign w:val="center"/>
          </w:tcPr>
          <w:p>
            <w:pPr>
              <w:spacing w:before="20" w:after="20"/>
            </w:pPr>
            <w:r>
              <w:rPr>
                <w:b/>
                <w:color w:val="ffffff"/>
                <w:sz w:val="18"/>
              </w:rPr>
              <w:t xml:space="preserve">Attribute</w:t>
            </w:r>
          </w:p>
        </w:tc>
        <w:tc>
          <w:tcPr>
            <w:tcW w:w="4750" w:type="dxa"/>
            <w:shd w:val="clear" w:color="auto" w:fill="1565c0"/>
            <w:vAlign w:val="center"/>
          </w:tcPr>
          <w:p>
            <w:pPr>
              <w:spacing w:before="20" w:after="20"/>
            </w:pPr>
            <w:r>
              <w:rPr>
                <w:b/>
                <w:color w:val="ffffff"/>
                <w:sz w:val="18"/>
              </w:rPr>
              <w:t xml:space="preserve">Detail</w:t>
            </w:r>
          </w:p>
        </w:tc>
      </w:tr>
      <w:tr>
        <w:tc>
          <w:tcPr>
            <w:tcW w:w="4750" w:type="dxa"/>
            <w:shd w:val="clear" w:color="auto" w:fill="ffffff"/>
            <w:vAlign w:val="center"/>
          </w:tcPr>
          <w:p>
            <w:pPr>
              <w:spacing w:before="15" w:after="15"/>
            </w:pPr>
            <w:r>
              <w:rPr>
                <w:sz w:val="18"/>
              </w:rPr>
              <w:t xml:space="preserve">Source</w:t>
            </w:r>
          </w:p>
        </w:tc>
        <w:tc>
          <w:tcPr>
            <w:tcW w:w="4750" w:type="dxa"/>
            <w:shd w:val="clear" w:color="auto" w:fill="ffffff"/>
            <w:vAlign w:val="center"/>
          </w:tcPr>
          <w:p>
            <w:pPr>
              <w:spacing w:before="15" w:after="15"/>
            </w:pPr>
            <w:r>
              <w:rPr>
                <w:sz w:val="18"/>
              </w:rPr>
              <w:t xml:space="preserve">CFPB FFIEC — public domain (U.S. Government open data)</w:t>
            </w:r>
          </w:p>
        </w:tc>
      </w:tr>
      <w:tr>
        <w:tc>
          <w:tcPr>
            <w:tcW w:w="4750" w:type="dxa"/>
            <w:shd w:val="clear" w:color="auto" w:fill="f2f7fc"/>
            <w:vAlign w:val="center"/>
          </w:tcPr>
          <w:p>
            <w:pPr>
              <w:spacing w:before="15" w:after="15"/>
            </w:pPr>
            <w:r>
              <w:rPr>
                <w:sz w:val="18"/>
              </w:rPr>
              <w:t xml:space="preserve">Format</w:t>
            </w:r>
          </w:p>
        </w:tc>
        <w:tc>
          <w:tcPr>
            <w:tcW w:w="4750" w:type="dxa"/>
            <w:shd w:val="clear" w:color="auto" w:fill="f2f7fc"/>
            <w:vAlign w:val="center"/>
          </w:tcPr>
          <w:p>
            <w:pPr>
              <w:spacing w:before="15" w:after="15"/>
            </w:pPr>
            <w:r>
              <w:rPr>
                <w:sz w:val="18"/>
              </w:rPr>
              <w:t xml:space="preserve">CSV (~4 GB), converted to Parquet (~800 MB with Snappy)</w:t>
            </w:r>
          </w:p>
        </w:tc>
      </w:tr>
      <w:tr>
        <w:tc>
          <w:tcPr>
            <w:tcW w:w="4750" w:type="dxa"/>
            <w:shd w:val="clear" w:color="auto" w:fill="ffffff"/>
            <w:vAlign w:val="center"/>
          </w:tcPr>
          <w:p>
            <w:pPr>
              <w:spacing w:before="15" w:after="15"/>
            </w:pPr>
            <w:r>
              <w:rPr>
                <w:sz w:val="18"/>
              </w:rPr>
              <w:t xml:space="preserve">Records / Columns</w:t>
            </w:r>
          </w:p>
        </w:tc>
        <w:tc>
          <w:tcPr>
            <w:tcW w:w="4750" w:type="dxa"/>
            <w:shd w:val="clear" w:color="auto" w:fill="ffffff"/>
            <w:vAlign w:val="center"/>
          </w:tcPr>
          <w:p>
            <w:pPr>
              <w:spacing w:before="15" w:after="15"/>
            </w:pPr>
            <w:r>
              <w:rPr>
                <w:sz w:val="18"/>
              </w:rPr>
              <w:t xml:space="preserve">11,483,889 / 99</w:t>
            </w:r>
          </w:p>
        </w:tc>
      </w:tr>
      <w:tr>
        <w:tc>
          <w:tcPr>
            <w:tcW w:w="4750" w:type="dxa"/>
            <w:shd w:val="clear" w:color="auto" w:fill="f2f7fc"/>
            <w:vAlign w:val="center"/>
          </w:tcPr>
          <w:p>
            <w:pPr>
              <w:spacing w:before="15" w:after="15"/>
            </w:pPr>
            <w:r>
              <w:rPr>
                <w:sz w:val="18"/>
              </w:rPr>
              <w:t xml:space="preserve">Target population</w:t>
            </w:r>
          </w:p>
        </w:tc>
        <w:tc>
          <w:tcPr>
            <w:tcW w:w="4750" w:type="dxa"/>
            <w:shd w:val="clear" w:color="auto" w:fill="f2f7fc"/>
            <w:vAlign w:val="center"/>
          </w:tcPr>
          <w:p>
            <w:pPr>
              <w:spacing w:before="15" w:after="15"/>
            </w:pPr>
            <w:r>
              <w:rPr>
                <w:sz w:val="18"/>
              </w:rPr>
              <w:t xml:space="preserve">7,686,484 (action_taken = 1 or 3)</w:t>
            </w:r>
          </w:p>
        </w:tc>
      </w:tr>
      <w:tr>
        <w:tc>
          <w:tcPr>
            <w:tcW w:w="4750" w:type="dxa"/>
            <w:shd w:val="clear" w:color="auto" w:fill="ffffff"/>
            <w:vAlign w:val="center"/>
          </w:tcPr>
          <w:p>
            <w:pPr>
              <w:spacing w:before="15" w:after="15"/>
            </w:pPr>
            <w:r>
              <w:rPr>
                <w:sz w:val="18"/>
              </w:rPr>
              <w:t xml:space="preserve">Corrupt records</w:t>
            </w:r>
          </w:p>
        </w:tc>
        <w:tc>
          <w:tcPr>
            <w:tcW w:w="4750" w:type="dxa"/>
            <w:shd w:val="clear" w:color="auto" w:fill="ffffff"/>
            <w:vAlign w:val="center"/>
          </w:tcPr>
          <w:p>
            <w:pPr>
              <w:spacing w:before="15" w:after="15"/>
            </w:pPr>
            <w:r>
              <w:rPr>
                <w:sz w:val="18"/>
              </w:rPr>
              <w:t xml:space="preserve">0</w:t>
            </w:r>
          </w:p>
        </w:tc>
      </w:tr>
      <w:tr>
        <w:tc>
          <w:tcPr>
            <w:tcW w:w="4750" w:type="dxa"/>
            <w:shd w:val="clear" w:color="auto" w:fill="f2f7fc"/>
            <w:vAlign w:val="center"/>
          </w:tcPr>
          <w:p>
            <w:pPr>
              <w:spacing w:before="15" w:after="15"/>
            </w:pPr>
            <w:r>
              <w:rPr>
                <w:sz w:val="18"/>
              </w:rPr>
              <w:t xml:space="preserve">Leakage columns</w:t>
            </w:r>
          </w:p>
        </w:tc>
        <w:tc>
          <w:tcPr>
            <w:tcW w:w="4750" w:type="dxa"/>
            <w:shd w:val="clear" w:color="auto" w:fill="f2f7fc"/>
            <w:vAlign w:val="center"/>
          </w:tcPr>
          <w:p>
            <w:pPr>
              <w:spacing w:before="15" w:after="15"/>
            </w:pPr>
            <w:r>
              <w:rPr>
                <w:sz w:val="18"/>
              </w:rPr>
              <w:t xml:space="preserve">12 (fill-rate differential &gt;20% between classes)</w:t>
            </w:r>
          </w:p>
        </w:tc>
      </w:tr>
      <w:tr>
        <w:tc>
          <w:tcPr>
            <w:tcW w:w="4750" w:type="dxa"/>
            <w:shd w:val="clear" w:color="auto" w:fill="ffffff"/>
            <w:vAlign w:val="center"/>
          </w:tcPr>
          <w:p>
            <w:pPr>
              <w:spacing w:before="15" w:after="15"/>
            </w:pPr>
            <w:r>
              <w:rPr>
                <w:sz w:val="18"/>
              </w:rPr>
              <w:t xml:space="preserve">Near-zero variance</w:t>
            </w:r>
          </w:p>
        </w:tc>
        <w:tc>
          <w:tcPr>
            <w:tcW w:w="4750" w:type="dxa"/>
            <w:shd w:val="clear" w:color="auto" w:fill="ffffff"/>
            <w:vAlign w:val="center"/>
          </w:tcPr>
          <w:p>
            <w:pPr>
              <w:spacing w:before="15" w:after="15"/>
            </w:pPr>
            <w:r>
              <w:rPr>
                <w:sz w:val="18"/>
              </w:rPr>
              <w:t xml:space="preserve">28 columns (dominant value &gt;95%)</w:t>
            </w:r>
          </w:p>
        </w:tc>
      </w:tr>
    </w:tbl>
    <w:p>
      <w:pPr>
        <w:spacing w:before="80" w:after="80"/>
      </w:pPr>
    </w:p>
    <w:p>
      <w:pPr/>
      <w:r>
        <w:rPr/>
        <w:t xml:space="preserve">Derived demographic fields (race, ethnicity, sex) are used solely for bias auditing and excluded from model features. All data is publicly available and de-identified.</w:t>
      </w:r>
    </w:p>
    <w:p>
      <w:pPr>
        <w:pStyle w:val="Heading2"/>
      </w:pPr>
      <w:r>
        <w:rPr/>
        <w:t xml:space="preserve">2.2 Exploratory Data Analysis</w:t>
      </w:r>
    </w:p>
    <w:p>
      <w:pPr>
        <w:pStyle w:val="Normal"/>
        <w:numPr>
          <w:ilvl w:val="0"/>
          <w:numId w:val="1"/>
        </w:numPr>
      </w:pPr>
      <w:r>
        <w:rPr/>
        <w:t xml:space="preserve">Class imbalance: 74% originated vs 26% denied (2.9:1 ratio).</w:t>
      </w:r>
    </w:p>
    <w:p>
      <w:pPr>
        <w:pStyle w:val="Normal"/>
        <w:numPr>
          <w:ilvl w:val="0"/>
          <w:numId w:val="1"/>
        </w:numPr>
      </w:pPr>
      <w:r>
        <w:rPr/>
        <w:t xml:space="preserve">Minority denial rates: Black 39.9%, AIAN 42.3%, multi-minority 44.1% vs White 23.5%.</w:t>
      </w:r>
    </w:p>
    <w:p>
      <w:pPr>
        <w:pStyle w:val="Normal"/>
        <w:numPr>
          <w:ilvl w:val="0"/>
          <w:numId w:val="1"/>
        </w:numPr>
      </w:pPr>
      <w:r>
        <w:rPr/>
        <w:t xml:space="preserve">Top predictors (Cramer's V): hoepa_status (0.82), debt_to_income_ratio (0.49), aus_1 (0.33).</w:t>
      </w:r>
    </w:p>
    <w:p>
      <w:pPr>
        <w:pStyle w:val="Normal"/>
        <w:numPr>
          <w:ilvl w:val="0"/>
          <w:numId w:val="1"/>
        </w:numPr>
      </w:pPr>
      <w:r>
        <w:rPr/>
        <w:t xml:space="preserve">33 columns have &gt;50% missing — predominantly post-decision fields (leakage).</w:t>
      </w:r>
    </w:p>
    <w:p>
      <w:pPr>
        <w:pStyle w:val="Normal"/>
        <w:numPr>
          <w:ilvl w:val="0"/>
          <w:numId w:val="1"/>
        </w:numPr>
      </w:pPr>
      <w:r>
        <w:rPr/>
        <w:t xml:space="preserve">Financial features (loan_amount, income, property_value) are right-skewed.</w:t>
      </w:r>
    </w:p>
    <w:p>
      <w:pPr>
        <w:pStyle w:val="Normal"/>
        <w:numPr>
          <w:ilvl w:val="0"/>
          <w:numId w:val="1"/>
        </w:numPr>
      </w:pPr>
      <w:r>
        <w:rPr/>
        <w:t xml:space="preserve">1 multicollinear pair: tract_owner_occupied_units vs tract_one_to_four_family_homes (r=0.854).</w:t>
      </w:r>
    </w:p>
    <w:p>
      <w:pPr>
        <w:pStyle w:val="Heading2"/>
      </w:pPr>
      <w:r>
        <w:rPr/>
        <w:t xml:space="preserve">2.3 Big Data Challenges</w:t>
      </w:r>
    </w:p>
    <w:p>
      <w:pPr/>
      <w:r>
        <w:rPr/>
        <w:t xml:space="preserve">Storage: The 4 GB CSV was converted to Parquet with Snappy compression and state_code partitioning (80% reduction), enabling column pruning and predicate pushdown. Computation: OOM errors during hyperparameter search were resolved by limiting Spark to local[2] with TVS parallelism=1 and explicit cache/unpersist management. Sampling: No sampling for training (full 7.7M records); a 10% sample (153K rows) was used only for scaling experiments.</w:t>
      </w:r>
    </w:p>
    <w:p>
      <w:pPr>
        <w:pStyle w:val="Heading1"/>
      </w:pPr>
      <w:r>
        <w:rPr/>
        <w:t xml:space="preserve">3. Methodology</w:t>
      </w:r>
    </w:p>
    <w:p>
      <w:pPr>
        <w:pStyle w:val="Heading2"/>
      </w:pPr>
      <w:r>
        <w:rPr/>
        <w:t xml:space="preserve">3.1 Preprocessing Pipeline</w:t>
      </w:r>
    </w:p>
    <w:p>
      <w:pPr/>
      <w:r>
        <w:rPr/>
        <w:t xml:space="preserve">A 29-stage PySpark ML Pipeline produces 145 features from 99 columns: target encoding (action_taken {1,3} to binary), removal of 40 leakage/low-variance columns, median imputation (numeric) and 'Unknown' category (categorical), log transformation of loan_amount/income/property_value, domain features (loan_to_income_ratio, high_cost_flag, is_joint_application), StringIndexer + OneHotEncoder, VectorAssembler, and StandardScaler.</w:t>
      </w:r>
    </w:p>
    <w:p>
      <w:pPr>
        <w:pStyle w:val="Heading2"/>
      </w:pPr>
      <w:r>
        <w:rPr/>
        <w:t xml:space="preserve">3.2 Data Splitting</w:t>
      </w:r>
    </w:p>
    <w:p>
      <w:pPr/>
      <w:r>
        <w:rPr/>
        <w:t xml:space="preserve">Stratified 80/20 split preserving the class ratio: training = 6,148,985 rows, test = 1,533,558 rows. TrainValidationSplit (TVS) with 80/20 internal ratio was used for hyperparameter tuning — preferred over CrossValidator because the dataset is large enough for stable single-split estimates and k-fold would multiply training time. No temporal considerations (cross-sectional data).</w:t>
      </w:r>
    </w:p>
    <w:p>
      <w:pPr>
        <w:pStyle w:val="Heading2"/>
      </w:pPr>
      <w:r>
        <w:rPr/>
        <w:t xml:space="preserve">3.3 Model Selection &amp; Justification</w:t>
      </w:r>
    </w:p>
    <w:tbl>
      <w:tblPr>
        <w:tblW w:w="9500" w:type="dxa"/>
        <w:tblLayout w:type="fixe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left w:w="60" w:type="dxa"/>
          <w:bottom w:w="30" w:type="dxa"/>
          <w:right w:w="60" w:type="dxa"/>
        </w:tblCellMar>
      </w:tblPr>
      <w:tblGrid>
        <w:gridCol w:w="2375"/>
        <w:gridCol w:w="2375"/>
        <w:gridCol w:w="2375"/>
        <w:gridCol w:w="2375"/>
      </w:tblGrid>
      <w:tr>
        <w:trPr>
          <w:tblHeader/>
        </w:trPr>
        <w:tc>
          <w:tcPr>
            <w:tcW w:w="2375" w:type="dxa"/>
            <w:shd w:val="clear" w:color="auto" w:fill="1565c0"/>
            <w:vAlign w:val="center"/>
          </w:tcPr>
          <w:p>
            <w:pPr>
              <w:spacing w:before="20" w:after="20"/>
            </w:pPr>
            <w:r>
              <w:rPr>
                <w:b/>
                <w:color w:val="ffffff"/>
                <w:sz w:val="18"/>
              </w:rPr>
              <w:t xml:space="preserve">Model</w:t>
            </w:r>
          </w:p>
        </w:tc>
        <w:tc>
          <w:tcPr>
            <w:tcW w:w="2375" w:type="dxa"/>
            <w:shd w:val="clear" w:color="auto" w:fill="1565c0"/>
            <w:vAlign w:val="center"/>
          </w:tcPr>
          <w:p>
            <w:pPr>
              <w:spacing w:before="20" w:after="20"/>
            </w:pPr>
            <w:r>
              <w:rPr>
                <w:b/>
                <w:color w:val="ffffff"/>
                <w:sz w:val="18"/>
              </w:rPr>
              <w:t xml:space="preserve">Algorithm</w:t>
            </w:r>
          </w:p>
        </w:tc>
        <w:tc>
          <w:tcPr>
            <w:tcW w:w="2375" w:type="dxa"/>
            <w:shd w:val="clear" w:color="auto" w:fill="1565c0"/>
            <w:vAlign w:val="center"/>
          </w:tcPr>
          <w:p>
            <w:pPr>
              <w:spacing w:before="20" w:after="20"/>
            </w:pPr>
            <w:r>
              <w:rPr>
                <w:b/>
                <w:color w:val="ffffff"/>
                <w:sz w:val="18"/>
              </w:rPr>
              <w:t xml:space="preserve">Tuning (TVS)</w:t>
            </w:r>
          </w:p>
        </w:tc>
        <w:tc>
          <w:tcPr>
            <w:tcW w:w="2375" w:type="dxa"/>
            <w:shd w:val="clear" w:color="auto" w:fill="1565c0"/>
            <w:vAlign w:val="center"/>
          </w:tcPr>
          <w:p>
            <w:pPr>
              <w:spacing w:before="20" w:after="20"/>
            </w:pPr>
            <w:r>
              <w:rPr>
                <w:b/>
                <w:color w:val="ffffff"/>
                <w:sz w:val="18"/>
              </w:rPr>
              <w:t xml:space="preserve">Combos</w:t>
            </w:r>
          </w:p>
        </w:tc>
      </w:tr>
      <w:tr>
        <w:tc>
          <w:tcPr>
            <w:tcW w:w="2375" w:type="dxa"/>
            <w:shd w:val="clear" w:color="auto" w:fill="ffffff"/>
            <w:vAlign w:val="center"/>
          </w:tcPr>
          <w:p>
            <w:pPr>
              <w:spacing w:before="15" w:after="15"/>
            </w:pPr>
            <w:r>
              <w:rPr>
                <w:sz w:val="18"/>
              </w:rPr>
              <w:t xml:space="preserve">M0 Baseline</w:t>
            </w:r>
          </w:p>
        </w:tc>
        <w:tc>
          <w:tcPr>
            <w:tcW w:w="2375" w:type="dxa"/>
            <w:shd w:val="clear" w:color="auto" w:fill="ffffff"/>
            <w:vAlign w:val="center"/>
          </w:tcPr>
          <w:p>
            <w:pPr>
              <w:spacing w:before="15" w:after="15"/>
            </w:pPr>
            <w:r>
              <w:rPr>
                <w:sz w:val="18"/>
              </w:rPr>
              <w:t xml:space="preserve">Majority class</w:t>
            </w:r>
          </w:p>
        </w:tc>
        <w:tc>
          <w:tcPr>
            <w:tcW w:w="2375" w:type="dxa"/>
            <w:shd w:val="clear" w:color="auto" w:fill="ffffff"/>
            <w:vAlign w:val="center"/>
          </w:tcPr>
          <w:p>
            <w:pPr>
              <w:spacing w:before="15" w:after="15"/>
            </w:pPr>
            <w:r>
              <w:rPr>
                <w:sz w:val="18"/>
              </w:rPr>
              <w:t xml:space="preserve">None</w:t>
            </w:r>
          </w:p>
        </w:tc>
        <w:tc>
          <w:tcPr>
            <w:tcW w:w="2375" w:type="dxa"/>
            <w:shd w:val="clear" w:color="auto" w:fill="ffffff"/>
            <w:vAlign w:val="center"/>
          </w:tcPr>
          <w:p>
            <w:pPr>
              <w:spacing w:before="15" w:after="15"/>
            </w:pPr>
            <w:r>
              <w:rPr>
                <w:sz w:val="18"/>
              </w:rPr>
              <w:t xml:space="preserve">-</w:t>
            </w:r>
          </w:p>
        </w:tc>
      </w:tr>
      <w:tr>
        <w:tc>
          <w:tcPr>
            <w:tcW w:w="2375" w:type="dxa"/>
            <w:shd w:val="clear" w:color="auto" w:fill="f2f7fc"/>
            <w:vAlign w:val="center"/>
          </w:tcPr>
          <w:p>
            <w:pPr>
              <w:spacing w:before="15" w:after="15"/>
            </w:pPr>
            <w:r>
              <w:rPr>
                <w:sz w:val="18"/>
              </w:rPr>
              <w:t xml:space="preserve">M1 Naive Bayes</w:t>
            </w:r>
          </w:p>
        </w:tc>
        <w:tc>
          <w:tcPr>
            <w:tcW w:w="2375" w:type="dxa"/>
            <w:shd w:val="clear" w:color="auto" w:fill="f2f7fc"/>
            <w:vAlign w:val="center"/>
          </w:tcPr>
          <w:p>
            <w:pPr>
              <w:spacing w:before="15" w:after="15"/>
            </w:pPr>
            <w:r>
              <w:rPr>
                <w:sz w:val="18"/>
              </w:rPr>
              <w:t xml:space="preserve">Multinomial NB</w:t>
            </w:r>
          </w:p>
        </w:tc>
        <w:tc>
          <w:tcPr>
            <w:tcW w:w="2375" w:type="dxa"/>
            <w:shd w:val="clear" w:color="auto" w:fill="f2f7fc"/>
            <w:vAlign w:val="center"/>
          </w:tcPr>
          <w:p>
            <w:pPr>
              <w:spacing w:before="15" w:after="15"/>
            </w:pPr>
            <w:r>
              <w:rPr>
                <w:sz w:val="18"/>
              </w:rPr>
              <w:t xml:space="preserve">smoothing: [0.1, 0.5, 1.0, 2.0]</w:t>
            </w:r>
          </w:p>
        </w:tc>
        <w:tc>
          <w:tcPr>
            <w:tcW w:w="2375" w:type="dxa"/>
            <w:shd w:val="clear" w:color="auto" w:fill="f2f7fc"/>
            <w:vAlign w:val="center"/>
          </w:tcPr>
          <w:p>
            <w:pPr>
              <w:spacing w:before="15" w:after="15"/>
            </w:pPr>
            <w:r>
              <w:rPr>
                <w:sz w:val="18"/>
              </w:rPr>
              <w:t xml:space="preserve">4</w:t>
            </w:r>
          </w:p>
        </w:tc>
      </w:tr>
      <w:tr>
        <w:tc>
          <w:tcPr>
            <w:tcW w:w="2375" w:type="dxa"/>
            <w:shd w:val="clear" w:color="auto" w:fill="ffffff"/>
            <w:vAlign w:val="center"/>
          </w:tcPr>
          <w:p>
            <w:pPr>
              <w:spacing w:before="15" w:after="15"/>
            </w:pPr>
            <w:r>
              <w:rPr>
                <w:sz w:val="18"/>
              </w:rPr>
              <w:t xml:space="preserve">M2 Logistic Reg.</w:t>
            </w:r>
          </w:p>
        </w:tc>
        <w:tc>
          <w:tcPr>
            <w:tcW w:w="2375" w:type="dxa"/>
            <w:shd w:val="clear" w:color="auto" w:fill="ffffff"/>
            <w:vAlign w:val="center"/>
          </w:tcPr>
          <w:p>
            <w:pPr>
              <w:spacing w:before="15" w:after="15"/>
            </w:pPr>
            <w:r>
              <w:rPr>
                <w:sz w:val="18"/>
              </w:rPr>
              <w:t xml:space="preserve">L1/L2 reg. LR</w:t>
            </w:r>
          </w:p>
        </w:tc>
        <w:tc>
          <w:tcPr>
            <w:tcW w:w="2375" w:type="dxa"/>
            <w:shd w:val="clear" w:color="auto" w:fill="ffffff"/>
            <w:vAlign w:val="center"/>
          </w:tcPr>
          <w:p>
            <w:pPr>
              <w:spacing w:before="15" w:after="15"/>
            </w:pPr>
            <w:r>
              <w:rPr>
                <w:sz w:val="18"/>
              </w:rPr>
              <w:t xml:space="preserve">regParam x elasticNetParam</w:t>
            </w:r>
          </w:p>
        </w:tc>
        <w:tc>
          <w:tcPr>
            <w:tcW w:w="2375" w:type="dxa"/>
            <w:shd w:val="clear" w:color="auto" w:fill="ffffff"/>
            <w:vAlign w:val="center"/>
          </w:tcPr>
          <w:p>
            <w:pPr>
              <w:spacing w:before="15" w:after="15"/>
            </w:pPr>
            <w:r>
              <w:rPr>
                <w:sz w:val="18"/>
              </w:rPr>
              <w:t xml:space="preserve">12</w:t>
            </w:r>
          </w:p>
        </w:tc>
      </w:tr>
      <w:tr>
        <w:tc>
          <w:tcPr>
            <w:tcW w:w="2375" w:type="dxa"/>
            <w:shd w:val="clear" w:color="auto" w:fill="f2f7fc"/>
            <w:vAlign w:val="center"/>
          </w:tcPr>
          <w:p>
            <w:pPr>
              <w:spacing w:before="15" w:after="15"/>
            </w:pPr>
            <w:r>
              <w:rPr>
                <w:sz w:val="18"/>
              </w:rPr>
              <w:t xml:space="preserve">M3 Linear SVM</w:t>
            </w:r>
          </w:p>
        </w:tc>
        <w:tc>
          <w:tcPr>
            <w:tcW w:w="2375" w:type="dxa"/>
            <w:shd w:val="clear" w:color="auto" w:fill="f2f7fc"/>
            <w:vAlign w:val="center"/>
          </w:tcPr>
          <w:p>
            <w:pPr>
              <w:spacing w:before="15" w:after="15"/>
            </w:pPr>
            <w:r>
              <w:rPr>
                <w:sz w:val="18"/>
              </w:rPr>
              <w:t xml:space="preserve">LinearSVC</w:t>
            </w:r>
          </w:p>
        </w:tc>
        <w:tc>
          <w:tcPr>
            <w:tcW w:w="2375" w:type="dxa"/>
            <w:shd w:val="clear" w:color="auto" w:fill="f2f7fc"/>
            <w:vAlign w:val="center"/>
          </w:tcPr>
          <w:p>
            <w:pPr>
              <w:spacing w:before="15" w:after="15"/>
            </w:pPr>
            <w:r>
              <w:rPr>
                <w:sz w:val="18"/>
              </w:rPr>
              <w:t xml:space="preserve">regParam: [0.001-1.0]</w:t>
            </w:r>
          </w:p>
        </w:tc>
        <w:tc>
          <w:tcPr>
            <w:tcW w:w="2375" w:type="dxa"/>
            <w:shd w:val="clear" w:color="auto" w:fill="f2f7fc"/>
            <w:vAlign w:val="center"/>
          </w:tcPr>
          <w:p>
            <w:pPr>
              <w:spacing w:before="15" w:after="15"/>
            </w:pPr>
            <w:r>
              <w:rPr>
                <w:sz w:val="18"/>
              </w:rPr>
              <w:t xml:space="preserve">4</w:t>
            </w:r>
          </w:p>
        </w:tc>
      </w:tr>
      <w:tr>
        <w:tc>
          <w:tcPr>
            <w:tcW w:w="2375" w:type="dxa"/>
            <w:shd w:val="clear" w:color="auto" w:fill="ffffff"/>
            <w:vAlign w:val="center"/>
          </w:tcPr>
          <w:p>
            <w:pPr>
              <w:spacing w:before="15" w:after="15"/>
            </w:pPr>
            <w:r>
              <w:rPr>
                <w:sz w:val="18"/>
              </w:rPr>
              <w:t xml:space="preserve">M4 Decision Tree</w:t>
            </w:r>
          </w:p>
        </w:tc>
        <w:tc>
          <w:tcPr>
            <w:tcW w:w="2375" w:type="dxa"/>
            <w:shd w:val="clear" w:color="auto" w:fill="ffffff"/>
            <w:vAlign w:val="center"/>
          </w:tcPr>
          <w:p>
            <w:pPr>
              <w:spacing w:before="15" w:after="15"/>
            </w:pPr>
            <w:r>
              <w:rPr>
                <w:sz w:val="18"/>
              </w:rPr>
              <w:t xml:space="preserve">CART</w:t>
            </w:r>
          </w:p>
        </w:tc>
        <w:tc>
          <w:tcPr>
            <w:tcW w:w="2375" w:type="dxa"/>
            <w:shd w:val="clear" w:color="auto" w:fill="ffffff"/>
            <w:vAlign w:val="center"/>
          </w:tcPr>
          <w:p>
            <w:pPr>
              <w:spacing w:before="15" w:after="15"/>
            </w:pPr>
            <w:r>
              <w:rPr>
                <w:sz w:val="18"/>
              </w:rPr>
              <w:t xml:space="preserve">maxDepth x minInstancesPerNode</w:t>
            </w:r>
          </w:p>
        </w:tc>
        <w:tc>
          <w:tcPr>
            <w:tcW w:w="2375" w:type="dxa"/>
            <w:shd w:val="clear" w:color="auto" w:fill="ffffff"/>
            <w:vAlign w:val="center"/>
          </w:tcPr>
          <w:p>
            <w:pPr>
              <w:spacing w:before="15" w:after="15"/>
            </w:pPr>
            <w:r>
              <w:rPr>
                <w:sz w:val="18"/>
              </w:rPr>
              <w:t xml:space="preserve">12</w:t>
            </w:r>
          </w:p>
        </w:tc>
      </w:tr>
    </w:tbl>
    <w:p>
      <w:pPr>
        <w:spacing w:before="80" w:after="80"/>
      </w:pPr>
    </w:p>
    <w:p>
      <w:pPr/>
      <w:r>
        <w:rPr/>
        <w:t xml:space="preserve">All models use PySpark MLlib (Spark 3.5), chosen over scikit-learn because the dataset exceeds single-machine memory and MLlib provides native distributed training.</w:t>
      </w:r>
    </w:p>
    <w:p>
      <w:pPr>
        <w:pStyle w:val="Heading2"/>
      </w:pPr>
      <w:r>
        <w:rPr/>
        <w:t xml:space="preserve">3.4 Performance Metrics</w:t>
      </w:r>
    </w:p>
    <w:p>
      <w:pPr/>
      <w:r>
        <w:rPr/>
        <w:t xml:space="preserve">PR-AUC is the primary metric — more informative than ROC-AUC for the 74/26 class imbalance (baseline: ROC-AUC=0.50 vs PR-AUC=0.26). Additional metrics: ROC-AUC, denial precision, denial recall, denial F1, and accuracy. The majority-class baseline (M0: Accuracy=74.1%, PR-AUC=0.259, Denial F1=0.000) establishes the minimum threshold.</w:t>
      </w:r>
    </w:p>
    <w:p>
      <w:pPr>
        <w:pStyle w:val="Heading2"/>
      </w:pPr>
      <w:r>
        <w:rPr/>
        <w:t xml:space="preserve">3.5 Computational Considerations</w:t>
      </w:r>
    </w:p>
    <w:p>
      <w:pPr/>
      <w:r>
        <w:rPr/>
        <w:t xml:space="preserve">Hardware: Apple M-series, 16 GB RAM, macOS, Spark local mode.</w:t>
      </w:r>
    </w:p>
    <w:tbl>
      <w:tblPr>
        <w:tblW w:w="9500" w:type="dxa"/>
        <w:tblLayout w:type="fixe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left w:w="60" w:type="dxa"/>
          <w:bottom w:w="30" w:type="dxa"/>
          <w:right w:w="60" w:type="dxa"/>
        </w:tblCellMar>
      </w:tblPr>
      <w:tblGrid>
        <w:gridCol w:w="3166"/>
        <w:gridCol w:w="3166"/>
        <w:gridCol w:w="3166"/>
      </w:tblGrid>
      <w:tr>
        <w:trPr>
          <w:tblHeader/>
        </w:trPr>
        <w:tc>
          <w:tcPr>
            <w:tcW w:w="3166" w:type="dxa"/>
            <w:shd w:val="clear" w:color="auto" w:fill="1565c0"/>
            <w:vAlign w:val="center"/>
          </w:tcPr>
          <w:p>
            <w:pPr>
              <w:spacing w:before="20" w:after="20"/>
            </w:pPr>
            <w:r>
              <w:rPr>
                <w:b/>
                <w:color w:val="ffffff"/>
                <w:sz w:val="18"/>
              </w:rPr>
              <w:t xml:space="preserve">Spark Parameter</w:t>
            </w:r>
          </w:p>
        </w:tc>
        <w:tc>
          <w:tcPr>
            <w:tcW w:w="3166" w:type="dxa"/>
            <w:shd w:val="clear" w:color="auto" w:fill="1565c0"/>
            <w:vAlign w:val="center"/>
          </w:tcPr>
          <w:p>
            <w:pPr>
              <w:spacing w:before="20" w:after="20"/>
            </w:pPr>
            <w:r>
              <w:rPr>
                <w:b/>
                <w:color w:val="ffffff"/>
                <w:sz w:val="18"/>
              </w:rPr>
              <w:t xml:space="preserve">Value</w:t>
            </w:r>
          </w:p>
        </w:tc>
        <w:tc>
          <w:tcPr>
            <w:tcW w:w="3166" w:type="dxa"/>
            <w:shd w:val="clear" w:color="auto" w:fill="1565c0"/>
            <w:vAlign w:val="center"/>
          </w:tcPr>
          <w:p>
            <w:pPr>
              <w:spacing w:before="20" w:after="20"/>
            </w:pPr>
            <w:r>
              <w:rPr>
                <w:b/>
                <w:color w:val="ffffff"/>
                <w:sz w:val="18"/>
              </w:rPr>
              <w:t xml:space="preserve">Justification</w:t>
            </w:r>
          </w:p>
        </w:tc>
      </w:tr>
      <w:tr>
        <w:tc>
          <w:tcPr>
            <w:tcW w:w="3166" w:type="dxa"/>
            <w:shd w:val="clear" w:color="auto" w:fill="ffffff"/>
            <w:vAlign w:val="center"/>
          </w:tcPr>
          <w:p>
            <w:pPr>
              <w:spacing w:before="15" w:after="15"/>
            </w:pPr>
            <w:r>
              <w:rPr>
                <w:sz w:val="18"/>
              </w:rPr>
              <w:t xml:space="preserve">master</w:t>
            </w:r>
          </w:p>
        </w:tc>
        <w:tc>
          <w:tcPr>
            <w:tcW w:w="3166" w:type="dxa"/>
            <w:shd w:val="clear" w:color="auto" w:fill="ffffff"/>
            <w:vAlign w:val="center"/>
          </w:tcPr>
          <w:p>
            <w:pPr>
              <w:spacing w:before="15" w:after="15"/>
            </w:pPr>
            <w:r>
              <w:rPr>
                <w:sz w:val="18"/>
              </w:rPr>
              <w:t xml:space="preserve">local[*]</w:t>
            </w:r>
          </w:p>
        </w:tc>
        <w:tc>
          <w:tcPr>
            <w:tcW w:w="3166" w:type="dxa"/>
            <w:shd w:val="clear" w:color="auto" w:fill="ffffff"/>
            <w:vAlign w:val="center"/>
          </w:tcPr>
          <w:p>
            <w:pPr>
              <w:spacing w:before="15" w:after="15"/>
            </w:pPr>
            <w:r>
              <w:rPr>
                <w:sz w:val="18"/>
              </w:rPr>
              <w:t xml:space="preserve">All CPU cores for parallelism</w:t>
            </w:r>
          </w:p>
        </w:tc>
      </w:tr>
      <w:tr>
        <w:tc>
          <w:tcPr>
            <w:tcW w:w="3166" w:type="dxa"/>
            <w:shd w:val="clear" w:color="auto" w:fill="f2f7fc"/>
            <w:vAlign w:val="center"/>
          </w:tcPr>
          <w:p>
            <w:pPr>
              <w:spacing w:before="15" w:after="15"/>
            </w:pPr>
            <w:r>
              <w:rPr>
                <w:sz w:val="18"/>
              </w:rPr>
              <w:t xml:space="preserve">driver.memory</w:t>
            </w:r>
          </w:p>
        </w:tc>
        <w:tc>
          <w:tcPr>
            <w:tcW w:w="3166" w:type="dxa"/>
            <w:shd w:val="clear" w:color="auto" w:fill="f2f7fc"/>
            <w:vAlign w:val="center"/>
          </w:tcPr>
          <w:p>
            <w:pPr>
              <w:spacing w:before="15" w:after="15"/>
            </w:pPr>
            <w:r>
              <w:rPr>
                <w:sz w:val="18"/>
              </w:rPr>
              <w:t xml:space="preserve">8g</w:t>
            </w:r>
          </w:p>
        </w:tc>
        <w:tc>
          <w:tcPr>
            <w:tcW w:w="3166" w:type="dxa"/>
            <w:shd w:val="clear" w:color="auto" w:fill="f2f7fc"/>
            <w:vAlign w:val="center"/>
          </w:tcPr>
          <w:p>
            <w:pPr>
              <w:spacing w:before="15" w:after="15"/>
            </w:pPr>
            <w:r>
              <w:rPr>
                <w:sz w:val="18"/>
              </w:rPr>
              <w:t xml:space="preserve">~4 GB data + caching + JVM overhead</w:t>
            </w:r>
          </w:p>
        </w:tc>
      </w:tr>
      <w:tr>
        <w:tc>
          <w:tcPr>
            <w:tcW w:w="3166" w:type="dxa"/>
            <w:shd w:val="clear" w:color="auto" w:fill="ffffff"/>
            <w:vAlign w:val="center"/>
          </w:tcPr>
          <w:p>
            <w:pPr>
              <w:spacing w:before="15" w:after="15"/>
            </w:pPr>
            <w:r>
              <w:rPr>
                <w:sz w:val="18"/>
              </w:rPr>
              <w:t xml:space="preserve">shuffle.partitions</w:t>
            </w:r>
          </w:p>
        </w:tc>
        <w:tc>
          <w:tcPr>
            <w:tcW w:w="3166" w:type="dxa"/>
            <w:shd w:val="clear" w:color="auto" w:fill="ffffff"/>
            <w:vAlign w:val="center"/>
          </w:tcPr>
          <w:p>
            <w:pPr>
              <w:spacing w:before="15" w:after="15"/>
            </w:pPr>
            <w:r>
              <w:rPr>
                <w:sz w:val="18"/>
              </w:rPr>
              <w:t xml:space="preserve">200</w:t>
            </w:r>
          </w:p>
        </w:tc>
        <w:tc>
          <w:tcPr>
            <w:tcW w:w="3166" w:type="dxa"/>
            <w:shd w:val="clear" w:color="auto" w:fill="ffffff"/>
            <w:vAlign w:val="center"/>
          </w:tcPr>
          <w:p>
            <w:pPr>
              <w:spacing w:before="15" w:after="15"/>
            </w:pPr>
            <w:r>
              <w:rPr>
                <w:sz w:val="18"/>
              </w:rPr>
              <w:t xml:space="preserve">AQE coalesces dynamically</w:t>
            </w:r>
          </w:p>
        </w:tc>
      </w:tr>
      <w:tr>
        <w:tc>
          <w:tcPr>
            <w:tcW w:w="3166" w:type="dxa"/>
            <w:shd w:val="clear" w:color="auto" w:fill="f2f7fc"/>
            <w:vAlign w:val="center"/>
          </w:tcPr>
          <w:p>
            <w:pPr>
              <w:spacing w:before="15" w:after="15"/>
            </w:pPr>
            <w:r>
              <w:rPr>
                <w:sz w:val="18"/>
              </w:rPr>
              <w:t xml:space="preserve">KryoSerializer</w:t>
            </w:r>
          </w:p>
        </w:tc>
        <w:tc>
          <w:tcPr>
            <w:tcW w:w="3166" w:type="dxa"/>
            <w:shd w:val="clear" w:color="auto" w:fill="f2f7fc"/>
            <w:vAlign w:val="center"/>
          </w:tcPr>
          <w:p>
            <w:pPr>
              <w:spacing w:before="15" w:after="15"/>
            </w:pPr>
            <w:r>
              <w:rPr>
                <w:sz w:val="18"/>
              </w:rPr>
              <w:t xml:space="preserve">enabled</w:t>
            </w:r>
          </w:p>
        </w:tc>
        <w:tc>
          <w:tcPr>
            <w:tcW w:w="3166" w:type="dxa"/>
            <w:shd w:val="clear" w:color="auto" w:fill="f2f7fc"/>
            <w:vAlign w:val="center"/>
          </w:tcPr>
          <w:p>
            <w:pPr>
              <w:spacing w:before="15" w:after="15"/>
            </w:pPr>
            <w:r>
              <w:rPr>
                <w:sz w:val="18"/>
              </w:rPr>
              <w:t xml:space="preserve">2-10x faster than Java serialization</w:t>
            </w:r>
          </w:p>
        </w:tc>
      </w:tr>
      <w:tr>
        <w:tc>
          <w:tcPr>
            <w:tcW w:w="3166" w:type="dxa"/>
            <w:shd w:val="clear" w:color="auto" w:fill="ffffff"/>
            <w:vAlign w:val="center"/>
          </w:tcPr>
          <w:p>
            <w:pPr>
              <w:spacing w:before="15" w:after="15"/>
            </w:pPr>
            <w:r>
              <w:rPr>
                <w:sz w:val="18"/>
              </w:rPr>
              <w:t xml:space="preserve">AQE</w:t>
            </w:r>
          </w:p>
        </w:tc>
        <w:tc>
          <w:tcPr>
            <w:tcW w:w="3166" w:type="dxa"/>
            <w:shd w:val="clear" w:color="auto" w:fill="ffffff"/>
            <w:vAlign w:val="center"/>
          </w:tcPr>
          <w:p>
            <w:pPr>
              <w:spacing w:before="15" w:after="15"/>
            </w:pPr>
            <w:r>
              <w:rPr>
                <w:sz w:val="18"/>
              </w:rPr>
              <w:t xml:space="preserve">enabled</w:t>
            </w:r>
          </w:p>
        </w:tc>
        <w:tc>
          <w:tcPr>
            <w:tcW w:w="3166" w:type="dxa"/>
            <w:shd w:val="clear" w:color="auto" w:fill="ffffff"/>
            <w:vAlign w:val="center"/>
          </w:tcPr>
          <w:p>
            <w:pPr>
              <w:spacing w:before="15" w:after="15"/>
            </w:pPr>
            <w:r>
              <w:rPr>
                <w:sz w:val="18"/>
              </w:rPr>
              <w:t xml:space="preserve">Runtime partition coalescing and skew handling</w:t>
            </w:r>
          </w:p>
        </w:tc>
      </w:tr>
      <w:tr>
        <w:tc>
          <w:tcPr>
            <w:tcW w:w="3166" w:type="dxa"/>
            <w:shd w:val="clear" w:color="auto" w:fill="f2f7fc"/>
            <w:vAlign w:val="center"/>
          </w:tcPr>
          <w:p>
            <w:pPr>
              <w:spacing w:before="15" w:after="15"/>
            </w:pPr>
            <w:r>
              <w:rPr>
                <w:sz w:val="18"/>
              </w:rPr>
              <w:t xml:space="preserve">TVS parallelism</w:t>
            </w:r>
          </w:p>
        </w:tc>
        <w:tc>
          <w:tcPr>
            <w:tcW w:w="3166" w:type="dxa"/>
            <w:shd w:val="clear" w:color="auto" w:fill="f2f7fc"/>
            <w:vAlign w:val="center"/>
          </w:tcPr>
          <w:p>
            <w:pPr>
              <w:spacing w:before="15" w:after="15"/>
            </w:pPr>
            <w:r>
              <w:rPr>
                <w:sz w:val="18"/>
              </w:rPr>
              <w:t xml:space="preserve">1</w:t>
            </w:r>
          </w:p>
        </w:tc>
        <w:tc>
          <w:tcPr>
            <w:tcW w:w="3166" w:type="dxa"/>
            <w:shd w:val="clear" w:color="auto" w:fill="f2f7fc"/>
            <w:vAlign w:val="center"/>
          </w:tcPr>
          <w:p>
            <w:pPr>
              <w:spacing w:before="15" w:after="15"/>
            </w:pPr>
            <w:r>
              <w:rPr>
                <w:sz w:val="18"/>
              </w:rPr>
              <w:t xml:space="preserve">Sequential eval prevents OOM</w:t>
            </w:r>
          </w:p>
        </w:tc>
      </w:tr>
    </w:tbl>
    <w:p>
      <w:pPr>
        <w:spacing w:before="80" w:after="80"/>
      </w:pPr>
    </w:p>
    <w:p>
      <w:pPr>
        <w:pStyle w:val="Heading1"/>
      </w:pPr>
      <w:r>
        <w:rPr/>
        <w:t xml:space="preserve">4. Results</w:t>
      </w:r>
    </w:p>
    <w:p>
      <w:pPr>
        <w:pStyle w:val="Heading2"/>
      </w:pPr>
      <w:r>
        <w:rPr/>
        <w:t xml:space="preserve">4.1 Experimental Setup</w:t>
      </w:r>
    </w:p>
    <w:p>
      <w:pPr/>
      <w:r>
        <w:rPr/>
        <w:t xml:space="preserve">Five models trained on 6.1M rows with TVS (PR-AUC selection), evaluated on 1.53M held-out rows. Bootstrap CIs: 50 iterations, 50% sampling with replacement. Scaling experiments on a 10% sample (153K rows).</w:t>
      </w:r>
    </w:p>
    <w:p>
      <w:pPr>
        <w:pStyle w:val="Heading2"/>
      </w:pPr>
      <w:r>
        <w:rPr/>
        <w:t xml:space="preserve">4.2 Model Performance</w:t>
      </w:r>
    </w:p>
    <w:tbl>
      <w:tblPr>
        <w:tblW w:w="9500" w:type="dxa"/>
        <w:tblLayout w:type="fixe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left w:w="60" w:type="dxa"/>
          <w:bottom w:w="30" w:type="dxa"/>
          <w:right w:w="60" w:type="dxa"/>
        </w:tblCellMar>
      </w:tblPr>
      <w:tblGrid>
        <w:gridCol w:w="1357"/>
        <w:gridCol w:w="1357"/>
        <w:gridCol w:w="1357"/>
        <w:gridCol w:w="1357"/>
        <w:gridCol w:w="1357"/>
        <w:gridCol w:w="1357"/>
        <w:gridCol w:w="1357"/>
      </w:tblGrid>
      <w:tr>
        <w:trPr>
          <w:tblHeader/>
        </w:trPr>
        <w:tc>
          <w:tcPr>
            <w:tcW w:w="1357" w:type="dxa"/>
            <w:shd w:val="clear" w:color="auto" w:fill="1565c0"/>
            <w:vAlign w:val="center"/>
          </w:tcPr>
          <w:p>
            <w:pPr>
              <w:spacing w:before="20" w:after="20"/>
            </w:pPr>
            <w:r>
              <w:rPr>
                <w:b/>
                <w:color w:val="ffffff"/>
                <w:sz w:val="18"/>
              </w:rPr>
              <w:t xml:space="preserve">Model</w:t>
            </w:r>
          </w:p>
        </w:tc>
        <w:tc>
          <w:tcPr>
            <w:tcW w:w="1357" w:type="dxa"/>
            <w:shd w:val="clear" w:color="auto" w:fill="1565c0"/>
            <w:vAlign w:val="center"/>
          </w:tcPr>
          <w:p>
            <w:pPr>
              <w:spacing w:before="20" w:after="20"/>
            </w:pPr>
            <w:r>
              <w:rPr>
                <w:b/>
                <w:color w:val="ffffff"/>
                <w:sz w:val="18"/>
              </w:rPr>
              <w:t xml:space="preserve">PR-AUC</w:t>
            </w:r>
          </w:p>
        </w:tc>
        <w:tc>
          <w:tcPr>
            <w:tcW w:w="1357" w:type="dxa"/>
            <w:shd w:val="clear" w:color="auto" w:fill="1565c0"/>
            <w:vAlign w:val="center"/>
          </w:tcPr>
          <w:p>
            <w:pPr>
              <w:spacing w:before="20" w:after="20"/>
            </w:pPr>
            <w:r>
              <w:rPr>
                <w:b/>
                <w:color w:val="ffffff"/>
                <w:sz w:val="18"/>
              </w:rPr>
              <w:t xml:space="preserve">ROC-AUC</w:t>
            </w:r>
          </w:p>
        </w:tc>
        <w:tc>
          <w:tcPr>
            <w:tcW w:w="1357" w:type="dxa"/>
            <w:shd w:val="clear" w:color="auto" w:fill="1565c0"/>
            <w:vAlign w:val="center"/>
          </w:tcPr>
          <w:p>
            <w:pPr>
              <w:spacing w:before="20" w:after="20"/>
            </w:pPr>
            <w:r>
              <w:rPr>
                <w:b/>
                <w:color w:val="ffffff"/>
                <w:sz w:val="18"/>
              </w:rPr>
              <w:t xml:space="preserve">Denial P</w:t>
            </w:r>
          </w:p>
        </w:tc>
        <w:tc>
          <w:tcPr>
            <w:tcW w:w="1357" w:type="dxa"/>
            <w:shd w:val="clear" w:color="auto" w:fill="1565c0"/>
            <w:vAlign w:val="center"/>
          </w:tcPr>
          <w:p>
            <w:pPr>
              <w:spacing w:before="20" w:after="20"/>
            </w:pPr>
            <w:r>
              <w:rPr>
                <w:b/>
                <w:color w:val="ffffff"/>
                <w:sz w:val="18"/>
              </w:rPr>
              <w:t xml:space="preserve">Denial R</w:t>
            </w:r>
          </w:p>
        </w:tc>
        <w:tc>
          <w:tcPr>
            <w:tcW w:w="1357" w:type="dxa"/>
            <w:shd w:val="clear" w:color="auto" w:fill="1565c0"/>
            <w:vAlign w:val="center"/>
          </w:tcPr>
          <w:p>
            <w:pPr>
              <w:spacing w:before="20" w:after="20"/>
            </w:pPr>
            <w:r>
              <w:rPr>
                <w:b/>
                <w:color w:val="ffffff"/>
                <w:sz w:val="18"/>
              </w:rPr>
              <w:t xml:space="preserve">Denial F1</w:t>
            </w:r>
          </w:p>
        </w:tc>
        <w:tc>
          <w:tcPr>
            <w:tcW w:w="1357" w:type="dxa"/>
            <w:shd w:val="clear" w:color="auto" w:fill="1565c0"/>
            <w:vAlign w:val="center"/>
          </w:tcPr>
          <w:p>
            <w:pPr>
              <w:spacing w:before="20" w:after="20"/>
            </w:pPr>
            <w:r>
              <w:rPr>
                <w:b/>
                <w:color w:val="ffffff"/>
                <w:sz w:val="18"/>
              </w:rPr>
              <w:t xml:space="preserve">Time (s)</w:t>
            </w:r>
          </w:p>
        </w:tc>
      </w:tr>
      <w:tr>
        <w:tc>
          <w:tcPr>
            <w:tcW w:w="1357" w:type="dxa"/>
            <w:shd w:val="clear" w:color="auto" w:fill="ffffff"/>
            <w:vAlign w:val="center"/>
          </w:tcPr>
          <w:p>
            <w:pPr>
              <w:spacing w:before="15" w:after="15"/>
            </w:pPr>
            <w:r>
              <w:rPr>
                <w:sz w:val="18"/>
              </w:rPr>
              <w:t xml:space="preserve">M0 Baseline</w:t>
            </w:r>
          </w:p>
        </w:tc>
        <w:tc>
          <w:tcPr>
            <w:tcW w:w="1357" w:type="dxa"/>
            <w:shd w:val="clear" w:color="auto" w:fill="ffffff"/>
            <w:vAlign w:val="center"/>
          </w:tcPr>
          <w:p>
            <w:pPr>
              <w:spacing w:before="15" w:after="15"/>
            </w:pPr>
            <w:r>
              <w:rPr>
                <w:sz w:val="18"/>
              </w:rPr>
              <w:t xml:space="preserve">0.2592</w:t>
            </w:r>
          </w:p>
        </w:tc>
        <w:tc>
          <w:tcPr>
            <w:tcW w:w="1357" w:type="dxa"/>
            <w:shd w:val="clear" w:color="auto" w:fill="ffffff"/>
            <w:vAlign w:val="center"/>
          </w:tcPr>
          <w:p>
            <w:pPr>
              <w:spacing w:before="15" w:after="15"/>
            </w:pPr>
            <w:r>
              <w:rPr>
                <w:sz w:val="18"/>
              </w:rPr>
              <w:t xml:space="preserve">0.5000</w:t>
            </w:r>
          </w:p>
        </w:tc>
        <w:tc>
          <w:tcPr>
            <w:tcW w:w="1357" w:type="dxa"/>
            <w:shd w:val="clear" w:color="auto" w:fill="ffffff"/>
            <w:vAlign w:val="center"/>
          </w:tcPr>
          <w:p>
            <w:pPr>
              <w:spacing w:before="15" w:after="15"/>
            </w:pPr>
            <w:r>
              <w:rPr>
                <w:sz w:val="18"/>
              </w:rPr>
              <w:t xml:space="preserve">0.000</w:t>
            </w:r>
          </w:p>
        </w:tc>
        <w:tc>
          <w:tcPr>
            <w:tcW w:w="1357" w:type="dxa"/>
            <w:shd w:val="clear" w:color="auto" w:fill="ffffff"/>
            <w:vAlign w:val="center"/>
          </w:tcPr>
          <w:p>
            <w:pPr>
              <w:spacing w:before="15" w:after="15"/>
            </w:pPr>
            <w:r>
              <w:rPr>
                <w:sz w:val="18"/>
              </w:rPr>
              <w:t xml:space="preserve">0.000</w:t>
            </w:r>
          </w:p>
        </w:tc>
        <w:tc>
          <w:tcPr>
            <w:tcW w:w="1357" w:type="dxa"/>
            <w:shd w:val="clear" w:color="auto" w:fill="ffffff"/>
            <w:vAlign w:val="center"/>
          </w:tcPr>
          <w:p>
            <w:pPr>
              <w:spacing w:before="15" w:after="15"/>
            </w:pPr>
            <w:r>
              <w:rPr>
                <w:sz w:val="18"/>
              </w:rPr>
              <w:t xml:space="preserve">0.000</w:t>
            </w:r>
          </w:p>
        </w:tc>
        <w:tc>
          <w:tcPr>
            <w:tcW w:w="1357" w:type="dxa"/>
            <w:shd w:val="clear" w:color="auto" w:fill="ffffff"/>
            <w:vAlign w:val="center"/>
          </w:tcPr>
          <w:p>
            <w:pPr>
              <w:spacing w:before="15" w:after="15"/>
            </w:pPr>
            <w:r>
              <w:rPr>
                <w:sz w:val="18"/>
              </w:rPr>
              <w:t xml:space="preserve">0.02</w:t>
            </w:r>
          </w:p>
        </w:tc>
      </w:tr>
      <w:tr>
        <w:tc>
          <w:tcPr>
            <w:tcW w:w="1357" w:type="dxa"/>
            <w:shd w:val="clear" w:color="auto" w:fill="f2f7fc"/>
            <w:vAlign w:val="center"/>
          </w:tcPr>
          <w:p>
            <w:pPr>
              <w:spacing w:before="15" w:after="15"/>
            </w:pPr>
            <w:r>
              <w:rPr>
                <w:sz w:val="18"/>
              </w:rPr>
              <w:t xml:space="preserve">M1 Naive Bayes</w:t>
            </w:r>
          </w:p>
        </w:tc>
        <w:tc>
          <w:tcPr>
            <w:tcW w:w="1357" w:type="dxa"/>
            <w:shd w:val="clear" w:color="auto" w:fill="f2f7fc"/>
            <w:vAlign w:val="center"/>
          </w:tcPr>
          <w:p>
            <w:pPr>
              <w:spacing w:before="15" w:after="15"/>
            </w:pPr>
            <w:r>
              <w:rPr>
                <w:sz w:val="18"/>
              </w:rPr>
              <w:t xml:space="preserve">0.9937</w:t>
            </w:r>
          </w:p>
        </w:tc>
        <w:tc>
          <w:tcPr>
            <w:tcW w:w="1357" w:type="dxa"/>
            <w:shd w:val="clear" w:color="auto" w:fill="f2f7fc"/>
            <w:vAlign w:val="center"/>
          </w:tcPr>
          <w:p>
            <w:pPr>
              <w:spacing w:before="15" w:after="15"/>
            </w:pPr>
            <w:r>
              <w:rPr>
                <w:sz w:val="18"/>
              </w:rPr>
              <w:t xml:space="preserve">0.9986</w:t>
            </w:r>
          </w:p>
        </w:tc>
        <w:tc>
          <w:tcPr>
            <w:tcW w:w="1357" w:type="dxa"/>
            <w:shd w:val="clear" w:color="auto" w:fill="f2f7fc"/>
            <w:vAlign w:val="center"/>
          </w:tcPr>
          <w:p>
            <w:pPr>
              <w:spacing w:before="15" w:after="15"/>
            </w:pPr>
            <w:r>
              <w:rPr>
                <w:sz w:val="18"/>
              </w:rPr>
              <w:t xml:space="preserve">0.993</w:t>
            </w:r>
          </w:p>
        </w:tc>
        <w:tc>
          <w:tcPr>
            <w:tcW w:w="1357" w:type="dxa"/>
            <w:shd w:val="clear" w:color="auto" w:fill="f2f7fc"/>
            <w:vAlign w:val="center"/>
          </w:tcPr>
          <w:p>
            <w:pPr>
              <w:spacing w:before="15" w:after="15"/>
            </w:pPr>
            <w:r>
              <w:rPr>
                <w:sz w:val="18"/>
              </w:rPr>
              <w:t xml:space="preserve">0.975</w:t>
            </w:r>
          </w:p>
        </w:tc>
        <w:tc>
          <w:tcPr>
            <w:tcW w:w="1357" w:type="dxa"/>
            <w:shd w:val="clear" w:color="auto" w:fill="f2f7fc"/>
            <w:vAlign w:val="center"/>
          </w:tcPr>
          <w:p>
            <w:pPr>
              <w:spacing w:before="15" w:after="15"/>
            </w:pPr>
            <w:r>
              <w:rPr>
                <w:sz w:val="18"/>
              </w:rPr>
              <w:t xml:space="preserve">0.984</w:t>
            </w:r>
          </w:p>
        </w:tc>
        <w:tc>
          <w:tcPr>
            <w:tcW w:w="1357" w:type="dxa"/>
            <w:shd w:val="clear" w:color="auto" w:fill="f2f7fc"/>
            <w:vAlign w:val="center"/>
          </w:tcPr>
          <w:p>
            <w:pPr>
              <w:spacing w:before="15" w:after="15"/>
            </w:pPr>
            <w:r>
              <w:rPr>
                <w:sz w:val="18"/>
              </w:rPr>
              <w:t xml:space="preserve">40.5</w:t>
            </w:r>
          </w:p>
        </w:tc>
      </w:tr>
      <w:tr>
        <w:tc>
          <w:tcPr>
            <w:tcW w:w="1357" w:type="dxa"/>
            <w:shd w:val="clear" w:color="auto" w:fill="ffffff"/>
            <w:vAlign w:val="center"/>
          </w:tcPr>
          <w:p>
            <w:pPr>
              <w:spacing w:before="15" w:after="15"/>
            </w:pPr>
            <w:r>
              <w:rPr>
                <w:sz w:val="18"/>
              </w:rPr>
              <w:t xml:space="preserve">M2 Logistic Reg.</w:t>
            </w:r>
          </w:p>
        </w:tc>
        <w:tc>
          <w:tcPr>
            <w:tcW w:w="1357" w:type="dxa"/>
            <w:shd w:val="clear" w:color="auto" w:fill="ffffff"/>
            <w:vAlign w:val="center"/>
          </w:tcPr>
          <w:p>
            <w:pPr>
              <w:spacing w:before="15" w:after="15"/>
            </w:pPr>
            <w:r>
              <w:rPr>
                <w:sz w:val="18"/>
              </w:rPr>
              <w:t xml:space="preserve">0.9988</w:t>
            </w:r>
          </w:p>
        </w:tc>
        <w:tc>
          <w:tcPr>
            <w:tcW w:w="1357" w:type="dxa"/>
            <w:shd w:val="clear" w:color="auto" w:fill="ffffff"/>
            <w:vAlign w:val="center"/>
          </w:tcPr>
          <w:p>
            <w:pPr>
              <w:spacing w:before="15" w:after="15"/>
            </w:pPr>
            <w:r>
              <w:rPr>
                <w:sz w:val="18"/>
              </w:rPr>
              <w:t xml:space="preserve">0.9996</w:t>
            </w:r>
          </w:p>
        </w:tc>
        <w:tc>
          <w:tcPr>
            <w:tcW w:w="1357" w:type="dxa"/>
            <w:shd w:val="clear" w:color="auto" w:fill="ffffff"/>
            <w:vAlign w:val="center"/>
          </w:tcPr>
          <w:p>
            <w:pPr>
              <w:spacing w:before="15" w:after="15"/>
            </w:pPr>
            <w:r>
              <w:rPr>
                <w:sz w:val="18"/>
              </w:rPr>
              <w:t xml:space="preserve">0.988</w:t>
            </w:r>
          </w:p>
        </w:tc>
        <w:tc>
          <w:tcPr>
            <w:tcW w:w="1357" w:type="dxa"/>
            <w:shd w:val="clear" w:color="auto" w:fill="ffffff"/>
            <w:vAlign w:val="center"/>
          </w:tcPr>
          <w:p>
            <w:pPr>
              <w:spacing w:before="15" w:after="15"/>
            </w:pPr>
            <w:r>
              <w:rPr>
                <w:sz w:val="18"/>
              </w:rPr>
              <w:t xml:space="preserve">0.988</w:t>
            </w:r>
          </w:p>
        </w:tc>
        <w:tc>
          <w:tcPr>
            <w:tcW w:w="1357" w:type="dxa"/>
            <w:shd w:val="clear" w:color="auto" w:fill="ffffff"/>
            <w:vAlign w:val="center"/>
          </w:tcPr>
          <w:p>
            <w:pPr>
              <w:spacing w:before="15" w:after="15"/>
            </w:pPr>
            <w:r>
              <w:rPr>
                <w:sz w:val="18"/>
              </w:rPr>
              <w:t xml:space="preserve">0.988</w:t>
            </w:r>
          </w:p>
        </w:tc>
        <w:tc>
          <w:tcPr>
            <w:tcW w:w="1357" w:type="dxa"/>
            <w:shd w:val="clear" w:color="auto" w:fill="ffffff"/>
            <w:vAlign w:val="center"/>
          </w:tcPr>
          <w:p>
            <w:pPr>
              <w:spacing w:before="15" w:after="15"/>
            </w:pPr>
            <w:r>
              <w:rPr>
                <w:sz w:val="18"/>
              </w:rPr>
              <w:t xml:space="preserve">642.5</w:t>
            </w:r>
          </w:p>
        </w:tc>
      </w:tr>
      <w:tr>
        <w:tc>
          <w:tcPr>
            <w:tcW w:w="1357" w:type="dxa"/>
            <w:shd w:val="clear" w:color="auto" w:fill="f2f7fc"/>
            <w:vAlign w:val="center"/>
          </w:tcPr>
          <w:p>
            <w:pPr>
              <w:spacing w:before="15" w:after="15"/>
            </w:pPr>
            <w:r>
              <w:rPr>
                <w:sz w:val="18"/>
              </w:rPr>
              <w:t xml:space="preserve">M3 Linear SVM</w:t>
            </w:r>
          </w:p>
        </w:tc>
        <w:tc>
          <w:tcPr>
            <w:tcW w:w="1357" w:type="dxa"/>
            <w:shd w:val="clear" w:color="auto" w:fill="f2f7fc"/>
            <w:vAlign w:val="center"/>
          </w:tcPr>
          <w:p>
            <w:pPr>
              <w:spacing w:before="15" w:after="15"/>
            </w:pPr>
            <w:r>
              <w:rPr>
                <w:sz w:val="18"/>
              </w:rPr>
              <w:t xml:space="preserve">0.9977</w:t>
            </w:r>
          </w:p>
        </w:tc>
        <w:tc>
          <w:tcPr>
            <w:tcW w:w="1357" w:type="dxa"/>
            <w:shd w:val="clear" w:color="auto" w:fill="f2f7fc"/>
            <w:vAlign w:val="center"/>
          </w:tcPr>
          <w:p>
            <w:pPr>
              <w:spacing w:before="15" w:after="15"/>
            </w:pPr>
            <w:r>
              <w:rPr>
                <w:sz w:val="18"/>
              </w:rPr>
              <w:t xml:space="preserve">0.9994</w:t>
            </w:r>
          </w:p>
        </w:tc>
        <w:tc>
          <w:tcPr>
            <w:tcW w:w="1357" w:type="dxa"/>
            <w:shd w:val="clear" w:color="auto" w:fill="f2f7fc"/>
            <w:vAlign w:val="center"/>
          </w:tcPr>
          <w:p>
            <w:pPr>
              <w:spacing w:before="15" w:after="15"/>
            </w:pPr>
            <w:r>
              <w:rPr>
                <w:sz w:val="18"/>
              </w:rPr>
              <w:t xml:space="preserve">0.993</w:t>
            </w:r>
          </w:p>
        </w:tc>
        <w:tc>
          <w:tcPr>
            <w:tcW w:w="1357" w:type="dxa"/>
            <w:shd w:val="clear" w:color="auto" w:fill="f2f7fc"/>
            <w:vAlign w:val="center"/>
          </w:tcPr>
          <w:p>
            <w:pPr>
              <w:spacing w:before="15" w:after="15"/>
            </w:pPr>
            <w:r>
              <w:rPr>
                <w:sz w:val="18"/>
              </w:rPr>
              <w:t xml:space="preserve">0.985</w:t>
            </w:r>
          </w:p>
        </w:tc>
        <w:tc>
          <w:tcPr>
            <w:tcW w:w="1357" w:type="dxa"/>
            <w:shd w:val="clear" w:color="auto" w:fill="f2f7fc"/>
            <w:vAlign w:val="center"/>
          </w:tcPr>
          <w:p>
            <w:pPr>
              <w:spacing w:before="15" w:after="15"/>
            </w:pPr>
            <w:r>
              <w:rPr>
                <w:sz w:val="18"/>
              </w:rPr>
              <w:t xml:space="preserve">0.989</w:t>
            </w:r>
          </w:p>
        </w:tc>
        <w:tc>
          <w:tcPr>
            <w:tcW w:w="1357" w:type="dxa"/>
            <w:shd w:val="clear" w:color="auto" w:fill="f2f7fc"/>
            <w:vAlign w:val="center"/>
          </w:tcPr>
          <w:p>
            <w:pPr>
              <w:spacing w:before="15" w:after="15"/>
            </w:pPr>
            <w:r>
              <w:rPr>
                <w:sz w:val="18"/>
              </w:rPr>
              <w:t xml:space="preserve">188.1</w:t>
            </w:r>
          </w:p>
        </w:tc>
      </w:tr>
      <w:tr>
        <w:tc>
          <w:tcPr>
            <w:tcW w:w="1357" w:type="dxa"/>
            <w:shd w:val="clear" w:color="auto" w:fill="ffffff"/>
            <w:vAlign w:val="center"/>
          </w:tcPr>
          <w:p>
            <w:pPr>
              <w:spacing w:before="15" w:after="15"/>
            </w:pPr>
            <w:r>
              <w:rPr>
                <w:sz w:val="18"/>
              </w:rPr>
              <w:t xml:space="preserve">M4 Decision Tree</w:t>
            </w:r>
          </w:p>
        </w:tc>
        <w:tc>
          <w:tcPr>
            <w:tcW w:w="1357" w:type="dxa"/>
            <w:shd w:val="clear" w:color="auto" w:fill="ffffff"/>
            <w:vAlign w:val="center"/>
          </w:tcPr>
          <w:p>
            <w:pPr>
              <w:spacing w:before="15" w:after="15"/>
            </w:pPr>
            <w:r>
              <w:rPr>
                <w:sz w:val="18"/>
              </w:rPr>
              <w:t xml:space="preserve">0.9982</w:t>
            </w:r>
          </w:p>
        </w:tc>
        <w:tc>
          <w:tcPr>
            <w:tcW w:w="1357" w:type="dxa"/>
            <w:shd w:val="clear" w:color="auto" w:fill="ffffff"/>
            <w:vAlign w:val="center"/>
          </w:tcPr>
          <w:p>
            <w:pPr>
              <w:spacing w:before="15" w:after="15"/>
            </w:pPr>
            <w:r>
              <w:rPr>
                <w:sz w:val="18"/>
              </w:rPr>
              <w:t xml:space="preserve">0.9994</w:t>
            </w:r>
          </w:p>
        </w:tc>
        <w:tc>
          <w:tcPr>
            <w:tcW w:w="1357" w:type="dxa"/>
            <w:shd w:val="clear" w:color="auto" w:fill="ffffff"/>
            <w:vAlign w:val="center"/>
          </w:tcPr>
          <w:p>
            <w:pPr>
              <w:spacing w:before="15" w:after="15"/>
            </w:pPr>
            <w:r>
              <w:rPr>
                <w:sz w:val="18"/>
              </w:rPr>
              <w:t xml:space="preserve">0.986</w:t>
            </w:r>
          </w:p>
        </w:tc>
        <w:tc>
          <w:tcPr>
            <w:tcW w:w="1357" w:type="dxa"/>
            <w:shd w:val="clear" w:color="auto" w:fill="ffffff"/>
            <w:vAlign w:val="center"/>
          </w:tcPr>
          <w:p>
            <w:pPr>
              <w:spacing w:before="15" w:after="15"/>
            </w:pPr>
            <w:r>
              <w:rPr>
                <w:sz w:val="18"/>
              </w:rPr>
              <w:t xml:space="preserve">0.990</w:t>
            </w:r>
          </w:p>
        </w:tc>
        <w:tc>
          <w:tcPr>
            <w:tcW w:w="1357" w:type="dxa"/>
            <w:shd w:val="clear" w:color="auto" w:fill="ffffff"/>
            <w:vAlign w:val="center"/>
          </w:tcPr>
          <w:p>
            <w:pPr>
              <w:spacing w:before="15" w:after="15"/>
            </w:pPr>
            <w:r>
              <w:rPr>
                <w:sz w:val="18"/>
              </w:rPr>
              <w:t xml:space="preserve">0.988</w:t>
            </w:r>
          </w:p>
        </w:tc>
        <w:tc>
          <w:tcPr>
            <w:tcW w:w="1357" w:type="dxa"/>
            <w:shd w:val="clear" w:color="auto" w:fill="ffffff"/>
            <w:vAlign w:val="center"/>
          </w:tcPr>
          <w:p>
            <w:pPr>
              <w:spacing w:before="15" w:after="15"/>
            </w:pPr>
            <w:r>
              <w:rPr>
                <w:sz w:val="18"/>
              </w:rPr>
              <w:t xml:space="preserve">437.1</w:t>
            </w:r>
          </w:p>
        </w:tc>
      </w:tr>
    </w:tbl>
    <w:p>
      <w:pPr>
        <w:spacing w:before="80" w:after="80"/>
      </w:pPr>
    </w:p>
    <w:p>
      <w:pPr/>
      <w:r>
        <w:rPr/>
        <w:t xml:space="preserve">Bootstrap 95% CIs (PR-AUC): M2 LR [0.9988, 0.9989] vs M4 DT [0.9981, 0.9984] — non-overlapping, confirming a statistically significant difference.</w:t>
      </w:r>
    </w:p>
    <w:p>
      <w:pPr>
        <w:pStyle w:val="Heading2"/>
      </w:pPr>
      <w:r>
        <w:rPr/>
        <w:t xml:space="preserve">4.3 Visualizations</w:t>
      </w:r>
    </w:p>
    <w:p>
      <w:pPr/>
      <w:r>
        <w:rPr/>
        <w:t xml:space="preserve">Generated plots (available in repository and Tableau dashboards): bootstrap CI error bars, PR-AUC/F1/training-time bar charts, per-model confusion matrices, strong/weak scaling line charts, and fair lending denial-rate breakdowns by race, ethnicity, sex, loan purpose, and loan type.</w:t>
      </w:r>
    </w:p>
    <w:p>
      <w:pPr/>
      <w:r>
        <w:rPr>
          <w:b/>
        </w:rPr>
        <w:t xml:space="preserve">Best model confusion matrix (M2 Logistic Regression):</w:t>
      </w:r>
    </w:p>
    <w:tbl>
      <w:tblPr>
        <w:tblW w:w="9500" w:type="dxa"/>
        <w:tblLayout w:type="fixe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left w:w="60" w:type="dxa"/>
          <w:bottom w:w="30" w:type="dxa"/>
          <w:right w:w="60" w:type="dxa"/>
        </w:tblCellMar>
      </w:tblPr>
      <w:tblGrid>
        <w:gridCol w:w="3166"/>
        <w:gridCol w:w="3166"/>
        <w:gridCol w:w="3166"/>
      </w:tblGrid>
      <w:tr>
        <w:trPr>
          <w:tblHeader/>
        </w:trPr>
        <w:tc>
          <w:tcPr>
            <w:tcW w:w="3166" w:type="dxa"/>
            <w:shd w:val="clear" w:color="auto" w:fill="1565c0"/>
            <w:vAlign w:val="center"/>
          </w:tcPr>
          <w:p>
            <w:pPr>
              <w:spacing w:before="20" w:after="20"/>
            </w:pPr>
            <w:r>
              <w:rPr>
                <w:b/>
                <w:color w:val="ffffff"/>
                <w:sz w:val="18"/>
              </w:rPr>
              <w:t xml:space="preserve"/>
            </w:r>
          </w:p>
        </w:tc>
        <w:tc>
          <w:tcPr>
            <w:tcW w:w="3166" w:type="dxa"/>
            <w:shd w:val="clear" w:color="auto" w:fill="1565c0"/>
            <w:vAlign w:val="center"/>
          </w:tcPr>
          <w:p>
            <w:pPr>
              <w:spacing w:before="20" w:after="20"/>
            </w:pPr>
            <w:r>
              <w:rPr>
                <w:b/>
                <w:color w:val="ffffff"/>
                <w:sz w:val="18"/>
              </w:rPr>
              <w:t xml:space="preserve">Pred. Originated</w:t>
            </w:r>
          </w:p>
        </w:tc>
        <w:tc>
          <w:tcPr>
            <w:tcW w:w="3166" w:type="dxa"/>
            <w:shd w:val="clear" w:color="auto" w:fill="1565c0"/>
            <w:vAlign w:val="center"/>
          </w:tcPr>
          <w:p>
            <w:pPr>
              <w:spacing w:before="20" w:after="20"/>
            </w:pPr>
            <w:r>
              <w:rPr>
                <w:b/>
                <w:color w:val="ffffff"/>
                <w:sz w:val="18"/>
              </w:rPr>
              <w:t xml:space="preserve">Pred. Denied</w:t>
            </w:r>
          </w:p>
        </w:tc>
      </w:tr>
      <w:tr>
        <w:tc>
          <w:tcPr>
            <w:tcW w:w="3166" w:type="dxa"/>
            <w:shd w:val="clear" w:color="auto" w:fill="ffffff"/>
            <w:vAlign w:val="center"/>
          </w:tcPr>
          <w:p>
            <w:pPr>
              <w:spacing w:before="15" w:after="15"/>
            </w:pPr>
            <w:r>
              <w:rPr>
                <w:sz w:val="18"/>
              </w:rPr>
              <w:t xml:space="preserve">Actual Originated</w:t>
            </w:r>
          </w:p>
        </w:tc>
        <w:tc>
          <w:tcPr>
            <w:tcW w:w="3166" w:type="dxa"/>
            <w:shd w:val="clear" w:color="auto" w:fill="ffffff"/>
            <w:vAlign w:val="center"/>
          </w:tcPr>
          <w:p>
            <w:pPr>
              <w:spacing w:before="15" w:after="15"/>
            </w:pPr>
            <w:r>
              <w:rPr>
                <w:sz w:val="18"/>
              </w:rPr>
              <w:t xml:space="preserve">1,131,189 (TN)</w:t>
            </w:r>
          </w:p>
        </w:tc>
        <w:tc>
          <w:tcPr>
            <w:tcW w:w="3166" w:type="dxa"/>
            <w:shd w:val="clear" w:color="auto" w:fill="ffffff"/>
            <w:vAlign w:val="center"/>
          </w:tcPr>
          <w:p>
            <w:pPr>
              <w:spacing w:before="15" w:after="15"/>
            </w:pPr>
            <w:r>
              <w:rPr>
                <w:sz w:val="18"/>
              </w:rPr>
              <w:t xml:space="preserve">4,927 (FP)</w:t>
            </w:r>
          </w:p>
        </w:tc>
      </w:tr>
      <w:tr>
        <w:tc>
          <w:tcPr>
            <w:tcW w:w="3166" w:type="dxa"/>
            <w:shd w:val="clear" w:color="auto" w:fill="f2f7fc"/>
            <w:vAlign w:val="center"/>
          </w:tcPr>
          <w:p>
            <w:pPr>
              <w:spacing w:before="15" w:after="15"/>
            </w:pPr>
            <w:r>
              <w:rPr>
                <w:sz w:val="18"/>
              </w:rPr>
              <w:t xml:space="preserve">Actual Denied</w:t>
            </w:r>
          </w:p>
        </w:tc>
        <w:tc>
          <w:tcPr>
            <w:tcW w:w="3166" w:type="dxa"/>
            <w:shd w:val="clear" w:color="auto" w:fill="f2f7fc"/>
            <w:vAlign w:val="center"/>
          </w:tcPr>
          <w:p>
            <w:pPr>
              <w:spacing w:before="15" w:after="15"/>
            </w:pPr>
            <w:r>
              <w:rPr>
                <w:sz w:val="18"/>
              </w:rPr>
              <w:t xml:space="preserve">4,762 (FN)</w:t>
            </w:r>
          </w:p>
        </w:tc>
        <w:tc>
          <w:tcPr>
            <w:tcW w:w="3166" w:type="dxa"/>
            <w:shd w:val="clear" w:color="auto" w:fill="f2f7fc"/>
            <w:vAlign w:val="center"/>
          </w:tcPr>
          <w:p>
            <w:pPr>
              <w:spacing w:before="15" w:after="15"/>
            </w:pPr>
            <w:r>
              <w:rPr>
                <w:sz w:val="18"/>
              </w:rPr>
              <w:t xml:space="preserve">392,680 (TP)</w:t>
            </w:r>
          </w:p>
        </w:tc>
      </w:tr>
    </w:tbl>
    <w:p>
      <w:pPr>
        <w:spacing w:before="80" w:after="80"/>
      </w:pPr>
    </w:p>
    <w:p>
      <w:pPr/>
      <w:r>
        <w:rPr/>
        <w:t xml:space="preserve">FPR = 0.43%, FNR = 1.20%, overall accuracy = 99.37%.</w:t>
      </w:r>
    </w:p>
    <w:p>
      <w:pPr>
        <w:pStyle w:val="Heading2"/>
      </w:pPr>
      <w:r>
        <w:rPr/>
        <w:t xml:space="preserve">4.4 Big Data Insights</w:t>
      </w:r>
    </w:p>
    <w:tbl>
      <w:tblPr>
        <w:tblW w:w="9500" w:type="dxa"/>
        <w:tblLayout w:type="fixe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left w:w="60" w:type="dxa"/>
          <w:bottom w:w="30" w:type="dxa"/>
          <w:right w:w="60" w:type="dxa"/>
        </w:tblCellMar>
      </w:tblPr>
      <w:tblGrid>
        <w:gridCol w:w="3166"/>
        <w:gridCol w:w="3166"/>
        <w:gridCol w:w="3166"/>
      </w:tblGrid>
      <w:tr>
        <w:trPr>
          <w:tblHeader/>
        </w:trPr>
        <w:tc>
          <w:tcPr>
            <w:tcW w:w="3166" w:type="dxa"/>
            <w:shd w:val="clear" w:color="auto" w:fill="1565c0"/>
            <w:vAlign w:val="center"/>
          </w:tcPr>
          <w:p>
            <w:pPr>
              <w:spacing w:before="20" w:after="20"/>
            </w:pPr>
            <w:r>
              <w:rPr>
                <w:b/>
                <w:color w:val="ffffff"/>
                <w:sz w:val="18"/>
              </w:rPr>
              <w:t xml:space="preserve">Experiment</w:t>
            </w:r>
          </w:p>
        </w:tc>
        <w:tc>
          <w:tcPr>
            <w:tcW w:w="3166" w:type="dxa"/>
            <w:shd w:val="clear" w:color="auto" w:fill="1565c0"/>
            <w:vAlign w:val="center"/>
          </w:tcPr>
          <w:p>
            <w:pPr>
              <w:spacing w:before="20" w:after="20"/>
            </w:pPr>
            <w:r>
              <w:rPr>
                <w:b/>
                <w:color w:val="ffffff"/>
                <w:sz w:val="18"/>
              </w:rPr>
              <w:t xml:space="preserve">Config</w:t>
            </w:r>
          </w:p>
        </w:tc>
        <w:tc>
          <w:tcPr>
            <w:tcW w:w="3166" w:type="dxa"/>
            <w:shd w:val="clear" w:color="auto" w:fill="1565c0"/>
            <w:vAlign w:val="center"/>
          </w:tcPr>
          <w:p>
            <w:pPr>
              <w:spacing w:before="20" w:after="20"/>
            </w:pPr>
            <w:r>
              <w:rPr>
                <w:b/>
                <w:color w:val="ffffff"/>
                <w:sz w:val="18"/>
              </w:rPr>
              <w:t xml:space="preserve">Result</w:t>
            </w:r>
          </w:p>
        </w:tc>
      </w:tr>
      <w:tr>
        <w:tc>
          <w:tcPr>
            <w:tcW w:w="3166" w:type="dxa"/>
            <w:shd w:val="clear" w:color="auto" w:fill="ffffff"/>
            <w:vAlign w:val="center"/>
          </w:tcPr>
          <w:p>
            <w:pPr>
              <w:spacing w:before="15" w:after="15"/>
            </w:pPr>
            <w:r>
              <w:rPr>
                <w:sz w:val="18"/>
              </w:rPr>
              <w:t xml:space="preserve">Strong scaling</w:t>
            </w:r>
          </w:p>
        </w:tc>
        <w:tc>
          <w:tcPr>
            <w:tcW w:w="3166" w:type="dxa"/>
            <w:shd w:val="clear" w:color="auto" w:fill="ffffff"/>
            <w:vAlign w:val="center"/>
          </w:tcPr>
          <w:p>
            <w:pPr>
              <w:spacing w:before="15" w:after="15"/>
            </w:pPr>
            <w:r>
              <w:rPr>
                <w:sz w:val="18"/>
              </w:rPr>
              <w:t xml:space="preserve">4 / 8 / 16 / 32 / 64 partitions</w:t>
            </w:r>
          </w:p>
        </w:tc>
        <w:tc>
          <w:tcPr>
            <w:tcW w:w="3166" w:type="dxa"/>
            <w:shd w:val="clear" w:color="auto" w:fill="ffffff"/>
            <w:vAlign w:val="center"/>
          </w:tcPr>
          <w:p>
            <w:pPr>
              <w:spacing w:before="15" w:after="15"/>
            </w:pPr>
            <w:r>
              <w:rPr>
                <w:sz w:val="18"/>
              </w:rPr>
              <w:t xml:space="preserve">Optimal at 16 (0.153s); degrades at 64</w:t>
            </w:r>
          </w:p>
        </w:tc>
      </w:tr>
      <w:tr>
        <w:tc>
          <w:tcPr>
            <w:tcW w:w="3166" w:type="dxa"/>
            <w:shd w:val="clear" w:color="auto" w:fill="f2f7fc"/>
            <w:vAlign w:val="center"/>
          </w:tcPr>
          <w:p>
            <w:pPr>
              <w:spacing w:before="15" w:after="15"/>
            </w:pPr>
            <w:r>
              <w:rPr>
                <w:sz w:val="18"/>
              </w:rPr>
              <w:t xml:space="preserve">Weak scaling</w:t>
            </w:r>
          </w:p>
        </w:tc>
        <w:tc>
          <w:tcPr>
            <w:tcW w:w="3166" w:type="dxa"/>
            <w:shd w:val="clear" w:color="auto" w:fill="f2f7fc"/>
            <w:vAlign w:val="center"/>
          </w:tcPr>
          <w:p>
            <w:pPr>
              <w:spacing w:before="15" w:after="15"/>
            </w:pPr>
            <w:r>
              <w:rPr>
                <w:sz w:val="18"/>
              </w:rPr>
              <w:t xml:space="preserve">25%-100% data</w:t>
            </w:r>
          </w:p>
        </w:tc>
        <w:tc>
          <w:tcPr>
            <w:tcW w:w="3166" w:type="dxa"/>
            <w:shd w:val="clear" w:color="auto" w:fill="f2f7fc"/>
            <w:vAlign w:val="center"/>
          </w:tcPr>
          <w:p>
            <w:pPr>
              <w:spacing w:before="15" w:after="15"/>
            </w:pPr>
            <w:r>
              <w:rPr>
                <w:sz w:val="18"/>
              </w:rPr>
              <w:t xml:space="preserve">Near-linear (0.071s to 0.104s)</w:t>
            </w:r>
          </w:p>
        </w:tc>
      </w:tr>
    </w:tbl>
    <w:p>
      <w:pPr>
        <w:spacing w:before="80" w:after="80"/>
      </w:pPr>
    </w:p>
    <w:tbl>
      <w:tblPr>
        <w:tblW w:w="9500" w:type="dxa"/>
        <w:tblLayout w:type="fixe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left w:w="60" w:type="dxa"/>
          <w:bottom w:w="30" w:type="dxa"/>
          <w:right w:w="60" w:type="dxa"/>
        </w:tblCellMar>
      </w:tblPr>
      <w:tblGrid>
        <w:gridCol w:w="3166"/>
        <w:gridCol w:w="3166"/>
        <w:gridCol w:w="3166"/>
      </w:tblGrid>
      <w:tr>
        <w:trPr>
          <w:tblHeader/>
        </w:trPr>
        <w:tc>
          <w:tcPr>
            <w:tcW w:w="3166" w:type="dxa"/>
            <w:shd w:val="clear" w:color="auto" w:fill="1565c0"/>
            <w:vAlign w:val="center"/>
          </w:tcPr>
          <w:p>
            <w:pPr>
              <w:spacing w:before="20" w:after="20"/>
            </w:pPr>
            <w:r>
              <w:rPr>
                <w:b/>
                <w:color w:val="ffffff"/>
                <w:sz w:val="18"/>
              </w:rPr>
              <w:t xml:space="preserve">Stage</w:t>
            </w:r>
          </w:p>
        </w:tc>
        <w:tc>
          <w:tcPr>
            <w:tcW w:w="3166" w:type="dxa"/>
            <w:shd w:val="clear" w:color="auto" w:fill="1565c0"/>
            <w:vAlign w:val="center"/>
          </w:tcPr>
          <w:p>
            <w:pPr>
              <w:spacing w:before="20" w:after="20"/>
            </w:pPr>
            <w:r>
              <w:rPr>
                <w:b/>
                <w:color w:val="ffffff"/>
                <w:sz w:val="18"/>
              </w:rPr>
              <w:t xml:space="preserve">Bottleneck</w:t>
            </w:r>
          </w:p>
        </w:tc>
        <w:tc>
          <w:tcPr>
            <w:tcW w:w="3166" w:type="dxa"/>
            <w:shd w:val="clear" w:color="auto" w:fill="1565c0"/>
            <w:vAlign w:val="center"/>
          </w:tcPr>
          <w:p>
            <w:pPr>
              <w:spacing w:before="20" w:after="20"/>
            </w:pPr>
            <w:r>
              <w:rPr>
                <w:b/>
                <w:color w:val="ffffff"/>
                <w:sz w:val="18"/>
              </w:rPr>
              <w:t xml:space="preserve">Mitigation</w:t>
            </w:r>
          </w:p>
        </w:tc>
      </w:tr>
      <w:tr>
        <w:tc>
          <w:tcPr>
            <w:tcW w:w="3166" w:type="dxa"/>
            <w:shd w:val="clear" w:color="auto" w:fill="ffffff"/>
            <w:vAlign w:val="center"/>
          </w:tcPr>
          <w:p>
            <w:pPr>
              <w:spacing w:before="15" w:after="15"/>
            </w:pPr>
            <w:r>
              <w:rPr>
                <w:sz w:val="18"/>
              </w:rPr>
              <w:t xml:space="preserve">CSV Ingestion</w:t>
            </w:r>
          </w:p>
        </w:tc>
        <w:tc>
          <w:tcPr>
            <w:tcW w:w="3166" w:type="dxa"/>
            <w:shd w:val="clear" w:color="auto" w:fill="ffffff"/>
            <w:vAlign w:val="center"/>
          </w:tcPr>
          <w:p>
            <w:pPr>
              <w:spacing w:before="15" w:after="15"/>
            </w:pPr>
            <w:r>
              <w:rPr>
                <w:sz w:val="18"/>
              </w:rPr>
              <w:t xml:space="preserve">I/O (4 GB)</w:t>
            </w:r>
          </w:p>
        </w:tc>
        <w:tc>
          <w:tcPr>
            <w:tcW w:w="3166" w:type="dxa"/>
            <w:shd w:val="clear" w:color="auto" w:fill="ffffff"/>
            <w:vAlign w:val="center"/>
          </w:tcPr>
          <w:p>
            <w:pPr>
              <w:spacing w:before="15" w:after="15"/>
            </w:pPr>
            <w:r>
              <w:rPr>
                <w:sz w:val="18"/>
              </w:rPr>
              <w:t xml:space="preserve">Parquet conversion; 3-5x faster reads</w:t>
            </w:r>
          </w:p>
        </w:tc>
      </w:tr>
      <w:tr>
        <w:tc>
          <w:tcPr>
            <w:tcW w:w="3166" w:type="dxa"/>
            <w:shd w:val="clear" w:color="auto" w:fill="f2f7fc"/>
            <w:vAlign w:val="center"/>
          </w:tcPr>
          <w:p>
            <w:pPr>
              <w:spacing w:before="15" w:after="15"/>
            </w:pPr>
            <w:r>
              <w:rPr>
                <w:sz w:val="18"/>
              </w:rPr>
              <w:t xml:space="preserve">Feature Eng.</w:t>
            </w:r>
          </w:p>
        </w:tc>
        <w:tc>
          <w:tcPr>
            <w:tcW w:w="3166" w:type="dxa"/>
            <w:shd w:val="clear" w:color="auto" w:fill="f2f7fc"/>
            <w:vAlign w:val="center"/>
          </w:tcPr>
          <w:p>
            <w:pPr>
              <w:spacing w:before="15" w:after="15"/>
            </w:pPr>
            <w:r>
              <w:rPr>
                <w:sz w:val="18"/>
              </w:rPr>
              <w:t xml:space="preserve">Shuffle (29 stages)</w:t>
            </w:r>
          </w:p>
        </w:tc>
        <w:tc>
          <w:tcPr>
            <w:tcW w:w="3166" w:type="dxa"/>
            <w:shd w:val="clear" w:color="auto" w:fill="f2f7fc"/>
            <w:vAlign w:val="center"/>
          </w:tcPr>
          <w:p>
            <w:pPr>
              <w:spacing w:before="15" w:after="15"/>
            </w:pPr>
            <w:r>
              <w:rPr>
                <w:sz w:val="18"/>
              </w:rPr>
              <w:t xml:space="preserve">AQE partition coalescing</w:t>
            </w:r>
          </w:p>
        </w:tc>
      </w:tr>
      <w:tr>
        <w:tc>
          <w:tcPr>
            <w:tcW w:w="3166" w:type="dxa"/>
            <w:shd w:val="clear" w:color="auto" w:fill="ffffff"/>
            <w:vAlign w:val="center"/>
          </w:tcPr>
          <w:p>
            <w:pPr>
              <w:spacing w:before="15" w:after="15"/>
            </w:pPr>
            <w:r>
              <w:rPr>
                <w:sz w:val="18"/>
              </w:rPr>
              <w:t xml:space="preserve">LR Training</w:t>
            </w:r>
          </w:p>
        </w:tc>
        <w:tc>
          <w:tcPr>
            <w:tcW w:w="3166" w:type="dxa"/>
            <w:shd w:val="clear" w:color="auto" w:fill="ffffff"/>
            <w:vAlign w:val="center"/>
          </w:tcPr>
          <w:p>
            <w:pPr>
              <w:spacing w:before="15" w:after="15"/>
            </w:pPr>
            <w:r>
              <w:rPr>
                <w:sz w:val="18"/>
              </w:rPr>
              <w:t xml:space="preserve">Compute (12 combos, 642s)</w:t>
            </w:r>
          </w:p>
        </w:tc>
        <w:tc>
          <w:tcPr>
            <w:tcW w:w="3166" w:type="dxa"/>
            <w:shd w:val="clear" w:color="auto" w:fill="ffffff"/>
            <w:vAlign w:val="center"/>
          </w:tcPr>
          <w:p>
            <w:pPr>
              <w:spacing w:before="15" w:after="15"/>
            </w:pPr>
            <w:r>
              <w:rPr>
                <w:sz w:val="18"/>
              </w:rPr>
              <w:t xml:space="preserve">TVS parallelism=1</w:t>
            </w:r>
          </w:p>
        </w:tc>
      </w:tr>
      <w:tr>
        <w:tc>
          <w:tcPr>
            <w:tcW w:w="3166" w:type="dxa"/>
            <w:shd w:val="clear" w:color="auto" w:fill="f2f7fc"/>
            <w:vAlign w:val="center"/>
          </w:tcPr>
          <w:p>
            <w:pPr>
              <w:spacing w:before="15" w:after="15"/>
            </w:pPr>
            <w:r>
              <w:rPr>
                <w:sz w:val="18"/>
              </w:rPr>
              <w:t xml:space="preserve">DT Training</w:t>
            </w:r>
          </w:p>
        </w:tc>
        <w:tc>
          <w:tcPr>
            <w:tcW w:w="3166" w:type="dxa"/>
            <w:shd w:val="clear" w:color="auto" w:fill="f2f7fc"/>
            <w:vAlign w:val="center"/>
          </w:tcPr>
          <w:p>
            <w:pPr>
              <w:spacing w:before="15" w:after="15"/>
            </w:pPr>
            <w:r>
              <w:rPr>
                <w:sz w:val="18"/>
              </w:rPr>
              <w:t xml:space="preserve">Memory (deep splits, 437s)</w:t>
            </w:r>
          </w:p>
        </w:tc>
        <w:tc>
          <w:tcPr>
            <w:tcW w:w="3166" w:type="dxa"/>
            <w:shd w:val="clear" w:color="auto" w:fill="f2f7fc"/>
            <w:vAlign w:val="center"/>
          </w:tcPr>
          <w:p>
            <w:pPr>
              <w:spacing w:before="15" w:after="15"/>
            </w:pPr>
            <w:r>
              <w:rPr>
                <w:sz w:val="18"/>
              </w:rPr>
              <w:t xml:space="preserve">maxDepth limit; unpersist</w:t>
            </w:r>
          </w:p>
        </w:tc>
      </w:tr>
    </w:tbl>
    <w:p>
      <w:pPr>
        <w:spacing w:before="80" w:after="80"/>
      </w:pPr>
    </w:p>
    <w:p>
      <w:pPr/>
      <w:r>
        <w:rPr/>
        <w:t xml:space="preserve">Total training cost estimate at $0.50/hr: $0.18 across all five models (1,308s).</w:t>
      </w:r>
    </w:p>
    <w:p>
      <w:pPr>
        <w:pStyle w:val="Heading1"/>
      </w:pPr>
      <w:r>
        <w:rPr/>
        <w:t xml:space="preserve">5. Discussion</w:t>
      </w:r>
    </w:p>
    <w:p>
      <w:pPr/>
      <w:r>
        <w:rPr/>
        <w:t xml:space="preserve">All trained models exceed PR-AUC 0.99, with LR statistically best (0.9988) and Linear SVM achieving the highest denial F1 (0.989). The near-parity across model families suggests HMDA features are largely linearly separable. Compared to prior state-level studies (AUC 0.85-0.92), our national-scale results are substantially higher, likely due to richer features (99 vs 20-30 columns) and full population coverage.</w:t>
      </w:r>
    </w:p>
    <w:p>
      <w:pPr/>
      <w:r>
        <w:rPr>
          <w:b/>
        </w:rPr>
        <w:t xml:space="preserve">Limitations:</w:t>
      </w:r>
    </w:p>
    <w:p>
      <w:pPr>
        <w:pStyle w:val="Normal"/>
        <w:numPr>
          <w:ilvl w:val="0"/>
          <w:numId w:val="1"/>
        </w:numPr>
      </w:pPr>
      <w:r>
        <w:rPr/>
        <w:t xml:space="preserve">Single-machine (Spark local mode); true cluster scaling not tested.</w:t>
      </w:r>
    </w:p>
    <w:p>
      <w:pPr>
        <w:pStyle w:val="Normal"/>
        <w:numPr>
          <w:ilvl w:val="0"/>
          <w:numId w:val="1"/>
        </w:numPr>
      </w:pPr>
      <w:r>
        <w:rPr/>
        <w:t xml:space="preserve">Ensemble models (RF, GBT) excluded due to memory constraints.</w:t>
      </w:r>
    </w:p>
    <w:p>
      <w:pPr>
        <w:pStyle w:val="Normal"/>
        <w:numPr>
          <w:ilvl w:val="0"/>
          <w:numId w:val="1"/>
        </w:numPr>
      </w:pPr>
      <w:r>
        <w:rPr/>
        <w:t xml:space="preserve">Residual leakage through correlated features cannot be fully ruled out.</w:t>
      </w:r>
    </w:p>
    <w:p>
      <w:pPr>
        <w:pStyle w:val="Normal"/>
        <w:numPr>
          <w:ilvl w:val="0"/>
          <w:numId w:val="1"/>
        </w:numPr>
      </w:pPr>
      <w:r>
        <w:rPr/>
        <w:t xml:space="preserve">Trained and tested on 2023 only; temporal generalization unknown.</w:t>
      </w:r>
    </w:p>
    <w:p>
      <w:pPr/>
      <w:r>
        <w:rPr>
          <w:b/>
        </w:rPr>
        <w:t xml:space="preserve">Unexpected findings:</w:t>
      </w:r>
    </w:p>
    <w:p>
      <w:pPr>
        <w:pStyle w:val="Normal"/>
        <w:numPr>
          <w:ilvl w:val="0"/>
          <w:numId w:val="1"/>
        </w:numPr>
      </w:pPr>
      <w:r>
        <w:rPr/>
        <w:t xml:space="preserve">Naive Bayes achieved PR-AUC=0.9937 at 16x lower cost than LR — only 0.5% behind.</w:t>
      </w:r>
    </w:p>
    <w:p>
      <w:pPr>
        <w:pStyle w:val="Normal"/>
        <w:numPr>
          <w:ilvl w:val="0"/>
          <w:numId w:val="1"/>
        </w:numPr>
      </w:pPr>
      <w:r>
        <w:rPr/>
        <w:t xml:space="preserve">Strong scaling degraded beyond 16 partitions due to scheduling overhead.</w:t>
      </w:r>
    </w:p>
    <w:p>
      <w:pPr>
        <w:pStyle w:val="Heading1"/>
      </w:pPr>
      <w:r>
        <w:rPr/>
        <w:t xml:space="preserve">6. Conclusions &amp; Future Work</w:t>
      </w:r>
    </w:p>
    <w:p>
      <w:pPr/>
      <w:r>
        <w:rPr/>
        <w:t xml:space="preserve">RQ1: Denial is predictable with PR-AUC=0.9988 (LR) on the full national dataset. RQ2: LR offers the best PR-AUC; NB offers the best cost-performance ratio. RQ3: Significant disparities persist — Black (39.9%), AIAN (42.3%) vs White (23.5%) denial rates. Spark MLlib processed 6.1M training rows in under 11 minutes total.</w:t>
      </w:r>
    </w:p>
    <w:p>
      <w:pPr/>
      <w:r>
        <w:rPr>
          <w:b/>
        </w:rPr>
        <w:t xml:space="preserve">Future work:</w:t>
      </w:r>
    </w:p>
    <w:p>
      <w:pPr>
        <w:pStyle w:val="Normal"/>
        <w:numPr>
          <w:ilvl w:val="0"/>
          <w:numId w:val="1"/>
        </w:numPr>
      </w:pPr>
      <w:r>
        <w:rPr/>
        <w:t xml:space="preserve">Multi-node cluster deployment (EMR/Dataproc) for true distributed scaling.</w:t>
      </w:r>
    </w:p>
    <w:p>
      <w:pPr>
        <w:pStyle w:val="Normal"/>
        <w:numPr>
          <w:ilvl w:val="0"/>
          <w:numId w:val="1"/>
        </w:numPr>
      </w:pPr>
      <w:r>
        <w:rPr/>
        <w:t xml:space="preserve">Ensemble models (RF, GBT) with sufficient cluster memory.</w:t>
      </w:r>
    </w:p>
    <w:p>
      <w:pPr>
        <w:pStyle w:val="Normal"/>
        <w:numPr>
          <w:ilvl w:val="0"/>
          <w:numId w:val="1"/>
        </w:numPr>
      </w:pPr>
      <w:r>
        <w:rPr/>
        <w:t xml:space="preserve">Temporal validation: train on 2022, test on 2023.</w:t>
      </w:r>
    </w:p>
    <w:p>
      <w:pPr>
        <w:pStyle w:val="Normal"/>
        <w:numPr>
          <w:ilvl w:val="0"/>
          <w:numId w:val="1"/>
        </w:numPr>
      </w:pPr>
      <w:r>
        <w:rPr/>
        <w:t xml:space="preserve">Fairness-aware training (equalized odds constraints).</w:t>
      </w:r>
    </w:p>
    <w:p>
      <w:pPr>
        <w:pStyle w:val="Normal"/>
        <w:numPr>
          <w:ilvl w:val="0"/>
          <w:numId w:val="1"/>
        </w:numPr>
      </w:pPr>
      <w:r>
        <w:rPr/>
        <w:t xml:space="preserve">SHAP/LIME for individual denial explanations.</w:t>
      </w:r>
    </w:p>
    <w:p>
      <w:pPr/>
      <w:r>
        <w:rPr/>
        <w:t xml:space="preserve">Recommendations: convert to Parquet early, prefer TVS over CV for large datasets, set parallelism=1 on memory-constrained machines, and always establish a baseline.</w:t>
      </w:r>
    </w:p>
    <w:p>
      <w:pPr>
        <w:pStyle w:val="Heading1"/>
      </w:pPr>
      <w:r>
        <w:rPr/>
        <w:t xml:space="preserve">7. Tableau Dashboards</w:t>
      </w:r>
    </w:p>
    <w:tbl>
      <w:tblPr>
        <w:tblW w:w="9500" w:type="dxa"/>
        <w:tblLayout w:type="fixe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left w:w="60" w:type="dxa"/>
          <w:bottom w:w="30" w:type="dxa"/>
          <w:right w:w="60" w:type="dxa"/>
        </w:tblCellMar>
      </w:tblPr>
      <w:tblGrid>
        <w:gridCol w:w="4750"/>
        <w:gridCol w:w="4750"/>
      </w:tblGrid>
      <w:tr>
        <w:trPr>
          <w:tblHeader/>
        </w:trPr>
        <w:tc>
          <w:tcPr>
            <w:tcW w:w="4750" w:type="dxa"/>
            <w:shd w:val="clear" w:color="auto" w:fill="1565c0"/>
            <w:vAlign w:val="center"/>
          </w:tcPr>
          <w:p>
            <w:pPr>
              <w:spacing w:before="20" w:after="20"/>
            </w:pPr>
            <w:r>
              <w:rPr>
                <w:b/>
                <w:color w:val="ffffff"/>
                <w:sz w:val="18"/>
              </w:rPr>
              <w:t xml:space="preserve">Dashboard</w:t>
            </w:r>
          </w:p>
        </w:tc>
        <w:tc>
          <w:tcPr>
            <w:tcW w:w="4750" w:type="dxa"/>
            <w:shd w:val="clear" w:color="auto" w:fill="1565c0"/>
            <w:vAlign w:val="center"/>
          </w:tcPr>
          <w:p>
            <w:pPr>
              <w:spacing w:before="20" w:after="20"/>
            </w:pPr>
            <w:r>
              <w:rPr>
                <w:b/>
                <w:color w:val="ffffff"/>
                <w:sz w:val="18"/>
              </w:rPr>
              <w:t xml:space="preserve">Content</w:t>
            </w:r>
          </w:p>
        </w:tc>
      </w:tr>
      <w:tr>
        <w:tc>
          <w:tcPr>
            <w:tcW w:w="4750" w:type="dxa"/>
            <w:shd w:val="clear" w:color="auto" w:fill="ffffff"/>
            <w:vAlign w:val="center"/>
          </w:tcPr>
          <w:p>
            <w:pPr>
              <w:spacing w:before="15" w:after="15"/>
            </w:pPr>
            <w:r>
              <w:rPr>
                <w:sz w:val="18"/>
              </w:rPr>
              <w:t xml:space="preserve">Data Quality &amp; Loan Patterns</w:t>
            </w:r>
          </w:p>
        </w:tc>
        <w:tc>
          <w:tcPr>
            <w:tcW w:w="4750" w:type="dxa"/>
            <w:shd w:val="clear" w:color="auto" w:fill="ffffff"/>
            <w:vAlign w:val="center"/>
          </w:tcPr>
          <w:p>
            <w:pPr>
              <w:spacing w:before="15" w:after="15"/>
            </w:pPr>
            <w:r>
              <w:rPr>
                <w:sz w:val="18"/>
              </w:rPr>
              <w:t xml:space="preserve">KPIs, action distribution, missing values, state-level denial map</w:t>
            </w:r>
          </w:p>
        </w:tc>
      </w:tr>
      <w:tr>
        <w:tc>
          <w:tcPr>
            <w:tcW w:w="4750" w:type="dxa"/>
            <w:shd w:val="clear" w:color="auto" w:fill="f2f7fc"/>
            <w:vAlign w:val="center"/>
          </w:tcPr>
          <w:p>
            <w:pPr>
              <w:spacing w:before="15" w:after="15"/>
            </w:pPr>
            <w:r>
              <w:rPr>
                <w:sz w:val="18"/>
              </w:rPr>
              <w:t xml:space="preserve">Model Performance</w:t>
            </w:r>
          </w:p>
        </w:tc>
        <w:tc>
          <w:tcPr>
            <w:tcW w:w="4750" w:type="dxa"/>
            <w:shd w:val="clear" w:color="auto" w:fill="f2f7fc"/>
            <w:vAlign w:val="center"/>
          </w:tcPr>
          <w:p>
            <w:pPr>
              <w:spacing w:before="15" w:after="15"/>
            </w:pPr>
            <w:r>
              <w:rPr>
                <w:sz w:val="18"/>
              </w:rPr>
              <w:t xml:space="preserve">PR-AUC/ROC-AUC bars, bootstrap CIs, confusion matrices</w:t>
            </w:r>
          </w:p>
        </w:tc>
      </w:tr>
      <w:tr>
        <w:tc>
          <w:tcPr>
            <w:tcW w:w="4750" w:type="dxa"/>
            <w:shd w:val="clear" w:color="auto" w:fill="ffffff"/>
            <w:vAlign w:val="center"/>
          </w:tcPr>
          <w:p>
            <w:pPr>
              <w:spacing w:before="15" w:after="15"/>
            </w:pPr>
            <w:r>
              <w:rPr>
                <w:sz w:val="18"/>
              </w:rPr>
              <w:t xml:space="preserve">Fair Lending Insights</w:t>
            </w:r>
          </w:p>
        </w:tc>
        <w:tc>
          <w:tcPr>
            <w:tcW w:w="4750" w:type="dxa"/>
            <w:shd w:val="clear" w:color="auto" w:fill="ffffff"/>
            <w:vAlign w:val="center"/>
          </w:tcPr>
          <w:p>
            <w:pPr>
              <w:spacing w:before="15" w:after="15"/>
            </w:pPr>
            <w:r>
              <w:rPr>
                <w:sz w:val="18"/>
              </w:rPr>
              <w:t xml:space="preserve">Denial rates by race/ethnicity/sex, loan purpose and type</w:t>
            </w:r>
          </w:p>
        </w:tc>
      </w:tr>
      <w:tr>
        <w:tc>
          <w:tcPr>
            <w:tcW w:w="4750" w:type="dxa"/>
            <w:shd w:val="clear" w:color="auto" w:fill="f2f7fc"/>
            <w:vAlign w:val="center"/>
          </w:tcPr>
          <w:p>
            <w:pPr>
              <w:spacing w:before="15" w:after="15"/>
            </w:pPr>
            <w:r>
              <w:rPr>
                <w:sz w:val="18"/>
              </w:rPr>
              <w:t xml:space="preserve">Scalability &amp; Cost</w:t>
            </w:r>
          </w:p>
        </w:tc>
        <w:tc>
          <w:tcPr>
            <w:tcW w:w="4750" w:type="dxa"/>
            <w:shd w:val="clear" w:color="auto" w:fill="f2f7fc"/>
            <w:vAlign w:val="center"/>
          </w:tcPr>
          <w:p>
            <w:pPr>
              <w:spacing w:before="15" w:after="15"/>
            </w:pPr>
            <w:r>
              <w:rPr>
                <w:sz w:val="18"/>
              </w:rPr>
              <w:t xml:space="preserve">Strong/weak scaling, training time, cloud cost estimates</w:t>
            </w:r>
          </w:p>
        </w:tc>
      </w:tr>
    </w:tbl>
    <w:p>
      <w:pPr>
        <w:spacing w:before="80" w:after="80"/>
      </w:pPr>
    </w:p>
    <w:p>
      <w:pPr>
        <w:pStyle w:val="Heading1"/>
      </w:pPr>
      <w:r>
        <w:rPr/>
        <w:t xml:space="preserve">AI Use Declaration</w:t>
      </w:r>
    </w:p>
    <w:p>
      <w:pPr/>
      <w:r>
        <w:rPr/>
        <w:t xml:space="preserve">Generative AI tools were used as coding assistants. All outputs were reviewed, tested, and validated.</w:t>
      </w:r>
    </w:p>
    <w:tbl>
      <w:tblPr>
        <w:tblW w:w="9500" w:type="dxa"/>
        <w:tblLayout w:type="fixe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30" w:type="dxa"/>
          <w:left w:w="60" w:type="dxa"/>
          <w:bottom w:w="30" w:type="dxa"/>
          <w:right w:w="60" w:type="dxa"/>
        </w:tblCellMar>
      </w:tblPr>
      <w:tblGrid>
        <w:gridCol w:w="4750"/>
        <w:gridCol w:w="4750"/>
      </w:tblGrid>
      <w:tr>
        <w:trPr>
          <w:tblHeader/>
        </w:trPr>
        <w:tc>
          <w:tcPr>
            <w:tcW w:w="4750" w:type="dxa"/>
            <w:shd w:val="clear" w:color="auto" w:fill="1565c0"/>
            <w:vAlign w:val="center"/>
          </w:tcPr>
          <w:p>
            <w:pPr>
              <w:spacing w:before="20" w:after="20"/>
            </w:pPr>
            <w:r>
              <w:rPr>
                <w:b/>
                <w:color w:val="ffffff"/>
                <w:sz w:val="18"/>
              </w:rPr>
              <w:t xml:space="preserve">Tool</w:t>
            </w:r>
          </w:p>
        </w:tc>
        <w:tc>
          <w:tcPr>
            <w:tcW w:w="4750" w:type="dxa"/>
            <w:shd w:val="clear" w:color="auto" w:fill="1565c0"/>
            <w:vAlign w:val="center"/>
          </w:tcPr>
          <w:p>
            <w:pPr>
              <w:spacing w:before="20" w:after="20"/>
            </w:pPr>
            <w:r>
              <w:rPr>
                <w:b/>
                <w:color w:val="ffffff"/>
                <w:sz w:val="18"/>
              </w:rPr>
              <w:t xml:space="preserve">How Used in This Assignment</w:t>
            </w:r>
          </w:p>
        </w:tc>
      </w:tr>
      <w:tr>
        <w:tc>
          <w:tcPr>
            <w:tcW w:w="4750" w:type="dxa"/>
            <w:shd w:val="clear" w:color="auto" w:fill="ffffff"/>
            <w:vAlign w:val="center"/>
          </w:tcPr>
          <w:p>
            <w:pPr>
              <w:spacing w:before="15" w:after="15"/>
            </w:pPr>
            <w:r>
              <w:rPr>
                <w:sz w:val="18"/>
              </w:rPr>
              <w:t xml:space="preserve">Copilot</w:t>
            </w:r>
          </w:p>
        </w:tc>
        <w:tc>
          <w:tcPr>
            <w:tcW w:w="4750" w:type="dxa"/>
            <w:shd w:val="clear" w:color="auto" w:fill="ffffff"/>
            <w:vAlign w:val="center"/>
          </w:tcPr>
          <w:p>
            <w:pPr>
              <w:spacing w:before="15" w:after="15"/>
            </w:pPr>
            <w:r>
              <w:rPr>
                <w:sz w:val="18"/>
              </w:rPr>
              <w:t xml:space="preserve">Data analysis in notebook 2 — identifying numerical vs categorical columns, cardinality assessment, and feature engineering ideas.</w:t>
            </w:r>
          </w:p>
        </w:tc>
      </w:tr>
      <w:tr>
        <w:tc>
          <w:tcPr>
            <w:tcW w:w="4750" w:type="dxa"/>
            <w:shd w:val="clear" w:color="auto" w:fill="f2f7fc"/>
            <w:vAlign w:val="center"/>
          </w:tcPr>
          <w:p>
            <w:pPr>
              <w:spacing w:before="15" w:after="15"/>
            </w:pPr>
            <w:r>
              <w:rPr>
                <w:sz w:val="18"/>
              </w:rPr>
              <w:t xml:space="preserve">Gemini</w:t>
            </w:r>
          </w:p>
        </w:tc>
        <w:tc>
          <w:tcPr>
            <w:tcW w:w="4750" w:type="dxa"/>
            <w:shd w:val="clear" w:color="auto" w:fill="f2f7fc"/>
            <w:vAlign w:val="center"/>
          </w:tcPr>
          <w:p>
            <w:pPr>
              <w:spacing w:before="15" w:after="15"/>
            </w:pPr>
            <w:r>
              <w:rPr>
                <w:sz w:val="18"/>
              </w:rPr>
              <w:t xml:space="preserve">Debugging across all six Jupyter notebooks.</w:t>
            </w:r>
          </w:p>
        </w:tc>
      </w:tr>
      <w:tr>
        <w:tc>
          <w:tcPr>
            <w:tcW w:w="4750" w:type="dxa"/>
            <w:shd w:val="clear" w:color="auto" w:fill="ffffff"/>
            <w:vAlign w:val="center"/>
          </w:tcPr>
          <w:p>
            <w:pPr>
              <w:spacing w:before="15" w:after="15"/>
            </w:pPr>
            <w:r>
              <w:rPr>
                <w:sz w:val="18"/>
              </w:rPr>
              <w:t xml:space="preserve">Gemini</w:t>
            </w:r>
          </w:p>
        </w:tc>
        <w:tc>
          <w:tcPr>
            <w:tcW w:w="4750" w:type="dxa"/>
            <w:shd w:val="clear" w:color="auto" w:fill="ffffff"/>
            <w:vAlign w:val="center"/>
          </w:tcPr>
          <w:p>
            <w:pPr>
              <w:spacing w:before="15" w:after="15"/>
            </w:pPr>
            <w:r>
              <w:rPr>
                <w:sz w:val="18"/>
              </w:rPr>
              <w:t xml:space="preserve">Drafted report sections, structured tables, and formatted references.</w:t>
            </w:r>
          </w:p>
        </w:tc>
      </w:tr>
      <w:tr>
        <w:tc>
          <w:tcPr>
            <w:tcW w:w="4750" w:type="dxa"/>
            <w:shd w:val="clear" w:color="auto" w:fill="f2f7fc"/>
            <w:vAlign w:val="center"/>
          </w:tcPr>
          <w:p>
            <w:pPr>
              <w:spacing w:before="15" w:after="15"/>
            </w:pPr>
            <w:r>
              <w:rPr>
                <w:sz w:val="18"/>
              </w:rPr>
              <w:t xml:space="preserve">Copilot</w:t>
            </w:r>
          </w:p>
        </w:tc>
        <w:tc>
          <w:tcPr>
            <w:tcW w:w="4750" w:type="dxa"/>
            <w:shd w:val="clear" w:color="auto" w:fill="f2f7fc"/>
            <w:vAlign w:val="center"/>
          </w:tcPr>
          <w:p>
            <w:pPr>
              <w:spacing w:before="15" w:after="15"/>
            </w:pPr>
            <w:r>
              <w:rPr>
                <w:sz w:val="18"/>
              </w:rPr>
              <w:t xml:space="preserve">Designed bootstrap confidence interval methodology and scalability experiment framework in notebook 5.</w:t>
            </w:r>
          </w:p>
        </w:tc>
      </w:tr>
      <w:tr>
        <w:tc>
          <w:tcPr>
            <w:tcW w:w="4750" w:type="dxa"/>
            <w:shd w:val="clear" w:color="auto" w:fill="ffffff"/>
            <w:vAlign w:val="center"/>
          </w:tcPr>
          <w:p>
            <w:pPr>
              <w:spacing w:before="15" w:after="15"/>
            </w:pPr>
            <w:r>
              <w:rPr>
                <w:sz w:val="18"/>
              </w:rPr>
              <w:t xml:space="preserve">Copilot</w:t>
            </w:r>
          </w:p>
        </w:tc>
        <w:tc>
          <w:tcPr>
            <w:tcW w:w="4750" w:type="dxa"/>
            <w:shd w:val="clear" w:color="auto" w:fill="ffffff"/>
            <w:vAlign w:val="center"/>
          </w:tcPr>
          <w:p>
            <w:pPr>
              <w:spacing w:before="15" w:after="15"/>
            </w:pPr>
            <w:r>
              <w:rPr>
                <w:sz w:val="18"/>
              </w:rPr>
              <w:t xml:space="preserve">Resolving PySpark pipeline errors by framing queries around schema mismatches and transformation issues.</w:t>
            </w:r>
          </w:p>
        </w:tc>
      </w:tr>
      <w:tr>
        <w:tc>
          <w:tcPr>
            <w:tcW w:w="4750" w:type="dxa"/>
            <w:shd w:val="clear" w:color="auto" w:fill="f2f7fc"/>
            <w:vAlign w:val="center"/>
          </w:tcPr>
          <w:p>
            <w:pPr>
              <w:spacing w:before="15" w:after="15"/>
            </w:pPr>
            <w:r>
              <w:rPr>
                <w:sz w:val="18"/>
              </w:rPr>
              <w:t xml:space="preserve">Gemini</w:t>
            </w:r>
          </w:p>
        </w:tc>
        <w:tc>
          <w:tcPr>
            <w:tcW w:w="4750" w:type="dxa"/>
            <w:shd w:val="clear" w:color="auto" w:fill="f2f7fc"/>
            <w:vAlign w:val="center"/>
          </w:tcPr>
          <w:p>
            <w:pPr>
              <w:spacing w:before="15" w:after="15"/>
            </w:pPr>
            <w:r>
              <w:rPr>
                <w:sz w:val="18"/>
              </w:rPr>
              <w:t xml:space="preserve">Created test_pipeline.py and run_pipeline.py for automated testing and end-to-end pipeline execution.</w:t>
            </w:r>
          </w:p>
        </w:tc>
      </w:tr>
    </w:tbl>
    <w:p>
      <w:pPr>
        <w:spacing w:before="80" w:after="80"/>
      </w:pPr>
    </w:p>
    <w:p>
      <w:pPr>
        <w:pStyle w:val="Heading1"/>
      </w:pPr>
      <w:r>
        <w:rPr/>
        <w:t xml:space="preserve">References</w:t>
      </w:r>
    </w:p>
    <w:p>
      <w:pPr>
        <w:pStyle w:val="Normal"/>
        <w:numPr>
          <w:ilvl w:val="0"/>
          <w:numId w:val="1"/>
        </w:numPr>
      </w:pPr>
      <w:r>
        <w:rPr/>
        <w:t xml:space="preserve">Consumer Financial Protection Bureau. (2024). HMDA 2023 Snapshot National Loan-Level Dataset. FFIEC. https://ffiec.cfpb.gov/data-publication/snapshot-national-loan-level-dataset/2023</w:t>
      </w:r>
    </w:p>
    <w:p>
      <w:pPr>
        <w:pStyle w:val="Normal"/>
        <w:numPr>
          <w:ilvl w:val="0"/>
          <w:numId w:val="1"/>
        </w:numPr>
      </w:pPr>
      <w:r>
        <w:rPr/>
        <w:t xml:space="preserve">Apache Software Foundation. (2024). Apache Spark MLlib: Machine Learning Library. https://spark.apache.org/docs/latest/ml-guide.html</w:t>
      </w:r>
    </w:p>
    <w:p>
      <w:pPr>
        <w:pStyle w:val="Normal"/>
        <w:numPr>
          <w:ilvl w:val="0"/>
          <w:numId w:val="1"/>
        </w:numPr>
      </w:pPr>
      <w:r>
        <w:rPr/>
        <w:t xml:space="preserve">Apache Software Foundation. (2024). PySpark API Reference. https://spark.apache.org/docs/latest/api/python/</w:t>
      </w:r>
    </w:p>
    <w:p>
      <w:pPr>
        <w:pStyle w:val="Normal"/>
        <w:numPr>
          <w:ilvl w:val="0"/>
          <w:numId w:val="1"/>
        </w:numPr>
      </w:pPr>
      <w:r>
        <w:rPr/>
        <w:t xml:space="preserve">Tableau Software. (2024). Tableau Public. https://public.tableau.com/</w:t>
      </w:r>
    </w:p>
    <w:p>
      <w:pPr>
        <w:pBdr>
          <w:bottom w:val="single" w:sz="6" w:space="1" w:color="cccccc"/>
        </w:pBdr>
      </w:pPr>
    </w:p>
    <w:p>
      <w:pPr>
        <w:pStyle w:val="MetaInfo"/>
      </w:pPr>
      <w:r>
        <w:rPr/>
        <w:t xml:space="preserve">Code Repository: [INSERT CODE REPOSITORY LINK HERE]</w:t>
      </w:r>
    </w:p>
    <w:p>
      <w:pPr>
        <w:pStyle w:val="MetaInfo"/>
      </w:pPr>
      <w:r>
        <w:rPr/>
        <w:t xml:space="preserve">Tableau Public Dashboard: [INSERT TABLEAU PUBLIC LINK HERE]</w:t>
      </w:r>
    </w:p>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20" w:line="259" w:lineRule="auto"/>
      </w:pPr>
    </w:pPrDefault>
  </w:docDefaults>
  <w:style w:type="paragraph" w:default="1" w:styleId="Normal">
    <w:name w:val="Normal"/>
    <w:rPr>
      <w:sz w:val="22"/>
      <w:szCs w:val="22"/>
    </w:rPr>
  </w:style>
  <w:style w:type="paragraph" w:styleId="Title">
    <w:name w:val="Title"/>
    <w:basedOn w:val="Normal"/>
    <w:pPr>
      <w:jc w:val="center"/>
      <w:spacing w:after="120"/>
    </w:pPr>
    <w:rPr>
      <w:b/>
      <w:sz w:val="44"/>
      <w:szCs w:val="44"/>
      <w:color w:val="1a237e"/>
    </w:rPr>
  </w:style>
  <w:style w:type="paragraph" w:styleId="MetaInfo">
    <w:name w:val="MetaInfo"/>
    <w:basedOn w:val="Normal"/>
    <w:pPr>
      <w:jc w:val="center"/>
      <w:spacing w:after="40"/>
    </w:pPr>
    <w:rPr>
      <w:sz w:val="22"/>
      <w:szCs w:val="22"/>
      <w:color w:val="555555"/>
    </w:rPr>
  </w:style>
  <w:style w:type="paragraph" w:styleId="Heading1">
    <w:name w:val="heading 1"/>
    <w:basedOn w:val="Normal"/>
    <w:next w:val="Normal"/>
    <w:pPr>
      <w:keepNext/>
      <w:spacing w:before="280" w:after="80"/>
    </w:pPr>
    <w:rPr>
      <w:b/>
      <w:sz w:val="28"/>
      <w:szCs w:val="28"/>
      <w:color w:val="1565c0"/>
    </w:rPr>
  </w:style>
  <w:style w:type="paragraph" w:styleId="Heading2">
    <w:name w:val="heading 2"/>
    <w:basedOn w:val="Normal"/>
    <w:next w:val="Normal"/>
    <w:pPr>
      <w:keepNext/>
      <w:spacing w:before="200" w:after="60"/>
    </w:pPr>
    <w:rPr>
      <w:b/>
      <w:sz w:val="24"/>
      <w:szCs w:val="24"/>
      <w:color w:val="1976d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