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36" w:lineRule="auto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spacing w:before="0" w:after="12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A brief summary of the incident, its impact, and immediate actions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spacing w:before="0" w:after="12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The incident occurred on 2026-02-24 at 22:15 IST. Affected systems included DB server and internal API.</w:t>
      </w:r>
    </w:p>
    <w:p>
      <w:pPr>
        <w:pStyle w:val="ListBullet"/>
        <w:spacing w:before="0" w:after="12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Initial detection via IDS alert.</w:t>
      </w:r>
    </w:p>
    <w:p>
      <w:pPr>
        <w:pStyle w:val="ListBullet"/>
        <w:spacing w:before="0" w:after="12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Systems isolated.</w:t>
      </w:r>
    </w:p>
    <w:p>
      <w:pPr>
        <w:pStyle w:val="ListBullet"/>
        <w:spacing w:before="0" w:after="12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Forensic snapshot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Malware sample hash</w:t>
            </w:r>
          </w:p>
        </w:tc>
      </w:tr>
    </w:tbl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  <w:spacing w:before="0" w:after="120" w:line="336" w:lineRule="auto"/>
        <w:jc w:val="left"/>
      </w:pPr>
      <w:r>
        <w:rPr>
          <w:rFonts w:ascii="Calibri" w:hAnsi="Calibri"/>
          <w:color w:val="17202A"/>
          <w:sz w:val="22"/>
        </w:rPr>
        <w:t>Rotate compromised credentials.</w:t>
      </w:r>
    </w:p>
    <w:p>
      <w:pPr>
        <w:pStyle w:val="ListNumber"/>
        <w:spacing w:before="0" w:after="120" w:line="336" w:lineRule="auto"/>
        <w:jc w:val="left"/>
      </w:pPr>
      <w:r>
        <w:rPr>
          <w:rFonts w:ascii="Calibri" w:hAnsi="Calibri"/>
          <w:color w:val="17202A"/>
          <w:sz w:val="22"/>
        </w:rPr>
        <w:t>Patch vulnerable services.</w:t>
      </w:r>
    </w:p>
    <w:p>
      <w:pPr>
        <w:pStyle w:val="ListNumber"/>
        <w:spacing w:before="0" w:after="120" w:line="336" w:lineRule="auto"/>
        <w:jc w:val="left"/>
      </w:pPr>
      <w:r>
        <w:rPr>
          <w:rFonts w:ascii="Calibri" w:hAnsi="Calibri"/>
          <w:color w:val="17202A"/>
          <w:sz w:val="22"/>
        </w:rPr>
        <w:t>Run a full internal audit.</w:t>
      </w:r>
    </w:p>
    <w:p>
      <w:pPr>
        <w:spacing w:before="0" w:after="120" w:line="336" w:lineRule="auto"/>
        <w:ind w:left="0"/>
      </w:pPr>
      <w:r>
        <w:rPr>
          <w:rFonts w:ascii="Consolas" w:hAnsi="Consolas"/>
          <w:color w:val="1F2937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Appendix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| Incident Flow Diagram |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1F3A5F"/>
        <w:sz w:val="18"/>
      </w:rPr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i w:val="0"/>
        <w:color w:val="1F3A5F"/>
        <w:sz w:val="2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