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120" w:line="336" w:lineRule="auto"/>
      </w:pPr>
      <w:r>
        <w:rPr>
          <w:rFonts w:ascii="Calibri" w:hAnsi="Calibri"/>
          <w:b/>
          <w:color w:val="1F3A5F"/>
          <w:sz w:val="48"/>
        </w:rPr>
        <w:t>NotesForge - Cybersecurity Incident Summary</w:t>
      </w:r>
    </w:p>
    <w:p>
      <w:pPr>
        <w:pStyle w:val="Heading2"/>
        <w:spacing w:before="200" w:after="120" w:line="336" w:lineRule="auto"/>
      </w:pPr>
      <w:r>
        <w:rPr>
          <w:rFonts w:ascii="Calibri" w:hAnsi="Calibri"/>
          <w:b/>
          <w:color w:val="1F3A5F"/>
          <w:sz w:val="40"/>
        </w:rPr>
        <w:t>Executive Summary</w:t>
      </w:r>
    </w:p>
    <w:p>
      <w:pPr>
        <w:spacing w:before="0" w:after="0" w:line="336" w:lineRule="auto"/>
        <w:ind w:firstLine="0"/>
        <w:jc w:val="left"/>
      </w:pPr>
      <w:r>
        <w:rPr>
          <w:rFonts w:ascii="Calibri" w:hAnsi="Calibri"/>
          <w:color w:val="17202A"/>
          <w:sz w:val="22"/>
        </w:rPr>
        <w:t>A brief summary of the incident, its impact, and immediate actions taken.</w:t>
      </w:r>
    </w:p>
    <w:p>
      <w:pPr>
        <w:pStyle w:val="Heading2"/>
        <w:spacing w:before="200" w:after="120" w:line="336" w:lineRule="auto"/>
      </w:pPr>
      <w:r>
        <w:rPr>
          <w:rFonts w:ascii="Calibri" w:hAnsi="Calibri"/>
          <w:b/>
          <w:color w:val="1F3A5F"/>
          <w:sz w:val="40"/>
        </w:rPr>
        <w:t>Details</w:t>
      </w:r>
    </w:p>
    <w:p>
      <w:pPr>
        <w:spacing w:before="0" w:after="0" w:line="336" w:lineRule="auto"/>
        <w:ind w:firstLine="0"/>
        <w:jc w:val="left"/>
      </w:pPr>
      <w:r>
        <w:rPr>
          <w:rFonts w:ascii="Calibri" w:hAnsi="Calibri"/>
          <w:color w:val="17202A"/>
          <w:sz w:val="22"/>
        </w:rPr>
        <w:t>The incident occurred on 2026-02-24 at 22:15 IST. Affected systems included DB server and internal API.</w:t>
      </w:r>
    </w:p>
    <w:p>
      <w:pPr>
        <w:pStyle w:val="ListBullet"/>
        <w:spacing w:before="0" w:after="0" w:line="336" w:lineRule="auto"/>
        <w:ind w:left="360"/>
        <w:jc w:val="left"/>
      </w:pPr>
      <w:r>
        <w:rPr>
          <w:rFonts w:ascii="Calibri" w:hAnsi="Calibri"/>
          <w:color w:val="17202A"/>
          <w:sz w:val="22"/>
        </w:rPr>
        <w:t>Initial detection via IDS alert.</w:t>
      </w:r>
    </w:p>
    <w:p>
      <w:pPr>
        <w:pStyle w:val="ListBullet"/>
        <w:spacing w:before="0" w:after="0" w:line="336" w:lineRule="auto"/>
        <w:ind w:left="360"/>
        <w:jc w:val="left"/>
      </w:pPr>
      <w:r>
        <w:rPr>
          <w:rFonts w:ascii="Calibri" w:hAnsi="Calibri"/>
          <w:color w:val="17202A"/>
          <w:sz w:val="22"/>
        </w:rPr>
        <w:t>Systems isolated.</w:t>
      </w:r>
    </w:p>
    <w:p>
      <w:pPr>
        <w:pStyle w:val="ListBullet"/>
        <w:spacing w:before="0" w:after="0" w:line="336" w:lineRule="auto"/>
        <w:ind w:left="360"/>
        <w:jc w:val="left"/>
      </w:pPr>
      <w:r>
        <w:rPr>
          <w:rFonts w:ascii="Calibri" w:hAnsi="Calibri"/>
          <w:color w:val="17202A"/>
          <w:sz w:val="22"/>
        </w:rPr>
        <w:t>Forensic snapshot taken.</w:t>
      </w:r>
    </w:p>
    <w:p>
      <w:pPr>
        <w:pStyle w:val="Heading2"/>
        <w:spacing w:before="200" w:after="120" w:line="336" w:lineRule="auto"/>
      </w:pPr>
      <w:r>
        <w:rPr>
          <w:rFonts w:ascii="Calibri" w:hAnsi="Calibri"/>
          <w:b/>
          <w:color w:val="1F3A5F"/>
          <w:sz w:val="40"/>
        </w:rPr>
        <w:t>Indicators of Compromise (IOCs)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b/>
                <w:color w:val="111827"/>
                <w:sz w:val="22"/>
              </w:rPr>
              <w:t>Type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b/>
                <w:color w:val="111827"/>
                <w:sz w:val="22"/>
              </w:rPr>
              <w:t>Value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6f6f6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b/>
                <w:color w:val="111827"/>
                <w:sz w:val="22"/>
              </w:rPr>
              <w:t>Notes</w:t>
            </w:r>
          </w:p>
        </w:tc>
      </w:tr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IP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203.0.113.45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Suspicious outbound traffic</w:t>
            </w:r>
          </w:p>
        </w:tc>
      </w:tr>
      <w:tr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Hash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e3b0c442...</w:t>
            </w:r>
          </w:p>
        </w:tc>
        <w:tc>
          <w:tcPr>
            <w:tcW w:type="dxa" w:w="3024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8FAFC"/>
          </w:tcPr>
          <w:p>
            <w:pPr>
              <w:spacing w:line="336" w:lineRule="auto"/>
              <w:jc w:val="left"/>
            </w:pPr>
            <w:r>
              <w:rPr>
                <w:rFonts w:ascii="Calibri" w:hAnsi="Calibri"/>
                <w:color w:val="17202A"/>
                <w:sz w:val="22"/>
              </w:rPr>
              <w:t>Malware sample hash</w:t>
            </w:r>
          </w:p>
        </w:tc>
      </w:tr>
    </w:tbl>
    <w:p>
      <w:pPr>
        <w:pStyle w:val="Heading2"/>
        <w:spacing w:before="200" w:after="120" w:line="336" w:lineRule="auto"/>
      </w:pPr>
      <w:r>
        <w:rPr>
          <w:rFonts w:ascii="Calibri" w:hAnsi="Calibri"/>
          <w:b/>
          <w:color w:val="1F3A5F"/>
          <w:sz w:val="40"/>
        </w:rPr>
        <w:t>Recommendations</w:t>
      </w:r>
    </w:p>
    <w:p>
      <w:pPr>
        <w:pStyle w:val="ListNumber"/>
        <w:spacing w:before="0" w:after="0" w:line="336" w:lineRule="auto"/>
        <w:jc w:val="left"/>
      </w:pPr>
      <w:r>
        <w:rPr>
          <w:rFonts w:ascii="Calibri" w:hAnsi="Calibri"/>
          <w:color w:val="17202A"/>
          <w:sz w:val="22"/>
        </w:rPr>
        <w:t>Rotate compromised credentials.</w:t>
      </w:r>
    </w:p>
    <w:p>
      <w:pPr>
        <w:pStyle w:val="ListNumber"/>
        <w:spacing w:before="0" w:after="0" w:line="336" w:lineRule="auto"/>
        <w:jc w:val="left"/>
      </w:pPr>
      <w:r>
        <w:rPr>
          <w:rFonts w:ascii="Calibri" w:hAnsi="Calibri"/>
          <w:color w:val="17202A"/>
          <w:sz w:val="22"/>
        </w:rPr>
        <w:t>Patch vulnerable services.</w:t>
      </w:r>
    </w:p>
    <w:p>
      <w:pPr>
        <w:pStyle w:val="ListNumber"/>
        <w:spacing w:before="0" w:after="0" w:line="336" w:lineRule="auto"/>
        <w:jc w:val="left"/>
      </w:pPr>
      <w:r>
        <w:rPr>
          <w:rFonts w:ascii="Calibri" w:hAnsi="Calibri"/>
          <w:color w:val="17202A"/>
          <w:sz w:val="22"/>
        </w:rPr>
        <w:t>Run a full internal audit.</w:t>
      </w:r>
    </w:p>
    <w:p>
      <w:pPr>
        <w:spacing w:before="0" w:after="0" w:line="336" w:lineRule="auto"/>
        <w:ind w:left="0"/>
      </w:pPr>
      <w:r>
        <w:rPr>
          <w:rFonts w:ascii="Consolas" w:hAnsi="Consolas"/>
          <w:color w:val="1F2937"/>
          <w:sz w:val="20"/>
        </w:rPr>
        <w:t>curl -X GET "https://internal-api.local/health" -H "Authorization: Bearer &lt;token&gt;"</w:t>
      </w:r>
    </w:p>
    <w:p>
      <w:r>
        <w:br w:type="page"/>
      </w:r>
    </w:p>
    <w:p>
      <w:pPr>
        <w:pStyle w:val="Heading2"/>
        <w:spacing w:before="200" w:after="120" w:line="336" w:lineRule="auto"/>
      </w:pPr>
      <w:r>
        <w:rPr>
          <w:rFonts w:ascii="Calibri" w:hAnsi="Calibri"/>
          <w:b/>
          <w:color w:val="1F3A5F"/>
          <w:sz w:val="40"/>
        </w:rPr>
        <w:t>Appendix</w:t>
      </w:r>
    </w:p>
    <w:p>
      <w:pPr>
        <w:spacing w:line="336" w:lineRule="auto"/>
        <w:ind w:left="0"/>
      </w:pPr>
      <w:r>
        <w:rPr>
          <w:rFonts w:ascii="Consolas" w:hAnsi="Consolas"/>
          <w:color w:val="1F2937"/>
          <w:sz w:val="18"/>
        </w:rPr>
        <w:t>+-----------------------+</w:t>
      </w:r>
    </w:p>
    <w:p>
      <w:pPr>
        <w:spacing w:line="336" w:lineRule="auto"/>
        <w:ind w:left="0"/>
      </w:pPr>
      <w:r>
        <w:rPr>
          <w:rFonts w:ascii="Consolas" w:hAnsi="Consolas"/>
          <w:color w:val="1F2937"/>
          <w:sz w:val="18"/>
        </w:rPr>
        <w:t>| Incident Flow Diagram |</w:t>
      </w:r>
    </w:p>
    <w:p>
      <w:pPr>
        <w:spacing w:line="336" w:lineRule="auto"/>
        <w:ind w:left="0"/>
      </w:pPr>
      <w:r>
        <w:rPr>
          <w:rFonts w:ascii="Consolas" w:hAnsi="Consolas"/>
          <w:color w:val="1F2937"/>
          <w:sz w:val="18"/>
        </w:rPr>
        <w:t>+-----------------------+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1F3A5F"/>
        <w:sz w:val="18"/>
      </w:rPr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 w:val="0"/>
        <w:i w:val="0"/>
        <w:color w:val="1F3A5F"/>
        <w:sz w:val="20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/>
</cp:coreProperties>
</file>