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Quick Doc Formatter - Cybersecurity Incident Summary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Concise incident abstract with impact and containment status.</w:t>
      </w:r>
    </w:p>
    <w:p>
      <w:pPr>
        <w:pStyle w:val="Heading1"/>
        <w:spacing w:line="360" w:lineRule="auto"/>
      </w:pPr>
      <w:r>
        <w:t>Table of Contents</w:t>
      </w:r>
    </w:p>
    <w:p>
      <w:pPr>
        <w:spacing w:line="360" w:lineRule="auto"/>
      </w:pPr>
      <w:r>
        <w:rPr>
          <w:rFonts w:ascii="Times New Roman" w:hAnsi="Times New Roman"/>
          <w:color w:val="17202A"/>
          <w:sz w:val="24"/>
        </w:rPr>
        <w:fldChar w:fldCharType="begin"/>
      </w:r>
      <w:r>
        <w:rPr>
          <w:rFonts w:ascii="Times New Roman" w:hAnsi="Times New Roman"/>
          <w:color w:val="17202A"/>
          <w:sz w:val="24"/>
        </w:rPr>
        <w:instrText xml:space="preserve">TOC \o "1-3" \h \z \u</w:instrText>
      </w:r>
      <w:r>
        <w:rPr>
          <w:rFonts w:ascii="Times New Roman" w:hAnsi="Times New Roman"/>
          <w:color w:val="17202A"/>
          <w:sz w:val="24"/>
        </w:rPr>
        <w:fldChar w:fldCharType="separate"/>
      </w:r>
      <w:r>
        <w:rPr>
          <w:rFonts w:ascii="Times New Roman" w:hAnsi="Times New Roman"/>
          <w:color w:val="17202A"/>
          <w:sz w:val="24"/>
        </w:rPr>
        <w:t>Update this field in Word to generate the TOC.</w:t>
      </w:r>
      <w:r>
        <w:rPr>
          <w:rFonts w:ascii="Times New Roman" w:hAnsi="Times New Roman"/>
          <w:color w:val="17202A"/>
          <w:sz w:val="24"/>
        </w:rPr>
        <w:fldChar w:fldCharType="end"/>
      </w:r>
    </w:p>
    <w:p>
      <w:pPr>
        <w:pStyle w:val="Heading1"/>
        <w:spacing w:line="360" w:lineRule="auto"/>
      </w:pPr>
      <w:r>
        <w:t>List of Tables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Table 3.1: IOCs captured during containment</w:t>
      </w:r>
    </w:p>
    <w:p>
      <w:pPr>
        <w:pStyle w:val="Heading1"/>
        <w:spacing w:line="360" w:lineRule="auto"/>
      </w:pPr>
      <w:r>
        <w:t>List of Figures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Figure 3.1: Incident flow</w:t>
      </w:r>
    </w:p>
    <w:p>
      <w:pPr>
        <w:pStyle w:val="ListBullet"/>
        <w:spacing w:line="360" w:lineRule="auto"/>
      </w:pPr>
      <w:r>
        <w:rPr>
          <w:rFonts w:ascii="Times New Roman" w:hAnsi="Times New Roman"/>
          <w:color w:val="17202A"/>
          <w:sz w:val="24"/>
        </w:rPr>
        <w:t>Figure 4.1: Incident flow diagram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1: Executive Summary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A brief summary of the incident, impact, and immediate actions.</w:t>
        <w:br/>
        <w:t>Continue the same BODY block on the next line without repeating the marker.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2: Timeline and Details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/>
          <w:color w:val="17202A"/>
          <w:sz w:val="24"/>
        </w:rPr>
        <w:t>Incident started on 2026-02-24 22:15 IST and affected API and DB services.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Initial detection via IDS alert.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\tSOC escalation and triage.</w:t>
      </w:r>
    </w:p>
    <w:p>
      <w:pPr>
        <w:pStyle w:val="ListBullet"/>
        <w:spacing w:before="0" w:after="0" w:line="360" w:lineRule="auto"/>
        <w:ind w:left="360"/>
        <w:jc w:val="left"/>
      </w:pPr>
      <w:r>
        <w:rPr>
          <w:rFonts w:ascii="Times New Roman" w:hAnsi="Times New Roman"/>
          <w:color w:val="17202A"/>
          <w:sz w:val="24"/>
        </w:rPr>
        <w:t>\tHost isolation and forensic snapshot.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3: Indicators of Compromise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Type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Value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b/>
                <w:color w:val="111827"/>
                <w:sz w:val="24"/>
              </w:rPr>
              <w:t>Notes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IP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203.0.113.45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Suspicious outbound traffic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Hash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e3b0c442...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/>
                <w:color w:val="17202A"/>
                <w:sz w:val="24"/>
              </w:rPr>
              <w:t>Malware sample hash</w:t>
            </w:r>
          </w:p>
        </w:tc>
      </w:tr>
    </w:tbl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Table 3.1: IOCs captured during containment</w:t>
      </w:r>
    </w:p>
    <w:p>
      <w:pPr>
        <w:jc w:val="center"/>
      </w:pPr>
      <w:r>
        <w:rPr>
          <w:rFonts w:ascii="Times New Roman" w:hAnsi="Times New Roman"/>
          <w:color w:val="17202A"/>
          <w:sz w:val="24"/>
        </w:rPr>
        <w:t>[Image: https://example.com/incident-flow.png]</w:t>
      </w:r>
    </w:p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Figure 3.1: Incident flow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CHAPTER 4: Containment Commands</w:t>
      </w:r>
    </w:p>
    <w:p>
      <w:pPr>
        <w:spacing w:before="0" w:after="0" w:line="360" w:lineRule="auto"/>
        <w:ind w:left="0"/>
        <w:shd w:val="clear" w:color="auto" w:fill="0f172a"/>
      </w:pPr>
      <w:r>
        <w:rPr>
          <w:rFonts w:ascii="JetBrains Mono" w:hAnsi="JetBrains Mono"/>
          <w:color w:val="1F2937"/>
          <w:sz w:val="20"/>
        </w:rPr>
        <w:t>curl -X GET "https://internal-api.local/health" -H "Authorization: Bearer &lt;token&gt;"</w:t>
        <w:br/>
        <w:t>docker compose logs api --tail 100</w:t>
      </w:r>
    </w:p>
    <w:p>
      <w:r>
        <w:br w:type="page"/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References</w:t>
      </w:r>
    </w:p>
    <w:p>
      <w:pPr>
        <w:pStyle w:val="ListNumber"/>
        <w:spacing w:line="360" w:lineRule="auto"/>
      </w:pPr>
      <w:r>
        <w:rPr>
          <w:rFonts w:ascii="Times New Roman" w:hAnsi="Times New Roman"/>
          <w:color w:val="17202A"/>
          <w:sz w:val="24"/>
        </w:rPr>
        <w:t>[1] SOC Incident Runbook</w:t>
      </w:r>
    </w:p>
    <w:p>
      <w:r>
        <w:br w:type="page"/>
      </w:r>
    </w:p>
    <w:p>
      <w:pPr>
        <w:pStyle w:val="Heading1"/>
        <w:spacing w:before="200" w:after="120" w:line="360" w:lineRule="auto"/>
      </w:pPr>
      <w:r>
        <w:rPr>
          <w:rFonts w:ascii="Times New Roman" w:hAnsi="Times New Roman"/>
          <w:b/>
          <w:color w:val="1F3A5F"/>
          <w:sz w:val="36"/>
        </w:rPr>
        <w:t>Appendix: Diagram</w:t>
      </w:r>
    </w:p>
    <w:p>
      <w:pPr>
        <w:spacing w:line="360" w:lineRule="auto"/>
        <w:ind w:left="0"/>
        <w:jc w:val="center"/>
        <w:shd w:val="clear" w:color="auto" w:fill="0f172a"/>
      </w:pPr>
      <w:r>
        <w:rPr>
          <w:rFonts w:ascii="JetBrains Mono" w:hAnsi="JetBrains Mono"/>
          <w:color w:val="1F2937"/>
          <w:sz w:val="18"/>
        </w:rPr>
        <w:t>+-----------------------+</w:t>
        <w:br/>
        <w:t>| Incident Flow Diagram |</w:t>
        <w:br/>
        <w:t>+-----------------------+</w:t>
      </w:r>
    </w:p>
    <w:p>
      <w:pPr>
        <w:spacing w:before="40" w:after="80" w:line="360" w:lineRule="auto"/>
        <w:jc w:val="center"/>
      </w:pPr>
      <w:r>
        <w:rPr>
          <w:rFonts w:ascii="Times New Roman" w:hAnsi="Times New Roman"/>
          <w:i/>
          <w:color w:val="475569"/>
          <w:sz w:val="22"/>
        </w:rPr>
        <w:t>Figure 4.1: Incident flow diagram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1F3A5F"/>
        <w:sz w:val="18"/>
      </w:rPr>
    </w:r>
    <w:r>
      <w:rPr>
        <w:rFonts w:ascii="Times New Roman" w:hAnsi="Times New Roman"/>
        <w:b w:val="0"/>
        <w:i w:val="0"/>
        <w:color w:val="1F3A5F"/>
        <w:sz w:val="18"/>
      </w:rPr>
      <w:t xml:space="preserve">Page </w:t>
    </w:r>
    <w:r>
      <w:rPr>
        <w:rFonts w:ascii="Times New Roman" w:hAnsi="Times New Roman"/>
        <w:b w:val="0"/>
        <w:i w:val="0"/>
        <w:color w:val="1F3A5F"/>
        <w:sz w:val="18"/>
      </w:rPr>
      <w:fldChar w:fldCharType="begin"/>
    </w:r>
    <w:r>
      <w:rPr>
        <w:rFonts w:ascii="Times New Roman" w:hAnsi="Times New Roman"/>
        <w:b w:val="0"/>
        <w:i w:val="0"/>
        <w:color w:val="1F3A5F"/>
        <w:sz w:val="18"/>
      </w:rPr>
      <w:instrText xml:space="preserve">PAGE</w:instrText>
    </w:r>
    <w:r>
      <w:rPr>
        <w:rFonts w:ascii="Times New Roman" w:hAnsi="Times New Roman"/>
        <w:b w:val="0"/>
        <w:i w:val="0"/>
        <w:color w:val="1F3A5F"/>
        <w:sz w:val="18"/>
      </w:rPr>
      <w:fldChar w:fldCharType="separate"/>
    </w:r>
    <w:r>
      <w:rPr>
        <w:rFonts w:ascii="Times New Roman" w:hAnsi="Times New Roman"/>
        <w:b w:val="0"/>
        <w:i w:val="0"/>
        <w:color w:val="1F3A5F"/>
        <w:sz w:val="18"/>
      </w:rPr>
      <w:t>1</w:t>
    </w:r>
    <w:r>
      <w:rPr>
        <w:rFonts w:ascii="Times New Roman" w:hAnsi="Times New Roman"/>
        <w:b w:val="0"/>
        <w:i w:val="0"/>
        <w:color w:val="1F3A5F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 w:val="0"/>
        <w:i w:val="0"/>
        <w:color w:val="1F3A5F"/>
        <w:sz w:val="20"/>
      </w:rPr>
      <w:t>CORPORATE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1720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