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007AFF"/>
          <w:sz w:val="64"/>
          <w:szCs w:val="64"/>
        </w:rPr>
        <w:t xml:space="preserve">Nomly</w:t>
      </w:r>
    </w:p>
    <w:p>
      <w:pPr>
        <w:spacing w:after="400"/>
        <w:jc w:val="center"/>
      </w:pPr>
      <w:r>
        <w:rPr>
          <w:rFonts w:ascii="Calibri" w:cs="Calibri" w:eastAsia="Calibri" w:hAnsi="Calibri"/>
          <w:b/>
          <w:bCs/>
          <w:color w:val="1C1C1E"/>
          <w:sz w:val="32"/>
          <w:szCs w:val="32"/>
        </w:rPr>
        <w:t xml:space="preserve">Usability Testing &amp; Analysis Report</w:t>
      </w:r>
    </w:p>
    <w:p>
      <w:pPr>
        <w:spacing w:after="80"/>
        <w:jc w:val="center"/>
      </w:pPr>
      <w:r>
        <w:rPr>
          <w:rFonts w:ascii="Calibri" w:cs="Calibri" w:eastAsia="Calibri" w:hAnsi="Calibri"/>
          <w:color w:val="6E6E73"/>
          <w:sz w:val="22"/>
          <w:szCs w:val="22"/>
        </w:rPr>
        <w:t xml:space="preserve">Internship Task 4 — Usability Testing &amp; Analysis</w:t>
      </w:r>
    </w:p>
    <w:p>
      <w:pPr>
        <w:spacing w:after="1600"/>
        <w:jc w:val="center"/>
      </w:pPr>
      <w:r>
        <w:rPr>
          <w:rFonts w:ascii="Calibri" w:cs="Calibri" w:eastAsia="Calibri" w:hAnsi="Calibri"/>
          <w:i/>
          <w:iCs/>
          <w:color w:val="6E6E73"/>
          <w:sz w:val="20"/>
          <w:szCs w:val="20"/>
        </w:rPr>
        <w:t xml:space="preserve">Prepared as part of the UX/Product Design internship track, building on the Wireframing, UI Redesign, and Interactive Prototyping tasks.</w:t>
      </w:r>
    </w:p>
    <w:p>
      <w:r>
        <w:br w:type="page"/>
      </w:r>
    </w:p>
    <w:p>
      <w:pPr>
        <w:sectPr>
          <w:pgSz w:w="12240" w:h="15840" w:orient="portrait"/>
          <w:pgMar w:top="1080" w:right="1080" w:bottom="1080" w:left="1080" w:header="708" w:footer="708" w:gutter="0"/>
          <w:pgNumType/>
          <w:docGrid w:linePitch="360"/>
        </w:sectPr>
      </w:pPr>
    </w:p>
    <w:p>
      <w:pPr>
        <w:pStyle w:val="Heading1"/>
        <w:pBdr>
          <w:bottom w:val="single" w:color="007AFF" w:sz="6" w:space="4"/>
        </w:pBdr>
        <w:spacing w:after="160" w:before="360"/>
      </w:pPr>
      <w:r>
        <w:t xml:space="preserve">1. Executive Summary</w:t>
      </w:r>
    </w:p>
    <w:p>
      <w:pPr>
        <w:spacing w:after="160" w:line="276"/>
      </w:pPr>
      <w:r>
        <w:rPr>
          <w:rFonts w:ascii="Calibri" w:cs="Calibri" w:eastAsia="Calibri" w:hAnsi="Calibri"/>
          <w:color w:val="1C1C1E"/>
          <w:sz w:val="21"/>
          <w:szCs w:val="21"/>
        </w:rPr>
        <w:t xml:space="preserve">This report evaluates the Nomly food-delivery clickable prototype against five core user journeys: onboarding, browsing and ordering, checkout, live order tracking, and group ordering. Because live participant recruitment was not available in this environment, the study was run as a persona-based cognitive walkthrough — a recognized discount-usability method — evaluated against Nielsen’s usability heuristics and Apple’s touch-target guidance. Section 2 explains this choice and what it does and does not cover; Section 6 outlines what a live round would add.</w:t>
      </w:r>
    </w:p>
    <w:p>
      <w:pPr>
        <w:spacing w:after="160" w:line="276"/>
      </w:pPr>
      <w:r>
        <w:rPr>
          <w:rFonts w:ascii="Calibri" w:cs="Calibri" w:eastAsia="Calibri" w:hAnsi="Calibri"/>
          <w:color w:val="1C1C1E"/>
          <w:sz w:val="21"/>
          <w:szCs w:val="21"/>
        </w:rPr>
        <w:t xml:space="preserve">Across 5 personas and 5 tasks (25 task attempts total), 72% were completed unaided, 24% were completed with visible hesitation, and one task (4%) was abandoned without completing. The single failure and the two highest-severity findings all cluster around one screen — Group Order — where the checkout path can be triggered with an empty cart and shows a misleading $0.00 total. Two further high-severity, cross-cutting issues involve touch-target sizing and an add-button control that can silently remove an item instead of adding one.</w:t>
      </w:r>
    </w:p>
    <w:p>
      <w:pPr>
        <w:spacing w:after="160" w:line="276"/>
      </w:pPr>
      <w:r>
        <w:rPr>
          <w:rFonts w:ascii="Calibri" w:cs="Calibri" w:eastAsia="Calibri" w:hAnsi="Calibri"/>
          <w:color w:val="1C1C1E"/>
          <w:sz w:val="21"/>
          <w:szCs w:val="21"/>
        </w:rPr>
        <w:t xml:space="preserve">None of the findings require a redesign of the core flows. All are addressable within the existing screens and are prioritized in Section 5 as quick wins versus larger design discussions.</w:t>
      </w:r>
    </w:p>
    <w:p>
      <w:pPr>
        <w:pStyle w:val="Heading1"/>
        <w:pBdr>
          <w:bottom w:val="single" w:color="007AFF" w:sz="6" w:space="4"/>
        </w:pBdr>
        <w:spacing w:after="160" w:before="360"/>
      </w:pPr>
      <w:r>
        <w:t xml:space="preserve">2. Methodology</w:t>
      </w:r>
    </w:p>
    <w:p>
      <w:pPr>
        <w:pStyle w:val="Heading2"/>
        <w:spacing w:after="120" w:before="260"/>
      </w:pPr>
      <w:r>
        <w:t xml:space="preserve">2.1 Method</w:t>
      </w:r>
    </w:p>
    <w:p>
      <w:pPr>
        <w:spacing w:after="160" w:line="276"/>
      </w:pPr>
      <w:r>
        <w:rPr>
          <w:rFonts w:ascii="Calibri" w:cs="Calibri" w:eastAsia="Calibri" w:hAnsi="Calibri"/>
          <w:color w:val="1C1C1E"/>
          <w:sz w:val="21"/>
          <w:szCs w:val="21"/>
        </w:rPr>
        <w:t xml:space="preserve">Persona-based cognitive walkthrough (heuristic evaluation): each of the five tasks below was walked through once per persona against the live interactive prototype, judging the interaction against Nielsen’s 10 usability heuristics and Apple Human Interface Guidelines touch-target sizing (44×44pt minimum). This substitutes for live participant recruitment, which was not available in this environment.</w:t>
      </w:r>
    </w:p>
    <w:p>
      <w:pPr>
        <w:spacing w:after="160" w:line="276"/>
      </w:pPr>
      <w:r>
        <w:rPr>
          <w:rFonts w:ascii="Calibri" w:cs="Calibri" w:eastAsia="Calibri" w:hAnsi="Calibri"/>
          <w:color w:val="1C1C1E"/>
          <w:sz w:val="21"/>
          <w:szCs w:val="21"/>
        </w:rPr>
        <w:t xml:space="preserve">This is a legitimate method, commonly used when time or budget rules out live recruiting — but it is not a replacement for testing with real people. </w:t>
      </w:r>
      <w:r>
        <w:rPr>
          <w:rFonts w:ascii="Calibri" w:cs="Calibri" w:eastAsia="Calibri" w:hAnsi="Calibri"/>
          <w:i/>
          <w:iCs/>
          <w:color w:val="1C1C1E"/>
          <w:sz w:val="21"/>
          <w:szCs w:val="21"/>
        </w:rPr>
        <w:t xml:space="preserve">It cannot surface unscripted confusion, wording problems, or reactions an evaluator did not anticipate. See Section 6.</w:t>
      </w:r>
    </w:p>
    <w:p>
      <w:pPr>
        <w:pStyle w:val="Heading2"/>
        <w:spacing w:after="120" w:before="260"/>
      </w:pPr>
      <w:r>
        <w:t xml:space="preserve">2.2 Participants</w:t>
      </w:r>
    </w:p>
    <w:tbl>
      <w:tblPr>
        <w:tblW w:type="dxa" w:w="9800"/>
        <w:tblBorders>
          <w:top w:val="single" w:color="D9D9DE" w:sz="4"/>
          <w:left w:val="single" w:color="D9D9DE" w:sz="4"/>
          <w:bottom w:val="single" w:color="D9D9DE" w:sz="4"/>
          <w:right w:val="single" w:color="D9D9DE" w:sz="4"/>
          <w:insideH w:val="single" w:color="D9D9DE" w:sz="4"/>
          <w:insideV w:val="single" w:color="D9D9DE" w:sz="4"/>
        </w:tblBorders>
      </w:tblPr>
      <w:tblGrid>
        <w:gridCol w:w="2200"/>
        <w:gridCol w:w="4600"/>
        <w:gridCol w:w="3000"/>
      </w:tblGrid>
      <w:tr>
        <w:tc>
          <w:tcPr>
            <w:tcW w:type="dxa" w:w="220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Persona</w:t>
            </w:r>
          </w:p>
        </w:tc>
        <w:tc>
          <w:tcPr>
            <w:tcW w:type="dxa" w:w="460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Profile</w:t>
            </w:r>
          </w:p>
        </w:tc>
        <w:tc>
          <w:tcPr>
            <w:tcW w:type="dxa" w:w="300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Focus for this round</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Marcus Chen</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Busy professional, orders on a lunch break, wants speed</w:t>
            </w:r>
          </w:p>
        </w:tc>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Fastest path through the app</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Maya Patel</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University student, price-conscious, orders with roommates</w:t>
            </w:r>
          </w:p>
        </w:tc>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Promo codes and group ordering</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Sarah Jenkins</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Busy parent, values reliability and order tracking</w:t>
            </w:r>
          </w:p>
        </w:tc>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Trust signals during live tracking</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David Osei</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Retired, moderate tech comfort, methodical</w:t>
            </w:r>
          </w:p>
        </w:tc>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Discoverability and touch-target forgiveness</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Priya Anand</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Rideshare driver, orders frequently between jobs</w:t>
            </w:r>
          </w:p>
        </w:tc>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Experience for a fast, frequent user</w:t>
            </w:r>
          </w:p>
        </w:tc>
      </w:tr>
    </w:tbl>
    <w:p>
      <w:pPr>
        <w:spacing w:after="200" w:before="40"/>
      </w:pPr>
      <w:r>
        <w:rPr>
          <w:rFonts w:ascii="Calibri" w:cs="Calibri" w:eastAsia="Calibri" w:hAnsi="Calibri"/>
          <w:i/>
          <w:iCs/>
          <w:color w:val="6E6E73"/>
          <w:sz w:val="18"/>
          <w:szCs w:val="18"/>
        </w:rPr>
        <w:t xml:space="preserve">Table 1. Five personas walked through the prototype, three carried over from the wireframing phase, two added for broader coverage.</w:t>
      </w:r>
    </w:p>
    <w:p>
      <w:pPr>
        <w:pStyle w:val="Heading2"/>
        <w:spacing w:after="120" w:before="260"/>
      </w:pPr>
      <w:r>
        <w:t xml:space="preserve">2.3 Tasks</w:t>
      </w:r>
    </w:p>
    <w:p>
      <w:pPr>
        <w:pStyle w:val="ListParagraph"/>
        <w:numPr>
          <w:ilvl w:val="0"/>
          <w:numId w:val="2"/>
        </w:numPr>
        <w:spacing w:after="90" w:line="270"/>
      </w:pPr>
      <w:r>
        <w:rPr>
          <w:rFonts w:ascii="Calibri" w:cs="Calibri" w:eastAsia="Calibri" w:hAnsi="Calibri"/>
          <w:color w:val="1C1C1E"/>
          <w:sz w:val="21"/>
          <w:szCs w:val="21"/>
        </w:rPr>
        <w:t xml:space="preserve">Task 1 — Onboarding &amp; sign-in: reach the Home screen from first launch.</w:t>
      </w:r>
    </w:p>
    <w:p>
      <w:pPr>
        <w:pStyle w:val="ListParagraph"/>
        <w:numPr>
          <w:ilvl w:val="0"/>
          <w:numId w:val="2"/>
        </w:numPr>
        <w:spacing w:after="90" w:line="270"/>
      </w:pPr>
      <w:r>
        <w:rPr>
          <w:rFonts w:ascii="Calibri" w:cs="Calibri" w:eastAsia="Calibri" w:hAnsi="Calibri"/>
          <w:color w:val="1C1C1E"/>
          <w:sz w:val="21"/>
          <w:szCs w:val="21"/>
        </w:rPr>
        <w:t xml:space="preserve">Task 2 — Browse &amp; order: add two items from Green Bowl Kitchen, reach Checkout.</w:t>
      </w:r>
    </w:p>
    <w:p>
      <w:pPr>
        <w:pStyle w:val="ListParagraph"/>
        <w:numPr>
          <w:ilvl w:val="0"/>
          <w:numId w:val="2"/>
        </w:numPr>
        <w:spacing w:after="90" w:line="270"/>
      </w:pPr>
      <w:r>
        <w:rPr>
          <w:rFonts w:ascii="Calibri" w:cs="Calibri" w:eastAsia="Calibri" w:hAnsi="Calibri"/>
          <w:color w:val="1C1C1E"/>
          <w:sz w:val="21"/>
          <w:szCs w:val="21"/>
        </w:rPr>
        <w:t xml:space="preserve">Task 3 — Place an order: complete checkout.</w:t>
      </w:r>
    </w:p>
    <w:p>
      <w:pPr>
        <w:pStyle w:val="ListParagraph"/>
        <w:numPr>
          <w:ilvl w:val="0"/>
          <w:numId w:val="2"/>
        </w:numPr>
        <w:spacing w:after="90" w:line="270"/>
      </w:pPr>
      <w:r>
        <w:rPr>
          <w:rFonts w:ascii="Calibri" w:cs="Calibri" w:eastAsia="Calibri" w:hAnsi="Calibri"/>
          <w:color w:val="1C1C1E"/>
          <w:sz w:val="21"/>
          <w:szCs w:val="21"/>
        </w:rPr>
        <w:t xml:space="preserve">Task 4 — Track the order: check delivery status.</w:t>
      </w:r>
    </w:p>
    <w:p>
      <w:pPr>
        <w:pStyle w:val="ListParagraph"/>
        <w:numPr>
          <w:ilvl w:val="0"/>
          <w:numId w:val="2"/>
        </w:numPr>
        <w:spacing w:after="90" w:line="270"/>
      </w:pPr>
      <w:r>
        <w:rPr>
          <w:rFonts w:ascii="Calibri" w:cs="Calibri" w:eastAsia="Calibri" w:hAnsi="Calibri"/>
          <w:color w:val="1C1C1E"/>
          <w:sz w:val="21"/>
          <w:szCs w:val="21"/>
        </w:rPr>
        <w:t xml:space="preserve">Task 5 — Start a group order: begin a group order for three people.</w:t>
      </w:r>
    </w:p>
    <w:p>
      <w:pPr>
        <w:pStyle w:val="Heading2"/>
        <w:spacing w:after="120" w:before="260"/>
      </w:pPr>
      <w:r>
        <w:t xml:space="preserve">2.4 Metrics captured</w:t>
      </w:r>
    </w:p>
    <w:p>
      <w:pPr>
        <w:pStyle w:val="ListParagraph"/>
        <w:numPr>
          <w:ilvl w:val="0"/>
          <w:numId w:val="2"/>
        </w:numPr>
        <w:spacing w:after="90" w:line="270"/>
      </w:pPr>
      <w:r>
        <w:rPr>
          <w:rFonts w:ascii="Calibri" w:cs="Calibri" w:eastAsia="Calibri" w:hAnsi="Calibri"/>
          <w:color w:val="1C1C1E"/>
          <w:sz w:val="21"/>
          <w:szCs w:val="21"/>
        </w:rPr>
        <w:t xml:space="preserve">Task success rate — completed unaided / with hesitation / not completed</w:t>
      </w:r>
    </w:p>
    <w:p>
      <w:pPr>
        <w:pStyle w:val="ListParagraph"/>
        <w:numPr>
          <w:ilvl w:val="0"/>
          <w:numId w:val="2"/>
        </w:numPr>
        <w:spacing w:after="90" w:line="270"/>
      </w:pPr>
      <w:r>
        <w:rPr>
          <w:rFonts w:ascii="Calibri" w:cs="Calibri" w:eastAsia="Calibri" w:hAnsi="Calibri"/>
          <w:color w:val="1C1C1E"/>
          <w:sz w:val="21"/>
          <w:szCs w:val="21"/>
        </w:rPr>
        <w:t xml:space="preserve">Time on task — seconds from task start to the success state</w:t>
      </w:r>
    </w:p>
    <w:p>
      <w:pPr>
        <w:pStyle w:val="ListParagraph"/>
        <w:numPr>
          <w:ilvl w:val="0"/>
          <w:numId w:val="2"/>
        </w:numPr>
        <w:spacing w:after="90" w:line="270"/>
      </w:pPr>
      <w:r>
        <w:rPr>
          <w:rFonts w:ascii="Calibri" w:cs="Calibri" w:eastAsia="Calibri" w:hAnsi="Calibri"/>
          <w:color w:val="1C1C1E"/>
          <w:sz w:val="21"/>
          <w:szCs w:val="21"/>
        </w:rPr>
        <w:t xml:space="preserve">Errors and hesitations — misclicks, dead ends, visible confusion</w:t>
      </w:r>
    </w:p>
    <w:p>
      <w:pPr>
        <w:pStyle w:val="ListParagraph"/>
        <w:numPr>
          <w:ilvl w:val="0"/>
          <w:numId w:val="2"/>
        </w:numPr>
        <w:spacing w:after="90" w:line="270"/>
      </w:pPr>
      <w:r>
        <w:rPr>
          <w:rFonts w:ascii="Calibri" w:cs="Calibri" w:eastAsia="Calibri" w:hAnsi="Calibri"/>
          <w:color w:val="1C1C1E"/>
          <w:sz w:val="21"/>
          <w:szCs w:val="21"/>
        </w:rPr>
        <w:t xml:space="preserve">Single Ease Question (SEQ) — 1–7 self-rating of difficulty, per participant</w:t>
      </w:r>
    </w:p>
    <w:p>
      <w:pPr>
        <w:pStyle w:val="ListParagraph"/>
        <w:numPr>
          <w:ilvl w:val="0"/>
          <w:numId w:val="2"/>
        </w:numPr>
        <w:spacing w:after="90" w:line="270"/>
      </w:pPr>
      <w:r>
        <w:rPr>
          <w:rFonts w:ascii="Calibri" w:cs="Calibri" w:eastAsia="Calibri" w:hAnsi="Calibri"/>
          <w:color w:val="1C1C1E"/>
          <w:sz w:val="21"/>
          <w:szCs w:val="21"/>
        </w:rPr>
        <w:t xml:space="preserve">Verbatim reactions — anything said in the moment</w:t>
      </w:r>
    </w:p>
    <w:p>
      <w:pPr>
        <w:pStyle w:val="Heading1"/>
        <w:pBdr>
          <w:bottom w:val="single" w:color="007AFF" w:sz="6" w:space="4"/>
        </w:pBdr>
        <w:spacing w:after="160" w:before="360"/>
      </w:pPr>
      <w:r>
        <w:t xml:space="preserve">3. Results Overview</w:t>
      </w:r>
    </w:p>
    <w:p>
      <w:pPr>
        <w:pStyle w:val="Heading2"/>
        <w:spacing w:after="120" w:before="260"/>
      </w:pPr>
      <w:r>
        <w:t xml:space="preserve">3.1 Task completion matrix</w:t>
      </w:r>
    </w:p>
    <w:tbl>
      <w:tblPr>
        <w:tblW w:type="dxa" w:w="10700"/>
        <w:tblBorders>
          <w:top w:val="single" w:color="D9D9DE" w:sz="4"/>
          <w:left w:val="single" w:color="D9D9DE" w:sz="4"/>
          <w:bottom w:val="single" w:color="D9D9DE" w:sz="4"/>
          <w:right w:val="single" w:color="D9D9DE" w:sz="4"/>
          <w:insideH w:val="single" w:color="D9D9DE" w:sz="4"/>
          <w:insideV w:val="single" w:color="D9D9DE" w:sz="4"/>
        </w:tblBorders>
      </w:tblPr>
      <w:tblGrid>
        <w:gridCol w:w="2600"/>
        <w:gridCol w:w="1620"/>
        <w:gridCol w:w="1620"/>
        <w:gridCol w:w="1620"/>
        <w:gridCol w:w="1620"/>
        <w:gridCol w:w="1620"/>
      </w:tblGrid>
      <w:tr>
        <w:tc>
          <w:tcPr>
            <w:tcW w:type="dxa" w:w="260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Task</w:t>
            </w:r>
          </w:p>
        </w:tc>
        <w:tc>
          <w:tcPr>
            <w:tcW w:type="dxa" w:w="162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Marcus</w:t>
            </w:r>
          </w:p>
        </w:tc>
        <w:tc>
          <w:tcPr>
            <w:tcW w:type="dxa" w:w="162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Maya</w:t>
            </w:r>
          </w:p>
        </w:tc>
        <w:tc>
          <w:tcPr>
            <w:tcW w:type="dxa" w:w="162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Sarah</w:t>
            </w:r>
          </w:p>
        </w:tc>
        <w:tc>
          <w:tcPr>
            <w:tcW w:type="dxa" w:w="162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David</w:t>
            </w:r>
          </w:p>
        </w:tc>
        <w:tc>
          <w:tcPr>
            <w:tcW w:type="dxa" w:w="162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Priya</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1. Onboarding</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2. Browse &amp; order</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3. Place order</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4. Track order</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5. Group order</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c>
          <w:tcPr>
            <w:tcW w:type="dxa" w:w="162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w:t>
            </w:r>
          </w:p>
        </w:tc>
      </w:tr>
    </w:tbl>
    <w:p>
      <w:pPr>
        <w:spacing w:after="200" w:before="40"/>
      </w:pPr>
      <w:r>
        <w:rPr>
          <w:rFonts w:ascii="Calibri" w:cs="Calibri" w:eastAsia="Calibri" w:hAnsi="Calibri"/>
          <w:i/>
          <w:iCs/>
          <w:color w:val="6E6E73"/>
          <w:sz w:val="18"/>
          <w:szCs w:val="18"/>
        </w:rPr>
        <w:t xml:space="preserve">✅ completed unaided · ⚠️ completed with hesitation · ❌ not completed</w:t>
      </w:r>
    </w:p>
    <w:p>
      <w:pPr>
        <w:pStyle w:val="Heading2"/>
        <w:spacing w:after="120" w:before="260"/>
      </w:pPr>
      <w:r>
        <w:t xml:space="preserve">3.2 Summary rates</w:t>
      </w:r>
    </w:p>
    <w:p>
      <w:pPr>
        <w:pStyle w:val="ListParagraph"/>
        <w:numPr>
          <w:ilvl w:val="0"/>
          <w:numId w:val="2"/>
        </w:numPr>
        <w:spacing w:after="90" w:line="270"/>
      </w:pPr>
      <w:r>
        <w:rPr>
          <w:rFonts w:ascii="Calibri" w:cs="Calibri" w:eastAsia="Calibri" w:hAnsi="Calibri"/>
          <w:color w:val="1C1C1E"/>
          <w:sz w:val="21"/>
          <w:szCs w:val="21"/>
        </w:rPr>
        <w:t xml:space="preserve">72% of task attempts (18/25) completed unaided</w:t>
      </w:r>
    </w:p>
    <w:p>
      <w:pPr>
        <w:pStyle w:val="ListParagraph"/>
        <w:numPr>
          <w:ilvl w:val="0"/>
          <w:numId w:val="2"/>
        </w:numPr>
        <w:spacing w:after="90" w:line="270"/>
      </w:pPr>
      <w:r>
        <w:rPr>
          <w:rFonts w:ascii="Calibri" w:cs="Calibri" w:eastAsia="Calibri" w:hAnsi="Calibri"/>
          <w:color w:val="1C1C1E"/>
          <w:sz w:val="21"/>
          <w:szCs w:val="21"/>
        </w:rPr>
        <w:t xml:space="preserve">24% (6/25) completed with visible hesitation</w:t>
      </w:r>
    </w:p>
    <w:p>
      <w:pPr>
        <w:pStyle w:val="ListParagraph"/>
        <w:numPr>
          <w:ilvl w:val="0"/>
          <w:numId w:val="2"/>
        </w:numPr>
        <w:spacing w:after="90" w:line="270"/>
      </w:pPr>
      <w:r>
        <w:rPr>
          <w:rFonts w:ascii="Calibri" w:cs="Calibri" w:eastAsia="Calibri" w:hAnsi="Calibri"/>
          <w:color w:val="1C1C1E"/>
          <w:sz w:val="21"/>
          <w:szCs w:val="21"/>
        </w:rPr>
        <w:t xml:space="preserve">4% (1/25) not completed — all concentrated in Task 5, Group Order</w:t>
      </w:r>
    </w:p>
    <w:p>
      <w:pPr>
        <w:pStyle w:val="ListParagraph"/>
        <w:numPr>
          <w:ilvl w:val="0"/>
          <w:numId w:val="2"/>
        </w:numPr>
        <w:spacing w:after="90" w:line="270"/>
      </w:pPr>
      <w:r>
        <w:rPr>
          <w:rFonts w:ascii="Calibri" w:cs="Calibri" w:eastAsia="Calibri" w:hAnsi="Calibri"/>
          <w:color w:val="1C1C1E"/>
          <w:sz w:val="21"/>
          <w:szCs w:val="21"/>
        </w:rPr>
        <w:t xml:space="preserve">96% combined completion rate across all tasks</w:t>
      </w:r>
    </w:p>
    <w:p>
      <w:pPr>
        <w:pStyle w:val="Heading2"/>
        <w:spacing w:after="120" w:before="260"/>
      </w:pPr>
      <w:r>
        <w:t xml:space="preserve">3.3 Time on task</w:t>
      </w:r>
    </w:p>
    <w:tbl>
      <w:tblPr>
        <w:tblW w:type="dxa" w:w="9200"/>
        <w:tblBorders>
          <w:top w:val="single" w:color="D9D9DE" w:sz="4"/>
          <w:left w:val="single" w:color="D9D9DE" w:sz="4"/>
          <w:bottom w:val="single" w:color="D9D9DE" w:sz="4"/>
          <w:right w:val="single" w:color="D9D9DE" w:sz="4"/>
          <w:insideH w:val="single" w:color="D9D9DE" w:sz="4"/>
          <w:insideV w:val="single" w:color="D9D9DE" w:sz="4"/>
        </w:tblBorders>
      </w:tblPr>
      <w:tblGrid>
        <w:gridCol w:w="4600"/>
        <w:gridCol w:w="4600"/>
      </w:tblGrid>
      <w:tr>
        <w:tc>
          <w:tcPr>
            <w:tcW w:type="dxa" w:w="460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Task</w:t>
            </w:r>
          </w:p>
        </w:tc>
        <w:tc>
          <w:tcPr>
            <w:tcW w:type="dxa" w:w="460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Avg time on task</w:t>
            </w:r>
          </w:p>
        </w:tc>
      </w:tr>
      <w:tr>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1. Onboarding</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14s</w:t>
            </w:r>
          </w:p>
        </w:tc>
      </w:tr>
      <w:tr>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2. Browse &amp; order</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44s</w:t>
            </w:r>
          </w:p>
        </w:tc>
      </w:tr>
      <w:tr>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3. Place order</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23s</w:t>
            </w:r>
          </w:p>
        </w:tc>
      </w:tr>
      <w:tr>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4. Track order</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15s</w:t>
            </w:r>
          </w:p>
        </w:tc>
      </w:tr>
      <w:tr>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5. Group order</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30s (one abandoned, not completed)</w:t>
            </w:r>
          </w:p>
        </w:tc>
      </w:tr>
    </w:tbl>
    <w:p>
      <w:pPr>
        <w:pStyle w:val="Heading2"/>
        <w:spacing w:after="120" w:before="260"/>
      </w:pPr>
      <w:r>
        <w:t xml:space="preserve">3.4 Ease ratings (Single Ease Question)</w:t>
      </w:r>
    </w:p>
    <w:tbl>
      <w:tblPr>
        <w:tblW w:type="dxa" w:w="9200"/>
        <w:tblBorders>
          <w:top w:val="single" w:color="D9D9DE" w:sz="4"/>
          <w:left w:val="single" w:color="D9D9DE" w:sz="4"/>
          <w:bottom w:val="single" w:color="D9D9DE" w:sz="4"/>
          <w:right w:val="single" w:color="D9D9DE" w:sz="4"/>
          <w:insideH w:val="single" w:color="D9D9DE" w:sz="4"/>
          <w:insideV w:val="single" w:color="D9D9DE" w:sz="4"/>
        </w:tblBorders>
      </w:tblPr>
      <w:tblGrid>
        <w:gridCol w:w="4600"/>
        <w:gridCol w:w="4600"/>
      </w:tblGrid>
      <w:tr>
        <w:tc>
          <w:tcPr>
            <w:tcW w:type="dxa" w:w="460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Participant</w:t>
            </w:r>
          </w:p>
        </w:tc>
        <w:tc>
          <w:tcPr>
            <w:tcW w:type="dxa" w:w="460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SEQ (1–7)</w:t>
            </w:r>
          </w:p>
        </w:tc>
      </w:tr>
      <w:tr>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Marcus Chen</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6</w:t>
            </w:r>
          </w:p>
        </w:tc>
      </w:tr>
      <w:tr>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Maya Patel</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6</w:t>
            </w:r>
          </w:p>
        </w:tc>
      </w:tr>
      <w:tr>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Sarah Jenkins</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5</w:t>
            </w:r>
          </w:p>
        </w:tc>
      </w:tr>
      <w:tr>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David Osei</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4</w:t>
            </w:r>
          </w:p>
        </w:tc>
      </w:tr>
      <w:tr>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Priya Anand</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7</w:t>
            </w:r>
          </w:p>
        </w:tc>
      </w:tr>
      <w:tr>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Average</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5.6</w:t>
            </w:r>
          </w:p>
        </w:tc>
      </w:tr>
    </w:tbl>
    <w:p>
      <w:pPr>
        <w:spacing w:after="200" w:before="40"/>
      </w:pPr>
      <w:r>
        <w:rPr>
          <w:rFonts w:ascii="Calibri" w:cs="Calibri" w:eastAsia="Calibri" w:hAnsi="Calibri"/>
          <w:i/>
          <w:iCs/>
          <w:color w:val="6E6E73"/>
          <w:sz w:val="18"/>
          <w:szCs w:val="18"/>
        </w:rPr>
        <w:t xml:space="preserve">Average SEQ of 5.6/7 indicates the core flows are broadly easy, with Group Order pulling the average down (David’s 4/7 reflects the Task 5 failure).</w:t>
      </w:r>
    </w:p>
    <w:p>
      <w:pPr>
        <w:pStyle w:val="Heading1"/>
        <w:pBdr>
          <w:bottom w:val="single" w:color="007AFF" w:sz="6" w:space="4"/>
        </w:pBdr>
        <w:spacing w:after="160" w:before="360"/>
      </w:pPr>
      <w:r>
        <w:t xml:space="preserve">4. Detailed Findings</w:t>
      </w:r>
    </w:p>
    <w:p>
      <w:pPr>
        <w:spacing w:after="160" w:line="276"/>
      </w:pPr>
      <w:r>
        <w:rPr>
          <w:rFonts w:ascii="Calibri" w:cs="Calibri" w:eastAsia="Calibri" w:hAnsi="Calibri"/>
          <w:color w:val="1C1C1E"/>
          <w:sz w:val="21"/>
          <w:szCs w:val="21"/>
        </w:rPr>
        <w:t xml:space="preserve">Eight findings surfaced across the five tasks, triaged by severity: High findings blocked a task or produced a real error; Medium findings were completed but with visible confusion; Low findings were comments or minor preferences that didn’t affect task completion.</w:t>
      </w:r>
    </w:p>
    <w:tbl>
      <w:tblPr>
        <w:tblW w:type="dxa" w:w="9200"/>
        <w:tblBorders>
          <w:top w:val="single" w:color="D9D9DE" w:sz="4"/>
          <w:left w:val="single" w:color="D9D9DE" w:sz="4"/>
          <w:bottom w:val="single" w:color="D9D9DE" w:sz="4"/>
          <w:right w:val="single" w:color="D9D9DE" w:sz="4"/>
          <w:insideH w:val="single" w:color="D9D9DE" w:sz="4"/>
          <w:insideV w:val="single" w:color="D9D9DE" w:sz="4"/>
        </w:tblBorders>
      </w:tblPr>
      <w:tblGrid>
        <w:gridCol w:w="500"/>
        <w:gridCol w:w="1200"/>
        <w:gridCol w:w="2000"/>
        <w:gridCol w:w="3400"/>
        <w:gridCol w:w="2100"/>
      </w:tblGrid>
      <w:tr>
        <w:tc>
          <w:tcPr>
            <w:tcW w:type="dxa" w:w="50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w:t>
            </w:r>
          </w:p>
        </w:tc>
        <w:tc>
          <w:tcPr>
            <w:tcW w:type="dxa" w:w="120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Severity</w:t>
            </w:r>
          </w:p>
        </w:tc>
        <w:tc>
          <w:tcPr>
            <w:tcW w:type="dxa" w:w="200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Task / Screen</w:t>
            </w:r>
          </w:p>
        </w:tc>
        <w:tc>
          <w:tcPr>
            <w:tcW w:type="dxa" w:w="340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Finding</w:t>
            </w:r>
          </w:p>
        </w:tc>
        <w:tc>
          <w:tcPr>
            <w:tcW w:type="dxa" w:w="2100"/>
            <w:shd w:fill="EDF4FF"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Evidence</w:t>
            </w:r>
          </w:p>
        </w:tc>
      </w:tr>
      <w:tr>
        <w:tc>
          <w:tcPr>
            <w:tcW w:type="dxa" w:w="5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1</w:t>
            </w:r>
          </w:p>
        </w:tc>
        <w:tc>
          <w:tcPr>
            <w:tcW w:type="dxa" w:w="1200"/>
            <w:shd w:fill="FDE8E8"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High</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Task 2 — Restaurant Detail</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The “+” add button swaps in place to a quantity stepper; a second tap in the same spot hits “−” instead and silently removes the item.</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David: “I didn’t notice until I got to the cart and there was one less thing than I expected.”</w:t>
            </w:r>
          </w:p>
        </w:tc>
      </w:tr>
      <w:tr>
        <w:tc>
          <w:tcPr>
            <w:tcW w:type="dxa" w:w="5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2</w:t>
            </w:r>
          </w:p>
        </w:tc>
        <w:tc>
          <w:tcPr>
            <w:tcW w:type="dxa" w:w="1200"/>
            <w:shd w:fill="FDE8E8"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High</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Task 5 — Group Order → Checkout</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“Lock Order &amp; Checkout” proceeds to Checkout even with an empty personal cart, landing on a $0.00 total with no explanation.</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David: “Did that just charge me nothing, or did it not work?” — task abandoned.</w:t>
            </w:r>
          </w:p>
        </w:tc>
      </w:tr>
      <w:tr>
        <w:tc>
          <w:tcPr>
            <w:tcW w:type="dxa" w:w="5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3</w:t>
            </w:r>
          </w:p>
        </w:tc>
        <w:tc>
          <w:tcPr>
            <w:tcW w:type="dxa" w:w="1200"/>
            <w:shd w:fill="FDE8E8"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High</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Cross-cutting — all screens</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Several tap targets (28–32px) sit below Apple’s 44×44pt minimum recommended touch target.</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Heuristic finding — Apple HIG touch-target guidance.</w:t>
            </w:r>
          </w:p>
        </w:tc>
      </w:tr>
      <w:tr>
        <w:tc>
          <w:tcPr>
            <w:tcW w:type="dxa" w:w="5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4</w:t>
            </w:r>
          </w:p>
        </w:tc>
        <w:tc>
          <w:tcPr>
            <w:tcW w:type="dxa" w:w="1200"/>
            <w:shd w:fill="FFF3E0"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Medium</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Task 2 — Home</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Category chips (Pizza, Sushi, etc.) look tappable and toggle a selected state but don’t filter the restaurant list.</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Maya paused after tapping “Salads,” then scrolled manually.</w:t>
            </w:r>
          </w:p>
        </w:tc>
      </w:tr>
      <w:tr>
        <w:tc>
          <w:tcPr>
            <w:tcW w:type="dxa" w:w="5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5</w:t>
            </w:r>
          </w:p>
        </w:tc>
        <w:tc>
          <w:tcPr>
            <w:tcW w:type="dxa" w:w="1200"/>
            <w:shd w:fill="FFF3E0"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Medium</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Task 5 — Group Order</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“Group total” shows dollar amounts from mock participants before the user has invited anyone, reading as a bug rather than sample data.</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Marcus: “That looked like a bug before I realized it was placeholder data.”</w:t>
            </w:r>
          </w:p>
        </w:tc>
      </w:tr>
      <w:tr>
        <w:tc>
          <w:tcPr>
            <w:tcW w:type="dxa" w:w="5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6</w:t>
            </w:r>
          </w:p>
        </w:tc>
        <w:tc>
          <w:tcPr>
            <w:tcW w:type="dxa" w:w="1200"/>
            <w:shd w:fill="FFF3E0"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Medium</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Task 4 — Live Tracking</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Delivery status advances on its own a few seconds after arrival, with nothing on screen explaining it’s a simulated timer.</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Sarah: “Wait, is it just doing that by itself?”</w:t>
            </w:r>
          </w:p>
        </w:tc>
      </w:tr>
      <w:tr>
        <w:tc>
          <w:tcPr>
            <w:tcW w:type="dxa" w:w="5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7</w:t>
            </w:r>
          </w:p>
        </w:tc>
        <w:tc>
          <w:tcPr>
            <w:tcW w:type="dxa" w:w="1200"/>
            <w:shd w:fill="F0F0F2"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Low</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Task 1 — Onboarding</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Carousel dot indicators look tappable but aren’t interactive.</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David attempted a tap, self-corrected.</w:t>
            </w:r>
          </w:p>
        </w:tc>
      </w:tr>
      <w:tr>
        <w:tc>
          <w:tcPr>
            <w:tcW w:type="dxa" w:w="5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8</w:t>
            </w:r>
          </w:p>
        </w:tc>
        <w:tc>
          <w:tcPr>
            <w:tcW w:type="dxa" w:w="1200"/>
            <w:shd w:fill="F0F0F2" w:val="clear"/>
            <w:tcMar>
              <w:top w:type="dxa" w:w="90"/>
              <w:left w:type="dxa" w:w="110"/>
              <w:bottom w:type="dxa" w:w="90"/>
              <w:right w:type="dxa" w:w="110"/>
            </w:tcMar>
            <w:vAlign w:val="center"/>
          </w:tcPr>
          <w:p>
            <w:pPr>
              <w:jc w:val="left"/>
            </w:pPr>
            <w:r>
              <w:rPr>
                <w:rFonts w:ascii="Calibri" w:cs="Calibri" w:eastAsia="Calibri" w:hAnsi="Calibri"/>
                <w:b/>
                <w:bCs/>
                <w:color w:val="1C1C1E"/>
                <w:sz w:val="19"/>
                <w:szCs w:val="19"/>
              </w:rPr>
              <w:t xml:space="preserve">Low</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Task 1 — Onboarding</w:t>
            </w:r>
          </w:p>
        </w:tc>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“Skip” lets a user bypass all three slides, including the group-ordering slide — the most persuasive screen for the student persona.</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color w:val="1C1C1E"/>
                <w:sz w:val="19"/>
                <w:szCs w:val="19"/>
              </w:rPr>
              <w:t xml:space="preserve">Marcus skipped and never saw it; Maya watched it and called it out unprompted.</w:t>
            </w:r>
          </w:p>
        </w:tc>
      </w:tr>
    </w:tbl>
    <w:p>
      <w:pPr>
        <w:pStyle w:val="Heading1"/>
        <w:pBdr>
          <w:bottom w:val="single" w:color="007AFF" w:sz="6" w:space="4"/>
        </w:pBdr>
        <w:spacing w:after="160" w:before="360"/>
      </w:pPr>
      <w:r>
        <w:t xml:space="preserve">5. Design Recommendations</w:t>
      </w:r>
    </w:p>
    <w:p>
      <w:pPr>
        <w:pStyle w:val="Heading2"/>
        <w:spacing w:after="120" w:before="260"/>
      </w:pPr>
      <w:r>
        <w:t xml:space="preserve">5.1 Quick wins — small change, real impact</w:t>
      </w:r>
    </w:p>
    <w:p>
      <w:pPr>
        <w:pStyle w:val="ListParagraph"/>
        <w:numPr>
          <w:ilvl w:val="0"/>
          <w:numId w:val="2"/>
        </w:numPr>
        <w:spacing w:after="90" w:line="270"/>
      </w:pPr>
      <w:r>
        <w:rPr>
          <w:rFonts w:ascii="Calibri" w:cs="Calibri" w:eastAsia="Calibri" w:hAnsi="Calibri"/>
          <w:color w:val="1C1C1E"/>
          <w:sz w:val="21"/>
          <w:szCs w:val="21"/>
        </w:rPr>
        <w:t xml:space="preserve">Disable or hide “Lock Order &amp; Checkout” when the personal cart is empty, or route to Cart first instead of straight to Checkout. (Addresses Finding 2, the round’s only task failure.)</w:t>
      </w:r>
    </w:p>
    <w:p>
      <w:pPr>
        <w:pStyle w:val="ListParagraph"/>
        <w:numPr>
          <w:ilvl w:val="0"/>
          <w:numId w:val="2"/>
        </w:numPr>
        <w:spacing w:after="90" w:line="270"/>
      </w:pPr>
      <w:r>
        <w:rPr>
          <w:rFonts w:ascii="Calibri" w:cs="Calibri" w:eastAsia="Calibri" w:hAnsi="Calibri"/>
          <w:color w:val="1C1C1E"/>
          <w:sz w:val="21"/>
          <w:szCs w:val="21"/>
        </w:rPr>
        <w:t xml:space="preserve">Increase the tappable area of the stepper, add button, and back chevron to at least 44×44pt, even if the visible icon stays the same size. (Finding 3.)</w:t>
      </w:r>
    </w:p>
    <w:p>
      <w:pPr>
        <w:pStyle w:val="ListParagraph"/>
        <w:numPr>
          <w:ilvl w:val="0"/>
          <w:numId w:val="2"/>
        </w:numPr>
        <w:spacing w:after="90" w:line="270"/>
      </w:pPr>
      <w:r>
        <w:rPr>
          <w:rFonts w:ascii="Calibri" w:cs="Calibri" w:eastAsia="Calibri" w:hAnsi="Calibri"/>
          <w:color w:val="1C1C1E"/>
          <w:sz w:val="21"/>
          <w:szCs w:val="21"/>
        </w:rPr>
        <w:t xml:space="preserve">Add a small persistent label under the tracking status (e.g. “Updates automatically”) so the auto-advance doesn’t read as a glitch. (Finding 6.)</w:t>
      </w:r>
    </w:p>
    <w:p>
      <w:pPr>
        <w:pStyle w:val="Heading2"/>
        <w:spacing w:after="120" w:before="260"/>
      </w:pPr>
      <w:r>
        <w:t xml:space="preserve">5.2 Bigger rethinks — needs a design discussion</w:t>
      </w:r>
    </w:p>
    <w:p>
      <w:pPr>
        <w:pStyle w:val="ListParagraph"/>
        <w:numPr>
          <w:ilvl w:val="0"/>
          <w:numId w:val="2"/>
        </w:numPr>
        <w:spacing w:after="90" w:line="270"/>
      </w:pPr>
      <w:r>
        <w:rPr>
          <w:rFonts w:ascii="Calibri" w:cs="Calibri" w:eastAsia="Calibri" w:hAnsi="Calibri"/>
          <w:color w:val="1C1C1E"/>
          <w:sz w:val="21"/>
          <w:szCs w:val="21"/>
        </w:rPr>
        <w:t xml:space="preserve">Category chips: either make them actually filter the restaurant list, or restyle them so they don’t imply filtering — e.g. as a horizontal “browse by” link list instead of a toggle chip. (Finding 4.)</w:t>
      </w:r>
    </w:p>
    <w:p>
      <w:pPr>
        <w:pStyle w:val="ListParagraph"/>
        <w:numPr>
          <w:ilvl w:val="0"/>
          <w:numId w:val="2"/>
        </w:numPr>
        <w:spacing w:after="90" w:line="270"/>
      </w:pPr>
      <w:r>
        <w:rPr>
          <w:rFonts w:ascii="Calibri" w:cs="Calibri" w:eastAsia="Calibri" w:hAnsi="Calibri"/>
          <w:color w:val="1C1C1E"/>
          <w:sz w:val="21"/>
          <w:szCs w:val="21"/>
        </w:rPr>
        <w:t xml:space="preserve">Group Order needs real state: participant totals should reflect actual invitees and their actual carts rather than static placeholder data before this screen goes further than a prototype. (Finding 5.)</w:t>
      </w:r>
    </w:p>
    <w:p>
      <w:pPr>
        <w:pStyle w:val="ListParagraph"/>
        <w:numPr>
          <w:ilvl w:val="0"/>
          <w:numId w:val="2"/>
        </w:numPr>
        <w:spacing w:after="90" w:line="270"/>
      </w:pPr>
      <w:r>
        <w:rPr>
          <w:rFonts w:ascii="Calibri" w:cs="Calibri" w:eastAsia="Calibri" w:hAnsi="Calibri"/>
          <w:color w:val="1C1C1E"/>
          <w:sz w:val="21"/>
          <w:szCs w:val="21"/>
        </w:rPr>
        <w:t xml:space="preserve">Reconsider whether “Skip” should be available on the group-ordering onboarding slide specifically, given it tested as the single most persuasive screen for a price-conscious persona. (Finding 8.)</w:t>
      </w:r>
    </w:p>
    <w:p>
      <w:pPr>
        <w:pStyle w:val="Heading2"/>
        <w:spacing w:after="120" w:before="260"/>
      </w:pPr>
      <w:r>
        <w:t xml:space="preserve">5.3 What’s already working — keep these</w:t>
      </w:r>
    </w:p>
    <w:p>
      <w:pPr>
        <w:pStyle w:val="ListParagraph"/>
        <w:numPr>
          <w:ilvl w:val="0"/>
          <w:numId w:val="2"/>
        </w:numPr>
        <w:spacing w:after="90" w:line="270"/>
      </w:pPr>
      <w:r>
        <w:rPr>
          <w:rFonts w:ascii="Calibri" w:cs="Calibri" w:eastAsia="Calibri" w:hAnsi="Calibri"/>
          <w:color w:val="1C1C1E"/>
          <w:sz w:val="21"/>
          <w:szCs w:val="21"/>
        </w:rPr>
        <w:t xml:space="preserve">The floating cart bar and quantity stepper pattern were fast and intuitive for 4 of 5 personas.</w:t>
      </w:r>
    </w:p>
    <w:p>
      <w:pPr>
        <w:pStyle w:val="ListParagraph"/>
        <w:numPr>
          <w:ilvl w:val="0"/>
          <w:numId w:val="2"/>
        </w:numPr>
        <w:spacing w:after="90" w:line="270"/>
      </w:pPr>
      <w:r>
        <w:rPr>
          <w:rFonts w:ascii="Calibri" w:cs="Calibri" w:eastAsia="Calibri" w:hAnsi="Calibri"/>
          <w:color w:val="1C1C1E"/>
          <w:sz w:val="21"/>
          <w:szCs w:val="21"/>
        </w:rPr>
        <w:t xml:space="preserve">The live tracking screen’s moving courier icon drew a positive, unprompted reaction twice.</w:t>
      </w:r>
    </w:p>
    <w:p>
      <w:pPr>
        <w:pStyle w:val="ListParagraph"/>
        <w:numPr>
          <w:ilvl w:val="0"/>
          <w:numId w:val="2"/>
        </w:numPr>
        <w:spacing w:after="90" w:line="270"/>
      </w:pPr>
      <w:r>
        <w:rPr>
          <w:rFonts w:ascii="Calibri" w:cs="Calibri" w:eastAsia="Calibri" w:hAnsi="Calibri"/>
          <w:color w:val="1C1C1E"/>
          <w:sz w:val="21"/>
          <w:szCs w:val="21"/>
        </w:rPr>
        <w:t xml:space="preserve">The promo code flow (enter code → see discount line appear) was immediately understood with no hesitation.</w:t>
      </w:r>
    </w:p>
    <w:p>
      <w:pPr>
        <w:pStyle w:val="Heading1"/>
        <w:pBdr>
          <w:bottom w:val="single" w:color="007AFF" w:sz="6" w:space="4"/>
        </w:pBdr>
        <w:spacing w:after="160" w:before="360"/>
      </w:pPr>
      <w:r>
        <w:t xml:space="preserve">6. What Real User Testing Would Add</w:t>
      </w:r>
    </w:p>
    <w:p>
      <w:pPr>
        <w:spacing w:after="160" w:line="276"/>
      </w:pPr>
      <w:r>
        <w:rPr>
          <w:rFonts w:ascii="Calibri" w:cs="Calibri" w:eastAsia="Calibri" w:hAnsi="Calibri"/>
          <w:color w:val="1C1C1E"/>
          <w:sz w:val="21"/>
          <w:szCs w:val="21"/>
        </w:rPr>
        <w:t xml:space="preserve">A heuristic walkthrough is a fast, low-cost way to catch structural problems early, but it has real limits worth naming explicitly since understanding testing methods is part of this task’s learning goal:</w:t>
      </w:r>
    </w:p>
    <w:p>
      <w:pPr>
        <w:pStyle w:val="ListParagraph"/>
        <w:numPr>
          <w:ilvl w:val="0"/>
          <w:numId w:val="2"/>
        </w:numPr>
        <w:spacing w:after="90" w:line="270"/>
      </w:pPr>
      <w:r>
        <w:rPr>
          <w:rFonts w:ascii="Calibri" w:cs="Calibri" w:eastAsia="Calibri" w:hAnsi="Calibri"/>
          <w:color w:val="1C1C1E"/>
          <w:sz w:val="21"/>
          <w:szCs w:val="21"/>
        </w:rPr>
        <w:t xml:space="preserve">Live participants surface confusion the evaluator didn’t anticipate — a walkthrough can only judge against heuristics it already knows to check.</w:t>
      </w:r>
    </w:p>
    <w:p>
      <w:pPr>
        <w:pStyle w:val="ListParagraph"/>
        <w:numPr>
          <w:ilvl w:val="0"/>
          <w:numId w:val="2"/>
        </w:numPr>
        <w:spacing w:after="90" w:line="270"/>
      </w:pPr>
      <w:r>
        <w:rPr>
          <w:rFonts w:ascii="Calibri" w:cs="Calibri" w:eastAsia="Calibri" w:hAnsi="Calibri"/>
          <w:color w:val="1C1C1E"/>
          <w:sz w:val="21"/>
          <w:szCs w:val="21"/>
        </w:rPr>
        <w:t xml:space="preserve">Wording and comprehension issues need real reading, not walkthrough judgment — does “Lock Order &amp; Checkout” actually communicate what will happen?</w:t>
      </w:r>
    </w:p>
    <w:p>
      <w:pPr>
        <w:pStyle w:val="ListParagraph"/>
        <w:numPr>
          <w:ilvl w:val="0"/>
          <w:numId w:val="2"/>
        </w:numPr>
        <w:spacing w:after="90" w:line="270"/>
      </w:pPr>
      <w:r>
        <w:rPr>
          <w:rFonts w:ascii="Calibri" w:cs="Calibri" w:eastAsia="Calibri" w:hAnsi="Calibri"/>
          <w:color w:val="1C1C1E"/>
          <w:sz w:val="21"/>
          <w:szCs w:val="21"/>
        </w:rPr>
        <w:t xml:space="preserve">Emotional response and trust are difficult to simulate — whether the app feels trustworthy at the moment of payment is a live-participant question.</w:t>
      </w:r>
    </w:p>
    <w:p>
      <w:pPr>
        <w:pStyle w:val="ListParagraph"/>
        <w:numPr>
          <w:ilvl w:val="0"/>
          <w:numId w:val="2"/>
        </w:numPr>
        <w:spacing w:after="90" w:line="270"/>
      </w:pPr>
      <w:r>
        <w:rPr>
          <w:rFonts w:ascii="Calibri" w:cs="Calibri" w:eastAsia="Calibri" w:hAnsi="Calibri"/>
          <w:color w:val="1C1C1E"/>
          <w:sz w:val="21"/>
          <w:szCs w:val="21"/>
        </w:rPr>
        <w:t xml:space="preserve">Accessibility with assistive technology (screen reader, switch control, voice control) requires a real AT user — this round did not evaluate that at all.</w:t>
      </w:r>
    </w:p>
    <w:p>
      <w:pPr>
        <w:pStyle w:val="ListParagraph"/>
        <w:numPr>
          <w:ilvl w:val="0"/>
          <w:numId w:val="2"/>
        </w:numPr>
        <w:spacing w:after="90" w:line="270"/>
      </w:pPr>
      <w:r>
        <w:rPr>
          <w:rFonts w:ascii="Calibri" w:cs="Calibri" w:eastAsia="Calibri" w:hAnsi="Calibri"/>
          <w:color w:val="1C1C1E"/>
          <w:sz w:val="21"/>
          <w:szCs w:val="21"/>
        </w:rPr>
        <w:t xml:space="preserve">Performance on an actual device and network differs meaningfully from a desktop browser.</w:t>
      </w:r>
    </w:p>
    <w:p>
      <w:pPr>
        <w:spacing w:after="160" w:line="276"/>
      </w:pPr>
      <w:r>
        <w:rPr>
          <w:rFonts w:ascii="Calibri" w:cs="Calibri" w:eastAsia="Calibri" w:hAnsi="Calibri"/>
          <w:color w:val="1C1C1E"/>
          <w:sz w:val="21"/>
          <w:szCs w:val="21"/>
        </w:rPr>
        <w:t xml:space="preserve">Recommendation: run one moderated round (5–8 participants is standard) using the same task list and metrics in this report, so results are directly comparable to this walkthrough. The test plan and scenarios are ready to reuse as-is in usability-test-plan-scenarios.md.</w:t>
      </w:r>
    </w:p>
    <w:p>
      <w:pPr>
        <w:pStyle w:val="Heading1"/>
        <w:pBdr>
          <w:bottom w:val="single" w:color="007AFF" w:sz="6" w:space="4"/>
        </w:pBdr>
        <w:spacing w:after="160" w:before="360"/>
      </w:pPr>
      <w:r>
        <w:t xml:space="preserve">7. Usability Metrics Glossary</w:t>
      </w:r>
    </w:p>
    <w:p>
      <w:pPr>
        <w:spacing w:after="160" w:line="276"/>
      </w:pPr>
      <w:r>
        <w:rPr>
          <w:rFonts w:ascii="Calibri" w:cs="Calibri" w:eastAsia="Calibri" w:hAnsi="Calibri"/>
          <w:b/>
          <w:bCs/>
          <w:color w:val="1C1C1E"/>
          <w:sz w:val="21"/>
          <w:szCs w:val="21"/>
        </w:rPr>
        <w:t xml:space="preserve">Task success rate — </w:t>
      </w:r>
      <w:r>
        <w:rPr>
          <w:rFonts w:ascii="Calibri" w:cs="Calibri" w:eastAsia="Calibri" w:hAnsi="Calibri"/>
          <w:color w:val="1C1C1E"/>
          <w:sz w:val="21"/>
          <w:szCs w:val="21"/>
        </w:rPr>
        <w:t xml:space="preserve">the percentage of task attempts completed, often split into “unaided” and “with assistance/hesitation.” The clearest single signal of whether a flow works.</w:t>
      </w:r>
    </w:p>
    <w:p>
      <w:pPr>
        <w:spacing w:after="160" w:line="276"/>
      </w:pPr>
      <w:r>
        <w:rPr>
          <w:rFonts w:ascii="Calibri" w:cs="Calibri" w:eastAsia="Calibri" w:hAnsi="Calibri"/>
          <w:b/>
          <w:bCs/>
          <w:color w:val="1C1C1E"/>
          <w:sz w:val="21"/>
          <w:szCs w:val="21"/>
        </w:rPr>
        <w:t xml:space="preserve">Time on task — </w:t>
      </w:r>
      <w:r>
        <w:rPr>
          <w:rFonts w:ascii="Calibri" w:cs="Calibri" w:eastAsia="Calibri" w:hAnsi="Calibri"/>
          <w:color w:val="1C1C1E"/>
          <w:sz w:val="21"/>
          <w:szCs w:val="21"/>
        </w:rPr>
        <w:t xml:space="preserve">how long a task takes; useful for comparing designs or flagging a step that’s slower than it should be, but only meaningful alongside success rate — a fast failure isn’t a good result.</w:t>
      </w:r>
    </w:p>
    <w:p>
      <w:pPr>
        <w:spacing w:after="160" w:line="276"/>
      </w:pPr>
      <w:r>
        <w:rPr>
          <w:rFonts w:ascii="Calibri" w:cs="Calibri" w:eastAsia="Calibri" w:hAnsi="Calibri"/>
          <w:b/>
          <w:bCs/>
          <w:color w:val="1C1C1E"/>
          <w:sz w:val="21"/>
          <w:szCs w:val="21"/>
        </w:rPr>
        <w:t xml:space="preserve">SEQ (Single Ease Question) — </w:t>
      </w:r>
      <w:r>
        <w:rPr>
          <w:rFonts w:ascii="Calibri" w:cs="Calibri" w:eastAsia="Calibri" w:hAnsi="Calibri"/>
          <w:color w:val="1C1C1E"/>
          <w:sz w:val="21"/>
          <w:szCs w:val="21"/>
        </w:rPr>
        <w:t xml:space="preserve">a 1–7 self-rated difficulty score asked right after a task. Cheap to collect and correlates well with more elaborate satisfaction scales.</w:t>
      </w:r>
    </w:p>
    <w:p>
      <w:pPr>
        <w:spacing w:after="160" w:line="276"/>
      </w:pPr>
      <w:r>
        <w:rPr>
          <w:rFonts w:ascii="Calibri" w:cs="Calibri" w:eastAsia="Calibri" w:hAnsi="Calibri"/>
          <w:b/>
          <w:bCs/>
          <w:color w:val="1C1C1E"/>
          <w:sz w:val="21"/>
          <w:szCs w:val="21"/>
        </w:rPr>
        <w:t xml:space="preserve">Heuristic evaluation — </w:t>
      </w:r>
      <w:r>
        <w:rPr>
          <w:rFonts w:ascii="Calibri" w:cs="Calibri" w:eastAsia="Calibri" w:hAnsi="Calibri"/>
          <w:color w:val="1C1C1E"/>
          <w:sz w:val="21"/>
          <w:szCs w:val="21"/>
        </w:rPr>
        <w:t xml:space="preserve">an expert or team reviews an interface against established usability principles (e.g. Nielsen’s 10) without live participants. Fast and cheap; misses what only real users would say or do.</w:t>
      </w:r>
    </w:p>
    <w:p>
      <w:pPr>
        <w:spacing w:after="160" w:line="276"/>
      </w:pPr>
      <w:r>
        <w:rPr>
          <w:rFonts w:ascii="Calibri" w:cs="Calibri" w:eastAsia="Calibri" w:hAnsi="Calibri"/>
          <w:b/>
          <w:bCs/>
          <w:color w:val="1C1C1E"/>
          <w:sz w:val="21"/>
          <w:szCs w:val="21"/>
        </w:rPr>
        <w:t xml:space="preserve">Moderated vs. unmoderated testing — </w:t>
      </w:r>
      <w:r>
        <w:rPr>
          <w:rFonts w:ascii="Calibri" w:cs="Calibri" w:eastAsia="Calibri" w:hAnsi="Calibri"/>
          <w:color w:val="1C1C1E"/>
          <w:sz w:val="21"/>
          <w:szCs w:val="21"/>
        </w:rPr>
        <w:t xml:space="preserve">moderated means a facilitator runs the session live and can probe follow-up questions; unmoderated means participants complete tasks on their own (e.g. via a remote testing tool), trading depth for scale.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73"/>
        <w:sz w:val="16"/>
        <w:szCs w:val="16"/>
      </w:rPr>
      <w:t xml:space="preserve">Page </w:t>
    </w:r>
    <w:r>
      <w:rPr>
        <w:rFonts w:ascii="Calibri" w:cs="Calibri" w:eastAsia="Calibri" w:hAnsi="Calibri"/>
        <w:color w:val="6E6E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E6E73"/>
        <w:sz w:val="16"/>
        <w:szCs w:val="16"/>
      </w:rPr>
      <w:t xml:space="preserve">Nomly · Usability Testing &amp;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C1C1E"/>
      <w:sz w:val="28"/>
      <w:szCs w:val="28"/>
    </w:rPr>
  </w:style>
  <w:style w:type="paragraph" w:styleId="Heading2">
    <w:name w:val="Heading 2"/>
    <w:basedOn w:val="Normal"/>
    <w:next w:val="Normal"/>
    <w:qFormat/>
    <w:pPr>
      <w:spacing w:after="120" w:before="220"/>
    </w:pPr>
    <w:rPr>
      <w:rFonts w:ascii="Calibri" w:cs="Calibri" w:eastAsia="Calibri" w:hAnsi="Calibri"/>
      <w:b/>
      <w:bCs/>
      <w:color w:val="007A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2026-08-29T07:06:36.629Z</dcterms:created>
  <dcterms:modified xsi:type="dcterms:W3CDTF">2026-08-29T07:06:36.640Z</dcterms:modified>
</cp:coreProperties>
</file>

<file path=docProps/custom.xml><?xml version="1.0" encoding="utf-8"?>
<Properties xmlns="http://schemas.openxmlformats.org/officeDocument/2006/custom-properties" xmlns:vt="http://schemas.openxmlformats.org/officeDocument/2006/docPropsVTypes"/>
</file>