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3212890625"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Haematologia</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 Vol. 30, No. 1, pp. 27–30 (2000)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3832397460938"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VSP 2000.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83.133544921875" w:line="240" w:lineRule="auto"/>
        <w:ind w:left="0" w:right="17.857666015625" w:firstLine="0"/>
        <w:jc w:val="right"/>
        <w:rPr>
          <w:rFonts w:ascii="Times" w:cs="Times" w:eastAsia="Times" w:hAnsi="Times"/>
          <w:b w:val="0"/>
          <w:i w:val="1"/>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1"/>
          <w:smallCaps w:val="0"/>
          <w:strike w:val="0"/>
          <w:color w:val="000000"/>
          <w:sz w:val="28.691999435424805"/>
          <w:szCs w:val="28.691999435424805"/>
          <w:u w:val="none"/>
          <w:shd w:fill="auto" w:val="clear"/>
          <w:vertAlign w:val="baseline"/>
          <w:rtl w:val="0"/>
        </w:rPr>
        <w:t xml:space="preserve">Short communication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5.543212890625" w:line="240" w:lineRule="auto"/>
        <w:ind w:left="13.160629272460938"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Serum L-selectin and P-selectin levels in lymphomas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5.12451171875" w:line="232.2385311126709" w:lineRule="auto"/>
        <w:ind w:left="7.0072174072265625" w:right="970.4974365234375" w:hanging="0.03150939941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bscript"/>
          <w:rtl w:val="0"/>
        </w:rPr>
        <w:t xml:space="preserve">I. C. HAZNEDAROGLU, M. BENEKLI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ˇ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sdtContent>
      </w:sdt>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O. OZCEBE, M. C. SAVA¸S, I. H. GÜLLÜ, S. V. DÜNDAR and ¸S. KIRAZLI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9.315185546875" w:line="222.07125663757324" w:lineRule="auto"/>
        <w:ind w:left="0" w:right="615.9564208984375" w:firstLine="1.793212890625"/>
        <w:jc w:val="left"/>
        <w:rPr>
          <w:rFonts w:ascii="Times" w:cs="Times" w:eastAsia="Times" w:hAnsi="Times"/>
          <w:b w:val="0"/>
          <w:i w:val="1"/>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Department of Internal Medicine, Hematology and Oncology Division, Hacettepe University Medical School, Ankara, Turkey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6.485595703125" w:line="244.63059425354004" w:lineRule="auto"/>
        <w:ind w:left="3.9450836181640625" w:right="1.524658203125" w:firstLine="0.7172393798828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 migration of normal and malignant lymphoid cells is governed by specific adhesion molecules. Selectins comprise a family of adhesion receptors expressed by leukocytes, platelets and endothelial cells. In this study, the serum levels of soluble L-selectin and P-selectin were measured in patients with non-Hodgkin’s lymphoma and Hodgkin’s disease and found to be significantly elevated in both patient groups compared to healthy controls. This result provides evidence that alterations in the expression and function of adhesion molecules may play an important role in the progression of lymphomas. Further studies are awaited to establish the exact roles of these adhesion molecules in distinct patterns of growth and spread of lymphomas.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8.0548095703125" w:line="240" w:lineRule="auto"/>
        <w:ind w:left="4.3037414550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Key words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L-selectin; P-selectin; Hodgkin’s disease; non-Hodgkin’s lymphoma.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66.10107421875" w:line="240" w:lineRule="auto"/>
        <w:ind w:left="7.033691406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0.1434326171875" w:line="239.92408275604248" w:lineRule="auto"/>
        <w:ind w:left="4.139404296875" w:right="0.567626953125" w:firstLine="2.1817779541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Adhesion of lymphocytes to endothelium is essential in lymphocyte trafficking [1, 2]. Lymphocytes migrate from the circulation by selective attachment to </w:t>
      </w:r>
      <w:r w:rsidDel="00000000" w:rsidR="00000000" w:rsidRPr="00000000">
        <w:rPr>
          <w:rFonts w:ascii="Times" w:cs="Times" w:eastAsia="Times" w:hAnsi="Times"/>
          <w:sz w:val="21.8179988861084"/>
          <w:szCs w:val="21.8179988861084"/>
          <w:rtl w:val="0"/>
        </w:rPr>
        <w:t xml:space="preserve">specialized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endothelial cells lining the postcapillary high endothelial venules (HEV) in organized lymphoid tissues, lymph nodes and Peyer’s patches. Selectins </w:t>
      </w:r>
      <w:r w:rsidDel="00000000" w:rsidR="00000000" w:rsidRPr="00000000">
        <w:rPr>
          <w:rFonts w:ascii="Times" w:cs="Times" w:eastAsia="Times" w:hAnsi="Times"/>
          <w:sz w:val="21.8179988861084"/>
          <w:szCs w:val="21.8179988861084"/>
          <w:rtl w:val="0"/>
        </w:rPr>
        <w:t xml:space="preserve">comprise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family of adhesion molecules which have been demonstrated to participate in the initial </w:t>
      </w:r>
      <w:r w:rsidDel="00000000" w:rsidR="00000000" w:rsidRPr="00000000">
        <w:rPr>
          <w:rFonts w:ascii="Times" w:cs="Times" w:eastAsia="Times" w:hAnsi="Times"/>
          <w:sz w:val="21.8179988861084"/>
          <w:szCs w:val="21.8179988861084"/>
          <w:rtl w:val="0"/>
        </w:rPr>
        <w:t xml:space="preserve">tethering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rolling of leukocytes on activated endothelium [3]. L-selectin (CD62L, LAM-1, LECAM-1) mediates the binding of lymphocytes to HEV of peripheral lymph nodes through interactions with corresponding endothelial lig and and therefore also known as the lymphocyte homing receptor [4]. P-selectin (CD62P, PADGEM, GMP-140) is stored both in the alpha granules in platelets and Weibel-Palade bodies of endothelial cells [5] and involved in the stabilization of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5.0146484375" w:line="236.04497909545898" w:lineRule="auto"/>
        <w:ind w:left="5.754241943359375" w:right="21.7864990234375" w:firstLine="156.97494506835938"/>
        <w:jc w:val="left"/>
        <w:rPr>
          <w:rFonts w:ascii="Times" w:cs="Times" w:eastAsia="Times" w:hAnsi="Times"/>
          <w:b w:val="0"/>
          <w:i w:val="0"/>
          <w:smallCaps w:val="0"/>
          <w:strike w:val="0"/>
          <w:color w:val="000000"/>
          <w:sz w:val="17.93199920654297"/>
          <w:szCs w:val="17.93199920654297"/>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sdtContent>
      </w:sdt>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To whom correspondence should be addressed. M. Benekli, 14. Sokak, 43/8. Bahçelievler, Ankara, Turkey.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8039550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28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 C. Haznedaroˇglu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et 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1.873779296875" w:line="235.306134223938" w:lineRule="auto"/>
        <w:ind w:left="8.502960205078125" w:right="11.3848876953125" w:hanging="4.363555908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platelet aggregates and in the interaction of leukocytes with activated platelets or endothelial cells [6].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848876953125" w:line="236.77196502685547" w:lineRule="auto"/>
        <w:ind w:left="5.0121307373046875" w:right="14.6429443359375" w:firstLine="171.05308532714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Lymphoma cells represent immortalized counterparts of normal lymphocytes. A similar adhesion mechanism is also utilized by malignant lymphoid cells during dissemination [7, 8]. Altered expression patterns of adhesion molecules appear to be involved in the spread of lymphoid malignancies and Hodgkin’s disease (HD) [7–10]. In this study, serum levels of soluble L-selectin and P-selectin were determined in patients with HD and non-Hodgkin’s lymphoma (NHL) and in normal healthy individuals.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32.855224609375" w:line="240" w:lineRule="auto"/>
        <w:ind w:left="6.23664855957031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PATIENTS AND METHODS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7.34375" w:line="236.77196502685547" w:lineRule="auto"/>
        <w:ind w:left="5.666656494140625" w:right="11.7840576171875" w:firstLine="1.090850830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group consisted of 17 patients (10 NHL, 7 HD; 11 men, 6 women; median age 35 years, range 19–70) and 15 healthy volunteers (11 men, 4 women; median age 49 years, range 36–67). Out of 10 NHL patients, 5 were classified as low grade, 1 intermediate, and 4 high-grade according to the Working Formulation. Four patients out of 7 with HD had mixed cellularity, 1 nodular sclerosis, and 2 lymphocyte predominance type. Staging was performed according to the Ann Arbor system. In NHL, 2 patients had stage III and 8 patients had stage IV disease, and in HD 1 patient had stage II, 2 stage III, and the remaining 4 stage IV disease. All patients with HD and 3 out of 10 with NHL had B-symptoms. Serum L-selectin and P-selectin levels were determined using a commercially available ELISA kit (Bender MedSystems, Vienna, Austria) according to the manufacturer’s instructions. Data are presented as mean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SD. Mann–Whitney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test was used for statistical analysis.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32.864990234375" w:line="240" w:lineRule="auto"/>
        <w:ind w:left="8.22921752929687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RESULTS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9.74334716796875" w:line="236.68035507202148" w:lineRule="auto"/>
        <w:ind w:left="4.05120849609375" w:right="13.2855224609375" w:firstLine="2.2699737548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Adhesion molecule levels were significantly higher in lymphoma patients compared to healthy controls (Table 1) (Fig. 1). Serum levels of sL-Selectin (1137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428 ng/ml vs 625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159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0023 and sP-Selectin (610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211 ng/ml vs 178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0001) were significantly increased in patients with non-Hodgkin’s lymphoma compared to the control group. In HD, serum soluble L-selectin (1140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498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0082) and P-selectin (875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370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0002) concentrations were significantly elevated also compared to healthy controls (625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159 ng/ml and 178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ng/ml for L-selectin and P-selectin, respectively).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32.9391479492188" w:line="240" w:lineRule="auto"/>
        <w:ind w:left="5.83808898925781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DISCUSSION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7.34344482421875" w:line="237.5050449371338" w:lineRule="auto"/>
        <w:ind w:left="6.5393829345703125" w:right="26.74499511718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Disseminating malignant lymphoma cells and lymphocytes share several </w:t>
      </w:r>
      <w:r w:rsidDel="00000000" w:rsidR="00000000" w:rsidRPr="00000000">
        <w:rPr>
          <w:rFonts w:ascii="Times" w:cs="Times" w:eastAsia="Times" w:hAnsi="Times"/>
          <w:sz w:val="21.8179988861084"/>
          <w:szCs w:val="21.8179988861084"/>
          <w:rtl w:val="0"/>
        </w:rPr>
        <w:t xml:space="preserve">characteristics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including migration and extravasation involving adhesive interactions [7, 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983154296875" w:firstLine="0"/>
        <w:jc w:val="righ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Adhesion molecules in lymphomas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4.322509765625" w:line="240" w:lineRule="auto"/>
        <w:ind w:left="659.0867614746094" w:right="0" w:firstLine="0"/>
        <w:jc w:val="left"/>
        <w:rPr>
          <w:rFonts w:ascii="Times" w:cs="Times" w:eastAsia="Times" w:hAnsi="Times"/>
          <w:b w:val="1"/>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Table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2841796875" w:line="240" w:lineRule="auto"/>
        <w:ind w:left="661.0592651367188"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Serum soluble P-selectin and L-selectin levels in the study group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5.029296875" w:line="240" w:lineRule="auto"/>
        <w:ind w:left="656.3175964355469" w:right="0" w:firstLine="0"/>
        <w:jc w:val="left"/>
        <w:rPr>
          <w:rFonts w:ascii="Arial" w:cs="Arial" w:eastAsia="Arial" w:hAnsi="Arial"/>
          <w:b w:val="0"/>
          <w:i w:val="0"/>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Patients P-selectin (ng/ml)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p</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 </w:t>
          </w:r>
        </w:sdtContent>
      </w:sdt>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L-selectin (ng/ml)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p</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sdtContent>
      </w:sdt>
      <w:r w:rsidDel="00000000" w:rsidR="00000000" w:rsidRPr="00000000">
        <w:rPr>
          <w:rFonts w:ascii="Arial" w:cs="Arial" w:eastAsia="Arial" w:hAnsi="Arial"/>
          <w:b w:val="0"/>
          <w:i w:val="0"/>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2.567138671875" w:line="243.48217964172363" w:lineRule="auto"/>
        <w:ind w:left="656.8553161621094" w:right="740.8660888671875" w:firstLine="3.0517578125E-4"/>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HD 875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370 0.0002 1140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498 0.0082 HNL 610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211 0.0001 1137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428 0.0023 Controls 178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48 625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159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4.024658203125" w:line="240" w:lineRule="auto"/>
        <w:ind w:left="843.2327270507812"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Compared with healthy controls.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8.08837890625" w:line="206.28880977630615" w:lineRule="auto"/>
        <w:ind w:left="5.9175872802734375" w:right="453.7860107421875" w:firstLine="441.13075256347656"/>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4041712" cy="316539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1712" cy="3165397"/>
                    </a:xfrm>
                    <a:prstGeom prst="rect"/>
                    <a:ln/>
                  </pic:spPr>
                </pic:pic>
              </a:graphicData>
            </a:graphic>
          </wp:inline>
        </w:drawing>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Circulating soluble P-selectin and L-selectin levels in the study group.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2.337646484375" w:line="239.70412731170654" w:lineRule="auto"/>
        <w:ind w:left="3.7030029296875" w:right="13.436279296875" w:firstLine="1.963653564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Emerging evidence indicates that the adhesion molecules governing the homing of normal lymphocytes also mediate the dissemination of their neoplastic </w:t>
      </w:r>
      <w:r w:rsidDel="00000000" w:rsidR="00000000" w:rsidRPr="00000000">
        <w:rPr>
          <w:rFonts w:ascii="Times" w:cs="Times" w:eastAsia="Times" w:hAnsi="Times"/>
          <w:sz w:val="21.8179988861084"/>
          <w:szCs w:val="21.8179988861084"/>
          <w:rtl w:val="0"/>
        </w:rPr>
        <w:t xml:space="preserve">counterparts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Adhesion molecules have also been demonstrated to function in the spread of HD [9, 10]. Therefore, we determined serum levels of soluble adhesion </w:t>
      </w:r>
      <w:r w:rsidDel="00000000" w:rsidR="00000000" w:rsidRPr="00000000">
        <w:rPr>
          <w:rFonts w:ascii="Times" w:cs="Times" w:eastAsia="Times" w:hAnsi="Times"/>
          <w:sz w:val="21.8179988861084"/>
          <w:szCs w:val="21.8179988861084"/>
          <w:rtl w:val="0"/>
        </w:rPr>
        <w:t xml:space="preserve">molecules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L-selectin and P-selectin as indicators of distinctive clinical and biological behaviour of lymphoid malignancies. In this report we demonstrated that serum concentrations of these adhesion receptors are increased in patients with HD and NHL. Our results confirm and extend data published previously on the role of </w:t>
      </w:r>
      <w:r w:rsidDel="00000000" w:rsidR="00000000" w:rsidRPr="00000000">
        <w:rPr>
          <w:rFonts w:ascii="Times" w:cs="Times" w:eastAsia="Times" w:hAnsi="Times"/>
          <w:sz w:val="21.8179988861084"/>
          <w:szCs w:val="21.8179988861084"/>
          <w:rtl w:val="0"/>
        </w:rPr>
        <w:t xml:space="preserve">distinct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adhesion molecules in lymphomas. Elevated levels of circulating intercellular adhesion molecule-1 were reported in various hematologic malignancies including HD [9, 10], acute lymphoblastic leukemia [10], chronic lymphocytic leukemia [11] and NHL [12, 13], and non-hematologic malignancies [10, 13]. To our knowledge,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9201049804688"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30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 C. Haznedaroˇglu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et 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1.873779296875" w:line="237.50518798828125" w:lineRule="auto"/>
        <w:ind w:left="6.5393829345703125" w:right="16.3641357421875" w:hanging="0.6546020507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sz w:val="21.8179988861084"/>
          <w:szCs w:val="21.8179988861084"/>
          <w:rtl w:val="0"/>
        </w:rPr>
        <w:t xml:space="preserve">This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report is the first </w:t>
      </w:r>
      <w:r w:rsidDel="00000000" w:rsidR="00000000" w:rsidRPr="00000000">
        <w:rPr>
          <w:rFonts w:ascii="Times" w:cs="Times" w:eastAsia="Times" w:hAnsi="Times"/>
          <w:sz w:val="21.8179988861084"/>
          <w:szCs w:val="21.8179988861084"/>
          <w:rtl w:val="0"/>
        </w:rPr>
        <w:t xml:space="preserve">to investigate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levels of circulating L-selectin and P-selectin in NHL and HD.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45068359375" w:line="237.5049591064453" w:lineRule="auto"/>
        <w:ind w:left="3.7030029296875" w:right="8.4454345703125" w:firstLine="173.2350158691406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Differential expression of these adhesion molecules may account for diverse patterns of growth and dissemination of lymphomas. The study of adhesion molecule expression and function may allow a better understanding of the malignant behavior of lymphoid cells. Our data need to be validated and extended in a more homogenous patient series in order to elucidate the clinical and prognostic significance of L-selectin and P-selectin in lymphomas.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2.9876708984375" w:line="240" w:lineRule="auto"/>
        <w:ind w:left="8.22921752929687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REFERENCES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7.403564453125" w:line="246.1611557006836" w:lineRule="auto"/>
        <w:ind w:left="385.7814025878906" w:right="21.4288330078125" w:hanging="192.42843627929688"/>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 Shimizu, Y., Newman, W., Tanaka, Y., Shaw, S., Lymphocyte interactions with endothelial cells,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Immunol. Today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106 (1992).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52392578125" w:line="244.37541961669922" w:lineRule="auto"/>
        <w:ind w:left="175.61813354492188" w:right="18.3233642578125" w:firstLine="3.209991455078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 Stoolman, L. M., Adhesion molecules controlling lymphocyte migration,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Cell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56</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907 (1989). 3. Bevilacqua, M. P., Nelson, R. M., Selectins,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J. Clin. Invest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91</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379 (1993). 4. Gallatin, W. M., Weissman, I. L., Butcher, E. C., A cell-surface molecule involved in organ specific homing of lymphocytes,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Nature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304</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30 (1983).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8587646484375" w:line="246.1611557006836" w:lineRule="auto"/>
        <w:ind w:left="387.9693603515625" w:right="0" w:hanging="208.74633789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5. Bonfanti, R., Furie, B. C., Furie, B., Wagner, D. D., PADGEM (GMP 140) is a component of Weibel-Palade bodies of human endothelial cells,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73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1109 (1989).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52392578125" w:line="221.99469566345215" w:lineRule="auto"/>
        <w:ind w:left="389.94232177734375" w:right="1.4874267578125" w:hanging="208.56719970703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6. De Bruijne-Admiraal, L. G., Modderman, P. W., Von dem Borne, A. E. G. Kr., Sonnenberg, A., P-selectin mediates Ca2</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-dependent adhesion of activated platelet to many different types of leukocytes: Detection by flow cytometry,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80</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134 (1992).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882568359375" w:line="244.31962966918945" w:lineRule="auto"/>
        <w:ind w:left="102.2418212890625" w:right="1.6339111328125" w:firstLine="74.8843383789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7. Pals, S. T., Horst, E., Scheper, R. J., Meijer, C. J. L. M., Mechanisms of human lymphocyte migration and their role in the pathogenesis of disease,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Immunol. Rev</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108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111 (1989). 8. Pals, S. T., Drillenburg, P., Radaszkiewicz, T., Manten-Horst, E., Adhesion molecules in the dissemination of non-Hodgkin’s lymphomas,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Acta Haematol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97</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73 (1997). 9. Gruss, H.-J., Dölken, G., Brach, M. A., Mertelsmann, R., Herrmann, F., Serum levels of circulating ICAM-1 are increased in Hodgkin’s disease,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Leukemia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1245 (1993). 10. Pui C.-H., Luo, X., Evans, W., Martin, S., Rugg, A., Wilimas, J., Crist, W. M., Hudson, M., Serum intercellular adhesion molecule-1 in childhood malignancy,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82</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895 (1993). 11. Christiansen, I., Gidlöf, C., Wallgren, A. C., Simonsson, B., Tötterman, T. H., Serum levels of soluble intercellular adhesion molecule-1 are increased in chronic B-lymphocytic leukemia and correlate with clinical stage and prognostic markers,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84</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3010 (1994). 12. Christiansen, I., Gidlöf, C., Kalkner, K.-M., Hagberg, H., Bennmarker, H., Tötterman, T., Elevated serum levels of soluble ICAM-1 in non-Hodgkin’s lymphomas correlate with tumour burden, disease activity and other prognostic markers,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Br. J. Haematol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92</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639 (1996). 13. Benekli, M., Güllü, I. H., Tekuzman, G., Sava¸s, M. C., Hayran, M., Hasçelik, G., Fırat, D., Circulating intercellular adhesion molecule-1 and E-selectin in gastric cancer,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Br. J. Cancer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78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267 (1998).</w:t>
      </w:r>
    </w:p>
    <w:sectPr>
      <w:pgSz w:h="14180" w:w="9640" w:orient="portrait"/>
      <w:pgMar w:bottom="1417.8022766113281" w:top="1144.47998046875" w:left="1187.3515319824219" w:right="1186.9134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KNzCtkUpupsixhFPUz5Onu5YjA==">AMUW2mXcEFLNVmLLQB/8gWM0k1AZVg2xYp7BUPMmjpbK7MUklkSIedtklmozaPQTbEZxlRLSxFBPws5gl8tvtis9y+Y7FWz38oaMbJt0s98t9pu6hpbq6O7YSlMM0qVO/q0OKK/0wPJXl73FdhHa6HbBoTKRuTJe9K4FKCy9B3jXw2p2u/jtGfB56sdFs0oMQaQdGIDkQW8dg4JcxA5Zz2npFjzkCEP+2tQ+NfdbPWkKXsYGjhG5LDXE/Kx4gmm8MXey308rTgseVO00qyemxFsfJwg2wTycEXekMat8TM72tNBCk4mQhk1bXxQEN7hBIr85sA1Xn+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