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Pr>
        <w:drawing>
          <wp:inline distB="114300" distT="114300" distL="114300" distR="114300">
            <wp:extent cx="6743700" cy="1016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437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36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Spoly - AI-Powered Meeting Recorder and Smart Notes Generator</w:t>
      </w:r>
    </w:p>
    <w:p w:rsidR="00000000" w:rsidDel="00000000" w:rsidP="00000000" w:rsidRDefault="00000000" w:rsidRPr="00000000" w14:paraId="00000003">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in partial fulfilment of the requirements of </w:t>
      </w:r>
    </w:p>
    <w:p w:rsidR="00000000" w:rsidDel="00000000" w:rsidP="00000000" w:rsidRDefault="00000000" w:rsidRPr="00000000" w14:paraId="00000004">
      <w:pP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 PROJECT </w:t>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IV</w:t>
      </w:r>
    </w:p>
    <w:p w:rsidR="00000000" w:rsidDel="00000000" w:rsidP="00000000" w:rsidRDefault="00000000" w:rsidRPr="00000000" w14:paraId="00000006">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the degree of</w:t>
      </w:r>
    </w:p>
    <w:p w:rsidR="00000000" w:rsidDel="00000000" w:rsidP="00000000" w:rsidRDefault="00000000" w:rsidRPr="00000000" w14:paraId="00000007">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 IN</w:t>
      </w:r>
      <w:r w:rsidDel="00000000" w:rsidR="00000000" w:rsidRPr="00000000">
        <w:rPr>
          <w:rtl w:val="0"/>
        </w:rPr>
      </w:r>
    </w:p>
    <w:p w:rsidR="00000000" w:rsidDel="00000000" w:rsidP="00000000" w:rsidRDefault="00000000" w:rsidRPr="00000000" w14:paraId="00000008">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COMPUTER ENGINEERING</w:t>
      </w:r>
      <w:r w:rsidDel="00000000" w:rsidR="00000000" w:rsidRPr="00000000">
        <w:rPr>
          <w:rtl w:val="0"/>
        </w:rPr>
      </w:r>
    </w:p>
    <w:p w:rsidR="00000000" w:rsidDel="00000000" w:rsidP="00000000" w:rsidRDefault="00000000" w:rsidRPr="00000000" w14:paraId="00000009">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A">
      <w:pPr>
        <w:spacing w:after="120" w:before="120" w:line="36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Ashish Chaurasiya - 12</w:t>
      </w:r>
    </w:p>
    <w:p w:rsidR="00000000" w:rsidDel="00000000" w:rsidP="00000000" w:rsidRDefault="00000000" w:rsidRPr="00000000" w14:paraId="0000000B">
      <w:pPr>
        <w:spacing w:after="120" w:before="120" w:line="36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Aniket Dhoke - 17</w:t>
      </w:r>
    </w:p>
    <w:p w:rsidR="00000000" w:rsidDel="00000000" w:rsidP="00000000" w:rsidRDefault="00000000" w:rsidRPr="00000000" w14:paraId="0000000C">
      <w:pPr>
        <w:spacing w:after="120" w:before="120" w:line="36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Vedant Dhotre - 18</w:t>
      </w:r>
    </w:p>
    <w:p w:rsidR="00000000" w:rsidDel="00000000" w:rsidP="00000000" w:rsidRDefault="00000000" w:rsidRPr="00000000" w14:paraId="0000000D">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w:t>
      </w:r>
    </w:p>
    <w:p w:rsidR="00000000" w:rsidDel="00000000" w:rsidP="00000000" w:rsidRDefault="00000000" w:rsidRPr="00000000" w14:paraId="0000000E">
      <w:pPr>
        <w:spacing w:after="120"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 Prof. KAVITA JAIN (Assistant Professor)</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Prof. VIJAY JUMB (Assistant Professor)</w:t>
      </w:r>
    </w:p>
    <w:p w:rsidR="00000000" w:rsidDel="00000000" w:rsidP="00000000" w:rsidRDefault="00000000" w:rsidRPr="00000000" w14:paraId="00000011">
      <w:pPr>
        <w:pStyle w:val="Heading2"/>
        <w:spacing w:before="0" w:line="360"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          Prof. MAYURI KARNIK (Assistant Professor)</w:t>
      </w:r>
    </w:p>
    <w:p w:rsidR="00000000" w:rsidDel="00000000" w:rsidP="00000000" w:rsidRDefault="00000000" w:rsidRPr="00000000" w14:paraId="00000012">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3880" cy="33782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3880" cy="33782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Xavier Institute of Engineering, Mahim,</w:t>
      </w: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Mumbai - 400 016 </w:t>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(AY : 2025 - 2026)</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Pr>
        <w:drawing>
          <wp:inline distB="114300" distT="114300" distL="114300" distR="114300">
            <wp:extent cx="6743700" cy="10795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437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color w:val="ff0000"/>
          <w:sz w:val="32"/>
          <w:szCs w:val="32"/>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32"/>
          <w:szCs w:val="32"/>
          <w:rtl w:val="0"/>
        </w:rPr>
        <w:t xml:space="preserve">Institute Vision and Mission</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Vision of Institute</w:t>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To nurture the joy of excellence in a world of high technology.</w:t>
      </w:r>
      <w:r w:rsidDel="00000000" w:rsidR="00000000" w:rsidRPr="00000000">
        <w:rPr>
          <w:rtl w:val="0"/>
        </w:rPr>
      </w:r>
    </w:p>
    <w:p w:rsidR="00000000" w:rsidDel="00000000" w:rsidP="00000000" w:rsidRDefault="00000000" w:rsidRPr="00000000" w14:paraId="0000001E">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Mission of Institute</w:t>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strive to match Global Standards in </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echnical </w:t>
      </w:r>
      <w:r w:rsidDel="00000000" w:rsidR="00000000" w:rsidRPr="00000000">
        <w:rPr>
          <w:rFonts w:ascii="Times New Roman" w:cs="Times New Roman" w:eastAsia="Times New Roman" w:hAnsi="Times New Roman"/>
          <w:sz w:val="28"/>
          <w:szCs w:val="28"/>
          <w:rtl w:val="0"/>
        </w:rPr>
        <w:t xml:space="preserve">e</w:t>
      </w:r>
      <w:r w:rsidDel="00000000" w:rsidR="00000000" w:rsidRPr="00000000">
        <w:rPr>
          <w:rFonts w:ascii="Times New Roman" w:cs="Times New Roman" w:eastAsia="Times New Roman" w:hAnsi="Times New Roman"/>
          <w:color w:val="000000"/>
          <w:sz w:val="28"/>
          <w:szCs w:val="28"/>
          <w:rtl w:val="0"/>
        </w:rPr>
        <w:t xml:space="preserve">ducation by </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color w:val="000000"/>
          <w:sz w:val="28"/>
          <w:szCs w:val="28"/>
          <w:rtl w:val="0"/>
        </w:rPr>
        <w:t xml:space="preserve">nteraction with </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color w:val="000000"/>
          <w:sz w:val="28"/>
          <w:szCs w:val="28"/>
          <w:rtl w:val="0"/>
        </w:rPr>
        <w:t xml:space="preserve">ndustry, </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color w:val="000000"/>
          <w:sz w:val="28"/>
          <w:szCs w:val="28"/>
          <w:rtl w:val="0"/>
        </w:rPr>
        <w:t xml:space="preserve">ontinuous </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color w:val="000000"/>
          <w:sz w:val="28"/>
          <w:szCs w:val="28"/>
          <w:rtl w:val="0"/>
        </w:rPr>
        <w:t xml:space="preserve">raining and </w:t>
      </w: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Fonts w:ascii="Times New Roman" w:cs="Times New Roman" w:eastAsia="Times New Roman" w:hAnsi="Times New Roman"/>
          <w:color w:val="000000"/>
          <w:sz w:val="28"/>
          <w:szCs w:val="28"/>
          <w:rtl w:val="0"/>
        </w:rPr>
        <w:t xml:space="preserve">evelopment of </w:t>
      </w:r>
      <w:r w:rsidDel="00000000" w:rsidR="00000000" w:rsidRPr="00000000">
        <w:rPr>
          <w:rFonts w:ascii="Times New Roman" w:cs="Times New Roman" w:eastAsia="Times New Roman" w:hAnsi="Times New Roman"/>
          <w:sz w:val="28"/>
          <w:szCs w:val="28"/>
          <w:rtl w:val="0"/>
        </w:rPr>
        <w:t xml:space="preserve">q</w:t>
      </w:r>
      <w:r w:rsidDel="00000000" w:rsidR="00000000" w:rsidRPr="00000000">
        <w:rPr>
          <w:rFonts w:ascii="Times New Roman" w:cs="Times New Roman" w:eastAsia="Times New Roman" w:hAnsi="Times New Roman"/>
          <w:color w:val="000000"/>
          <w:sz w:val="28"/>
          <w:szCs w:val="28"/>
          <w:rtl w:val="0"/>
        </w:rPr>
        <w:t xml:space="preserve">uality of </w:t>
      </w:r>
      <w:r w:rsidDel="00000000" w:rsidR="00000000" w:rsidRPr="00000000">
        <w:rPr>
          <w:rFonts w:ascii="Times New Roman" w:cs="Times New Roman" w:eastAsia="Times New Roman" w:hAnsi="Times New Roman"/>
          <w:sz w:val="28"/>
          <w:szCs w:val="28"/>
          <w:rtl w:val="0"/>
        </w:rPr>
        <w:t xml:space="preserve">l</w:t>
      </w:r>
      <w:r w:rsidDel="00000000" w:rsidR="00000000" w:rsidRPr="00000000">
        <w:rPr>
          <w:rFonts w:ascii="Times New Roman" w:cs="Times New Roman" w:eastAsia="Times New Roman" w:hAnsi="Times New Roman"/>
          <w:color w:val="000000"/>
          <w:sz w:val="28"/>
          <w:szCs w:val="28"/>
          <w:rtl w:val="0"/>
        </w:rPr>
        <w:t xml:space="preserve">ife.</w:t>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color w:val="ff0000"/>
          <w:sz w:val="32"/>
          <w:szCs w:val="32"/>
        </w:rPr>
      </w:pPr>
      <w:r w:rsidDel="00000000" w:rsidR="00000000" w:rsidRPr="00000000">
        <w:rPr>
          <w:rFonts w:ascii="Times New Roman" w:cs="Times New Roman" w:eastAsia="Times New Roman" w:hAnsi="Times New Roman"/>
          <w:color w:val="ff0000"/>
          <w:sz w:val="32"/>
          <w:szCs w:val="32"/>
          <w:rtl w:val="0"/>
        </w:rPr>
        <w:t xml:space="preserve"> </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32"/>
          <w:szCs w:val="32"/>
          <w:rtl w:val="0"/>
        </w:rPr>
        <w:t xml:space="preserve">Department Vision and Mission</w:t>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Vision of Computer Department</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To nurture the joy of excellence in the world of Computer Engineering.</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Mission of Computer Department</w:t>
      </w: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M1:</w:t>
      </w:r>
      <w:r w:rsidDel="00000000" w:rsidR="00000000" w:rsidRPr="00000000">
        <w:rPr>
          <w:rFonts w:ascii="Times New Roman" w:cs="Times New Roman" w:eastAsia="Times New Roman" w:hAnsi="Times New Roman"/>
          <w:color w:val="000000"/>
          <w:sz w:val="28"/>
          <w:szCs w:val="28"/>
          <w:rtl w:val="0"/>
        </w:rPr>
        <w:t xml:space="preserve">  To provide students the knowledge of computer engineering with related technical skills to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solve various computer engineering problems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and to have industry interaction.</w:t>
      </w: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M2:</w:t>
      </w:r>
      <w:r w:rsidDel="00000000" w:rsidR="00000000" w:rsidRPr="00000000">
        <w:rPr>
          <w:rFonts w:ascii="Times New Roman" w:cs="Times New Roman" w:eastAsia="Times New Roman" w:hAnsi="Times New Roman"/>
          <w:color w:val="000000"/>
          <w:sz w:val="28"/>
          <w:szCs w:val="28"/>
          <w:rtl w:val="0"/>
        </w:rPr>
        <w:t xml:space="preserve">  To motivate the students to acquire additional soft skills to sharpen their technical and professional skills that make them employable.</w:t>
      </w:r>
      <w:r w:rsidDel="00000000" w:rsidR="00000000" w:rsidRPr="00000000">
        <w:rPr>
          <w:rtl w:val="0"/>
        </w:rPr>
      </w:r>
    </w:p>
    <w:p w:rsidR="00000000" w:rsidDel="00000000" w:rsidP="00000000" w:rsidRDefault="00000000" w:rsidRPr="00000000" w14:paraId="0000002A">
      <w:pPr>
        <w:ind w:left="720" w:firstLine="0"/>
        <w:jc w:val="both"/>
        <w:rPr>
          <w:rFonts w:ascii="Times New Roman" w:cs="Times New Roman" w:eastAsia="Times New Roman" w:hAnsi="Times New Roman"/>
          <w:color w:val="000000"/>
          <w:sz w:val="28"/>
          <w:szCs w:val="28"/>
        </w:rPr>
        <w:sectPr>
          <w:headerReference r:id="rId9" w:type="default"/>
          <w:footerReference r:id="rId10" w:type="default"/>
          <w:pgSz w:h="16839" w:w="11907" w:orient="portrait"/>
          <w:pgMar w:bottom="280" w:top="270" w:left="800" w:right="820" w:header="720" w:footer="720"/>
          <w:pgNumType w:start="1"/>
        </w:sectPr>
      </w:pPr>
      <w:r w:rsidDel="00000000" w:rsidR="00000000" w:rsidRPr="00000000">
        <w:rPr>
          <w:rFonts w:ascii="Times New Roman" w:cs="Times New Roman" w:eastAsia="Times New Roman" w:hAnsi="Times New Roman"/>
          <w:b w:val="1"/>
          <w:bCs w:val="1"/>
          <w:color w:val="000000"/>
          <w:sz w:val="28"/>
          <w:szCs w:val="28"/>
          <w:rtl w:val="0"/>
        </w:rPr>
        <w:t xml:space="preserve">M3:</w:t>
      </w:r>
      <w:r w:rsidDel="00000000" w:rsidR="00000000" w:rsidRPr="00000000">
        <w:rPr>
          <w:rFonts w:ascii="Times New Roman" w:cs="Times New Roman" w:eastAsia="Times New Roman" w:hAnsi="Times New Roman"/>
          <w:color w:val="000000"/>
          <w:sz w:val="28"/>
          <w:szCs w:val="28"/>
          <w:rtl w:val="0"/>
        </w:rPr>
        <w:t xml:space="preserve">  To nurture social and professional ethics in our undergraduates and encourage them 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have lifelong learning.</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743700" cy="10160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437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Program Specific Objectives (PSO)</w:t>
      </w:r>
      <w:r w:rsidDel="00000000" w:rsidR="00000000" w:rsidRPr="00000000">
        <w:rPr>
          <w:rtl w:val="0"/>
        </w:rPr>
      </w:r>
    </w:p>
    <w:tbl>
      <w:tblPr>
        <w:tblStyle w:val="Table1"/>
        <w:tblW w:w="9597.0" w:type="dxa"/>
        <w:jc w:val="center"/>
        <w:tblLayout w:type="fixed"/>
        <w:tblLook w:val="0400"/>
      </w:tblPr>
      <w:tblGrid>
        <w:gridCol w:w="1261"/>
        <w:gridCol w:w="8336"/>
        <w:tblGridChange w:id="0">
          <w:tblGrid>
            <w:gridCol w:w="1261"/>
            <w:gridCol w:w="8336"/>
          </w:tblGrid>
        </w:tblGridChange>
      </w:tblGrid>
      <w:tr>
        <w:trPr>
          <w:cantSplit w:val="0"/>
          <w:trHeight w:val="76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PSO1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The ability to understand, analyze and apply knowledge to address computing problems.</w:t>
            </w:r>
            <w:r w:rsidDel="00000000" w:rsidR="00000000" w:rsidRPr="00000000">
              <w:rPr>
                <w:rtl w:val="0"/>
              </w:rPr>
            </w:r>
          </w:p>
        </w:tc>
      </w:tr>
      <w:tr>
        <w:trPr>
          <w:cantSplit w:val="0"/>
          <w:trHeight w:val="885"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PSO2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The ability to design and implement software solutions to meet the end users requirements.</w:t>
            </w:r>
            <w:r w:rsidDel="00000000" w:rsidR="00000000" w:rsidRPr="00000000">
              <w:rPr>
                <w:rtl w:val="0"/>
              </w:rPr>
            </w:r>
          </w:p>
        </w:tc>
      </w:tr>
    </w:tbl>
    <w:p w:rsidR="00000000" w:rsidDel="00000000" w:rsidP="00000000" w:rsidRDefault="00000000" w:rsidRPr="00000000" w14:paraId="00000033">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Program Educational Objectives (PEOs)</w:t>
      </w:r>
      <w:r w:rsidDel="00000000" w:rsidR="00000000" w:rsidRPr="00000000">
        <w:rPr>
          <w:rtl w:val="0"/>
        </w:rPr>
      </w:r>
    </w:p>
    <w:tbl>
      <w:tblPr>
        <w:tblStyle w:val="Table2"/>
        <w:tblW w:w="9447.0" w:type="dxa"/>
        <w:jc w:val="center"/>
        <w:tblLayout w:type="fixed"/>
        <w:tblLook w:val="0400"/>
      </w:tblPr>
      <w:tblGrid>
        <w:gridCol w:w="1292"/>
        <w:gridCol w:w="8155"/>
        <w:tblGridChange w:id="0">
          <w:tblGrid>
            <w:gridCol w:w="1292"/>
            <w:gridCol w:w="8155"/>
          </w:tblGrid>
        </w:tblGridChange>
      </w:tblGrid>
      <w:tr>
        <w:trPr>
          <w:cantSplit w:val="0"/>
          <w:trHeight w:val="1122"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PEO1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8"/>
                <w:szCs w:val="28"/>
                <w:highlight w:val="white"/>
                <w:rtl w:val="0"/>
              </w:rPr>
              <w:t xml:space="preserve">Graduates will have the required knowledge of computer engineering, to design and develop systems that can cater to a multi-disciplinary environment.</w:t>
            </w:r>
            <w:r w:rsidDel="00000000" w:rsidR="00000000" w:rsidRPr="00000000">
              <w:rPr>
                <w:rtl w:val="0"/>
              </w:rPr>
            </w:r>
          </w:p>
        </w:tc>
      </w:tr>
      <w:tr>
        <w:trPr>
          <w:cantSplit w:val="0"/>
          <w:trHeight w:val="981"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PEO2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ind w:left="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8"/>
                <w:szCs w:val="28"/>
                <w:highlight w:val="white"/>
                <w:rtl w:val="0"/>
              </w:rPr>
              <w:t xml:space="preserve">Graduates will be able to apply the art of self-learning to use the modern tools in solving computer engineering problems.</w:t>
            </w:r>
            <w:r w:rsidDel="00000000" w:rsidR="00000000" w:rsidRPr="00000000">
              <w:rPr>
                <w:rtl w:val="0"/>
              </w:rPr>
            </w:r>
          </w:p>
        </w:tc>
      </w:tr>
      <w:tr>
        <w:trPr>
          <w:cantSplit w:val="0"/>
          <w:trHeight w:val="1129"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PEO3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8"/>
                <w:szCs w:val="28"/>
                <w:highlight w:val="white"/>
                <w:rtl w:val="0"/>
              </w:rPr>
              <w:t xml:space="preserve">Graduates will be prepared in the field of computer engineering to have lifelong-learning in the global and ethic context.</w:t>
            </w:r>
            <w:r w:rsidDel="00000000" w:rsidR="00000000" w:rsidRPr="00000000">
              <w:rPr>
                <w:rtl w:val="0"/>
              </w:rPr>
            </w:r>
          </w:p>
        </w:tc>
      </w:tr>
      <w:tr>
        <w:trPr>
          <w:cantSplit w:val="0"/>
          <w:trHeight w:val="1132"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PEO4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ind w:left="8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22222"/>
                <w:sz w:val="28"/>
                <w:szCs w:val="28"/>
                <w:highlight w:val="white"/>
                <w:rtl w:val="0"/>
              </w:rPr>
              <w:t xml:space="preserve">Graduates will be able to inculcate professional and ethical attitude with good leadership qualities and have commitment to social responsibilities in their thought process.</w:t>
            </w:r>
            <w:r w:rsidDel="00000000" w:rsidR="00000000" w:rsidRPr="00000000">
              <w:rPr>
                <w:rtl w:val="0"/>
              </w:rPr>
            </w:r>
          </w:p>
        </w:tc>
      </w:tr>
    </w:tbl>
    <w:p w:rsidR="00000000" w:rsidDel="00000000" w:rsidP="00000000" w:rsidRDefault="00000000" w:rsidRPr="00000000" w14:paraId="0000003E">
      <w:pPr>
        <w:spacing w:line="278.00000000000006" w:lineRule="auto"/>
        <w:jc w:val="both"/>
        <w:rPr>
          <w:rFonts w:ascii="Times New Roman" w:cs="Times New Roman" w:eastAsia="Times New Roman" w:hAnsi="Times New Roman"/>
        </w:rPr>
        <w:sectPr>
          <w:type w:val="nextPage"/>
          <w:pgSz w:h="16839" w:w="11907" w:orient="portrait"/>
          <w:pgMar w:bottom="280" w:top="480" w:left="800" w:right="820" w:header="720" w:footer="720"/>
        </w:sect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23791" cy="884463"/>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23791" cy="8844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Program Outcomes (PO): </w:t>
      </w:r>
      <w:r w:rsidDel="00000000" w:rsidR="00000000" w:rsidRPr="00000000">
        <w:rPr>
          <w:rFonts w:ascii="Times New Roman" w:cs="Times New Roman" w:eastAsia="Times New Roman" w:hAnsi="Times New Roman"/>
          <w:rtl w:val="0"/>
        </w:rPr>
        <w:t xml:space="preserve">A graduate of Computer engineering will have the ability:</w:t>
      </w:r>
    </w:p>
    <w:tbl>
      <w:tblPr>
        <w:tblStyle w:val="Table3"/>
        <w:tblW w:w="9356.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8505"/>
        <w:tblGridChange w:id="0">
          <w:tblGrid>
            <w:gridCol w:w="851"/>
            <w:gridCol w:w="8505"/>
          </w:tblGrid>
        </w:tblGridChange>
      </w:tblGrid>
      <w:tr>
        <w:trPr>
          <w:cantSplit w:val="1"/>
          <w:trHeight w:val="488" w:hRule="atLeast"/>
          <w:tblHeader w:val="1"/>
        </w:trPr>
        <w:tc>
          <w:tcPr>
            <w:tcBorders>
              <w:right w:color="000000" w:space="0" w:sz="6" w:val="single"/>
            </w:tcBorders>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Knowledge: Apply knowledge of mathematics, natural science, computing, engineering fundamentals and an engineering specialization as specified in WK1 to WK4 respectively to develop the solution of complex engineering problems.</w:t>
            </w:r>
          </w:p>
        </w:tc>
      </w:tr>
      <w:tr>
        <w:trPr>
          <w:cantSplit w:val="1"/>
          <w:trHeight w:val="916" w:hRule="atLeast"/>
          <w:tblHeader w:val="1"/>
        </w:trPr>
        <w:tc>
          <w:tcPr>
            <w:tcBorders>
              <w:right w:color="000000" w:space="0" w:sz="6" w:val="single"/>
            </w:tcBorders>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 Identify, formulate, review research literature and analyze complex engineering problems reaching substantiated conclusions with consideration for sustainable development. (WK1 to WK4)</w:t>
            </w:r>
          </w:p>
        </w:tc>
      </w:tr>
      <w:tr>
        <w:trPr>
          <w:cantSplit w:val="1"/>
          <w:trHeight w:val="591" w:hRule="atLeast"/>
          <w:tblHeader w:val="1"/>
        </w:trPr>
        <w:tc>
          <w:tcPr>
            <w:tcBorders>
              <w:right w:color="000000" w:space="0" w:sz="6" w:val="single"/>
            </w:tcBorders>
            <w:vAlign w:val="center"/>
          </w:tcPr>
          <w:p w:rsidR="00000000" w:rsidDel="00000000" w:rsidP="00000000" w:rsidRDefault="00000000" w:rsidRPr="00000000" w14:paraId="0000004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rPr>
          <w:cantSplit w:val="1"/>
          <w:trHeight w:val="1017" w:hRule="atLeast"/>
          <w:tblHeader w:val="1"/>
        </w:trPr>
        <w:tc>
          <w:tcPr>
            <w:tcBorders>
              <w:right w:color="000000" w:space="0" w:sz="6" w:val="single"/>
            </w:tcBorders>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Investigations of Complex Problems: Conduct investigations of complex engineering problems using research-based knowledge including design of experiments, modelling, analysis &amp; interpretation of data to provide valid conclusions. (WK8).</w:t>
            </w:r>
          </w:p>
        </w:tc>
      </w:tr>
      <w:tr>
        <w:trPr>
          <w:cantSplit w:val="1"/>
          <w:trHeight w:val="488" w:hRule="atLeast"/>
          <w:tblHeader w:val="1"/>
        </w:trPr>
        <w:tc>
          <w:tcPr>
            <w:tcBorders>
              <w:right w:color="000000" w:space="0" w:sz="6" w:val="single"/>
            </w:tcBorders>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Tool Usage: Create, select and apply appropriate techniques, resources and modern engineering &amp; IT tools, including prediction and modelling recognizing their limitations to solve complex engineering problems. (WK2 and WK6)</w:t>
            </w:r>
          </w:p>
        </w:tc>
      </w:tr>
      <w:tr>
        <w:trPr>
          <w:cantSplit w:val="1"/>
          <w:trHeight w:val="488" w:hRule="atLeast"/>
          <w:tblHeader w:val="1"/>
        </w:trPr>
        <w:tc>
          <w:tcPr>
            <w:tcBorders>
              <w:right w:color="000000" w:space="0" w:sz="6" w:val="single"/>
            </w:tcBorders>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Engineer and The World: Analyze and evaluate societal and environmental aspects while solving complex engineering problems for its impact on sustainability with reference to economy, health, safety, legal framework, culture and environment. (WK1, WK5, and WK7).</w:t>
            </w:r>
          </w:p>
        </w:tc>
      </w:tr>
      <w:tr>
        <w:trPr>
          <w:cantSplit w:val="1"/>
          <w:trHeight w:val="630" w:hRule="atLeast"/>
          <w:tblHeader w:val="1"/>
        </w:trPr>
        <w:tc>
          <w:tcPr>
            <w:tcBorders>
              <w:right w:color="000000" w:space="0" w:sz="6" w:val="single"/>
            </w:tcBorders>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Ethics: Apply ethical principles and commit to professional ethics, human values, diversity and inclusion; adhere to national &amp; international laws. (WK9)</w:t>
            </w:r>
          </w:p>
        </w:tc>
      </w:tr>
      <w:tr>
        <w:trPr>
          <w:cantSplit w:val="1"/>
          <w:trHeight w:val="638" w:hRule="atLeast"/>
          <w:tblHeader w:val="1"/>
        </w:trPr>
        <w:tc>
          <w:tcPr>
            <w:tcBorders>
              <w:right w:color="000000" w:space="0" w:sz="6" w:val="single"/>
            </w:tcBorders>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PO8</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Individual and Collaborative Team work: Function effectively as an individual, and as a member or leader in diverse/multi-disciplinary teams.</w:t>
            </w:r>
          </w:p>
        </w:tc>
      </w:tr>
      <w:tr>
        <w:trPr>
          <w:cantSplit w:val="1"/>
          <w:trHeight w:val="488" w:hRule="atLeast"/>
          <w:tblHeader w:val="1"/>
        </w:trPr>
        <w:tc>
          <w:tcPr>
            <w:tcBorders>
              <w:right w:color="000000" w:space="0" w:sz="6" w:val="single"/>
            </w:tcBorders>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PO9</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cantSplit w:val="1"/>
          <w:trHeight w:val="488" w:hRule="atLeast"/>
          <w:tblHeader w:val="1"/>
        </w:trPr>
        <w:tc>
          <w:tcPr>
            <w:tcBorders>
              <w:right w:color="000000" w:space="0" w:sz="6" w:val="single"/>
            </w:tcBorders>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and Finance: Apply knowledge and understanding of engineering management principles and economic decision-making and apply these to one’s own work, as a member and leader in a team, and to manage projects and in multidisciplinary environments.</w:t>
            </w:r>
          </w:p>
        </w:tc>
      </w:tr>
      <w:tr>
        <w:trPr>
          <w:cantSplit w:val="1"/>
          <w:trHeight w:val="488" w:hRule="atLeast"/>
          <w:tblHeader w:val="1"/>
        </w:trPr>
        <w:tc>
          <w:tcPr>
            <w:tcBorders>
              <w:right w:color="000000" w:space="0" w:sz="6" w:val="single"/>
            </w:tcBorders>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lineRule="auto"/>
              <w:ind w:left="90" w:right="10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Life-Long Learning: Recognize the need for, and have the preparation and ability for i) independent and life-long learning ii) adaptability to new and emerging technologies and iii) critical thinking in the broadest context of technological change. (WK8)</w:t>
            </w:r>
          </w:p>
        </w:tc>
      </w:tr>
    </w:tbl>
    <w:p w:rsidR="00000000" w:rsidDel="00000000" w:rsidP="00000000" w:rsidRDefault="00000000" w:rsidRPr="00000000" w14:paraId="0000005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89650" cy="100330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8965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jc w:val="center"/>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CERTIFICATE</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48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the Mini Project entitled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4"/>
          <w:szCs w:val="24"/>
          <w:rtl w:val="0"/>
        </w:rPr>
        <w:t xml:space="preserve">Spoly - AI-Powered Meeting Recorder and Smart Notes Generator</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is a bonafide work of </w:t>
      </w:r>
      <w:r w:rsidDel="00000000" w:rsidR="00000000" w:rsidRPr="00000000">
        <w:rPr>
          <w:rFonts w:ascii="Times New Roman" w:cs="Times New Roman" w:eastAsia="Times New Roman" w:hAnsi="Times New Roman"/>
          <w:b w:val="1"/>
          <w:bCs w:val="1"/>
          <w:sz w:val="28"/>
          <w:szCs w:val="28"/>
          <w:rtl w:val="0"/>
        </w:rPr>
        <w:t xml:space="preserve">Ashish Chaurasiya (12) , Aniket Dhoke (17)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b w:val="1"/>
          <w:bCs w:val="1"/>
          <w:sz w:val="28"/>
          <w:szCs w:val="28"/>
          <w:rtl w:val="0"/>
        </w:rPr>
        <w:t xml:space="preserve"> Vedant Dhotre (18)</w:t>
      </w:r>
      <w:r w:rsidDel="00000000" w:rsidR="00000000" w:rsidRPr="00000000">
        <w:rPr>
          <w:rFonts w:ascii="Times New Roman" w:cs="Times New Roman" w:eastAsia="Times New Roman" w:hAnsi="Times New Roman"/>
          <w:sz w:val="28"/>
          <w:szCs w:val="28"/>
          <w:rtl w:val="0"/>
        </w:rPr>
        <w:t xml:space="preserve"> submitted in partial fulfillment of the requirements of </w:t>
      </w:r>
      <w:r w:rsidDel="00000000" w:rsidR="00000000" w:rsidRPr="00000000">
        <w:rPr>
          <w:rFonts w:ascii="Times New Roman" w:cs="Times New Roman" w:eastAsia="Times New Roman" w:hAnsi="Times New Roman"/>
          <w:b w:val="1"/>
          <w:bCs w:val="1"/>
          <w:sz w:val="28"/>
          <w:szCs w:val="28"/>
          <w:rtl w:val="0"/>
        </w:rPr>
        <w:t xml:space="preserve">Mini Project, Semester – IV</w:t>
      </w:r>
      <w:r w:rsidDel="00000000" w:rsidR="00000000" w:rsidRPr="00000000">
        <w:rPr>
          <w:rFonts w:ascii="Times New Roman" w:cs="Times New Roman" w:eastAsia="Times New Roman" w:hAnsi="Times New Roman"/>
          <w:sz w:val="28"/>
          <w:szCs w:val="28"/>
          <w:rtl w:val="0"/>
        </w:rPr>
        <w:t xml:space="preserve">, for the award of the degree of “</w:t>
      </w:r>
      <w:r w:rsidDel="00000000" w:rsidR="00000000" w:rsidRPr="00000000">
        <w:rPr>
          <w:rFonts w:ascii="Times New Roman" w:cs="Times New Roman" w:eastAsia="Times New Roman" w:hAnsi="Times New Roman"/>
          <w:b w:val="1"/>
          <w:bCs w:val="1"/>
          <w:sz w:val="28"/>
          <w:szCs w:val="28"/>
          <w:rtl w:val="0"/>
        </w:rPr>
        <w:t xml:space="preserve">Bachelor of Engineering” </w:t>
      </w:r>
      <w:r w:rsidDel="00000000" w:rsidR="00000000" w:rsidRPr="00000000">
        <w:rPr>
          <w:rFonts w:ascii="Times New Roman" w:cs="Times New Roman" w:eastAsia="Times New Roman" w:hAnsi="Times New Roman"/>
          <w:sz w:val="28"/>
          <w:szCs w:val="28"/>
          <w:rtl w:val="0"/>
        </w:rPr>
        <w:t xml:space="preserve"> in “</w:t>
      </w:r>
      <w:r w:rsidDel="00000000" w:rsidR="00000000" w:rsidRPr="00000000">
        <w:rPr>
          <w:rFonts w:ascii="Times New Roman" w:cs="Times New Roman" w:eastAsia="Times New Roman" w:hAnsi="Times New Roman"/>
          <w:b w:val="1"/>
          <w:bCs w:val="1"/>
          <w:sz w:val="28"/>
          <w:szCs w:val="28"/>
          <w:rtl w:val="0"/>
        </w:rPr>
        <w:t xml:space="preserve">Computer Engineering”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F">
      <w:pPr>
        <w:spacing w:after="3" w:line="485"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spacing w:after="3" w:line="4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360" w:lineRule="auto"/>
        <w:ind w:left="0" w:firstLine="0"/>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Prof.Kavita Jain                                                                 Prof. Vijay Jumb          (Assistant Professor )                                                    (Assistant Professor)</w:t>
      </w:r>
    </w:p>
    <w:p w:rsidR="00000000" w:rsidDel="00000000" w:rsidP="00000000" w:rsidRDefault="00000000" w:rsidRPr="00000000" w14:paraId="00000062">
      <w:pPr>
        <w:spacing w:after="0" w:line="360" w:lineRule="auto"/>
        <w:ind w:left="0" w:firstLine="0"/>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63">
      <w:pPr>
        <w:spacing w:after="0" w:line="360" w:lineRule="auto"/>
        <w:ind w:left="720" w:firstLine="0"/>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64">
      <w:pPr>
        <w:spacing w:after="4"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sz w:val="32"/>
          <w:szCs w:val="32"/>
          <w:rtl w:val="0"/>
        </w:rPr>
        <w:tab/>
        <w:tab/>
        <w:tab/>
        <w:tab/>
        <w:tab/>
        <w:tab/>
        <w:tab/>
        <w:tab/>
        <w:tab/>
      </w:r>
      <w:r w:rsidDel="00000000" w:rsidR="00000000" w:rsidRPr="00000000">
        <w:rPr>
          <w:rtl w:val="0"/>
        </w:rPr>
      </w:r>
    </w:p>
    <w:p w:rsidR="00000000" w:rsidDel="00000000" w:rsidP="00000000" w:rsidRDefault="00000000" w:rsidRPr="00000000" w14:paraId="00000065">
      <w:pPr>
        <w:spacing w:after="4"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6">
      <w:pPr>
        <w:spacing w:after="4"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7">
      <w:pPr>
        <w:spacing w:after="4"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8">
      <w:pPr>
        <w:spacing w:after="4"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Dr. Sushama Khanvilkar                                                          Dr. Lata Ragha</w:t>
      </w:r>
    </w:p>
    <w:p w:rsidR="00000000" w:rsidDel="00000000" w:rsidP="00000000" w:rsidRDefault="00000000" w:rsidRPr="00000000" w14:paraId="0000006B">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H.O.D Computer Engineering                                                              Principal</w:t>
      </w:r>
    </w:p>
    <w:p w:rsidR="00000000" w:rsidDel="00000000" w:rsidP="00000000" w:rsidRDefault="00000000" w:rsidRPr="00000000" w14:paraId="0000006C">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6115050" cy="100330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1505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spacing w:after="0" w:before="0" w:lineRule="auto"/>
        <w:ind w:left="18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 PROJECT APPROVAL</w:t>
      </w:r>
    </w:p>
    <w:p w:rsidR="00000000" w:rsidDel="00000000" w:rsidP="00000000" w:rsidRDefault="00000000" w:rsidRPr="00000000" w14:paraId="0000007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48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Mini Project entitled “</w:t>
      </w:r>
      <w:r w:rsidDel="00000000" w:rsidR="00000000" w:rsidRPr="00000000">
        <w:rPr>
          <w:rFonts w:ascii="Times New Roman" w:cs="Times New Roman" w:eastAsia="Times New Roman" w:hAnsi="Times New Roman"/>
          <w:b w:val="1"/>
          <w:bCs w:val="1"/>
          <w:sz w:val="24"/>
          <w:szCs w:val="24"/>
          <w:rtl w:val="0"/>
        </w:rPr>
        <w:t xml:space="preserve">Spoly - AI-Powered Meeting Recorder and Smart Notes Generator</w:t>
      </w:r>
      <w:r w:rsidDel="00000000" w:rsidR="00000000" w:rsidRPr="00000000">
        <w:rPr>
          <w:rFonts w:ascii="Times New Roman" w:cs="Times New Roman" w:eastAsia="Times New Roman" w:hAnsi="Times New Roman"/>
          <w:sz w:val="28"/>
          <w:szCs w:val="28"/>
          <w:rtl w:val="0"/>
        </w:rPr>
        <w:t xml:space="preserve">” by Ashish Chaurasiya (12) , Aniket Dhoke (17) </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 Vedant Dhotre (18) is approved for </w:t>
      </w:r>
      <w:r w:rsidDel="00000000" w:rsidR="00000000" w:rsidRPr="00000000">
        <w:rPr>
          <w:rFonts w:ascii="Times New Roman" w:cs="Times New Roman" w:eastAsia="Times New Roman" w:hAnsi="Times New Roman"/>
          <w:b w:val="1"/>
          <w:bCs w:val="1"/>
          <w:sz w:val="28"/>
          <w:szCs w:val="28"/>
          <w:rtl w:val="0"/>
        </w:rPr>
        <w:t xml:space="preserve">MINI PROJECT SEMESTER: IV </w:t>
      </w:r>
      <w:r w:rsidDel="00000000" w:rsidR="00000000" w:rsidRPr="00000000">
        <w:rPr>
          <w:rFonts w:ascii="Times New Roman" w:cs="Times New Roman" w:eastAsia="Times New Roman" w:hAnsi="Times New Roman"/>
          <w:sz w:val="28"/>
          <w:szCs w:val="28"/>
          <w:rtl w:val="0"/>
        </w:rPr>
        <w:t xml:space="preserve">for the degree of “</w:t>
      </w:r>
      <w:r w:rsidDel="00000000" w:rsidR="00000000" w:rsidRPr="00000000">
        <w:rPr>
          <w:rFonts w:ascii="Times New Roman" w:cs="Times New Roman" w:eastAsia="Times New Roman" w:hAnsi="Times New Roman"/>
          <w:b w:val="1"/>
          <w:bCs w:val="1"/>
          <w:sz w:val="28"/>
          <w:szCs w:val="28"/>
          <w:rtl w:val="0"/>
        </w:rPr>
        <w:t xml:space="preserve">Bachelor of Engineering</w:t>
      </w:r>
      <w:r w:rsidDel="00000000" w:rsidR="00000000" w:rsidRPr="00000000">
        <w:rPr>
          <w:rFonts w:ascii="Times New Roman" w:cs="Times New Roman" w:eastAsia="Times New Roman" w:hAnsi="Times New Roman"/>
          <w:sz w:val="28"/>
          <w:szCs w:val="28"/>
          <w:rtl w:val="0"/>
        </w:rPr>
        <w:t xml:space="preserve">” in “</w:t>
      </w:r>
      <w:r w:rsidDel="00000000" w:rsidR="00000000" w:rsidRPr="00000000">
        <w:rPr>
          <w:rFonts w:ascii="Times New Roman" w:cs="Times New Roman" w:eastAsia="Times New Roman" w:hAnsi="Times New Roman"/>
          <w:b w:val="1"/>
          <w:bCs w:val="1"/>
          <w:sz w:val="28"/>
          <w:szCs w:val="28"/>
          <w:rtl w:val="0"/>
        </w:rPr>
        <w:t xml:space="preserve">Computer Engineering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spacing w:after="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3">
      <w:pPr>
        <w:spacing w:after="153"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4">
      <w:pPr>
        <w:spacing w:after="153"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75">
      <w:pPr>
        <w:spacing w:after="15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Examiners</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76">
      <w:pPr>
        <w:spacing w:after="15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 xml:space="preserve">                                                 </w:t>
      </w:r>
    </w:p>
    <w:p w:rsidR="00000000" w:rsidDel="00000000" w:rsidP="00000000" w:rsidRDefault="00000000" w:rsidRPr="00000000" w14:paraId="00000077">
      <w:pPr>
        <w:spacing w:after="15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1._________________________</w:t>
      </w:r>
    </w:p>
    <w:p w:rsidR="00000000" w:rsidDel="00000000" w:rsidP="00000000" w:rsidRDefault="00000000" w:rsidRPr="00000000" w14:paraId="00000078">
      <w:pPr>
        <w:spacing w:after="15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79">
      <w:pPr>
        <w:spacing w:after="15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2._________________________</w:t>
      </w:r>
    </w:p>
    <w:p w:rsidR="00000000" w:rsidDel="00000000" w:rsidP="00000000" w:rsidRDefault="00000000" w:rsidRPr="00000000" w14:paraId="0000007A">
      <w:pPr>
        <w:spacing w:after="15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sz w:val="32"/>
          <w:szCs w:val="32"/>
          <w:rtl w:val="0"/>
        </w:rPr>
        <w:t xml:space="preserve">                                                           </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Date: </w:t>
      </w:r>
      <w:r w:rsidDel="00000000" w:rsidR="00000000" w:rsidRPr="00000000">
        <w:rPr>
          <w:rtl w:val="0"/>
        </w:rPr>
      </w:r>
    </w:p>
    <w:p w:rsidR="00000000" w:rsidDel="00000000" w:rsidP="00000000" w:rsidRDefault="00000000" w:rsidRPr="00000000" w14:paraId="0000007D">
      <w:pPr>
        <w:spacing w:after="207"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Place:</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Mumbai</w:t>
      </w:r>
      <w:r w:rsidDel="00000000" w:rsidR="00000000" w:rsidRPr="00000000">
        <w:rPr>
          <w:rtl w:val="0"/>
        </w:rPr>
      </w:r>
    </w:p>
    <w:p w:rsidR="00000000" w:rsidDel="00000000" w:rsidP="00000000" w:rsidRDefault="00000000" w:rsidRPr="00000000" w14:paraId="0000007E">
      <w:pPr>
        <w:pStyle w:val="Heading1"/>
        <w:spacing w:before="120" w:line="360" w:lineRule="auto"/>
        <w:ind w:left="39" w:hanging="11"/>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Declaration</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understand that any violation of the above will be cause for disciplinary action by the Institute and can also evoke penal action from the sources which have thus not been properly cited or from whom proper permission has not been taken when needed.</w:t>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ff0000"/>
          <w:sz w:val="20"/>
          <w:szCs w:val="20"/>
          <w:rtl w:val="0"/>
        </w:rPr>
        <w:t xml:space="preserve">__________________________</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0"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Ashish Chaurasiya - 12</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0" w:line="240" w:lineRule="auto"/>
        <w:ind w:left="5760" w:firstLine="72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0" w:line="240" w:lineRule="auto"/>
        <w:ind w:left="5760" w:firstLine="720"/>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240" w:lineRule="auto"/>
        <w:ind w:left="576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    ____________________</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40" w:lineRule="auto"/>
        <w:ind w:left="5760" w:firstLine="72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Aniket Dhoke - 17</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before="223" w:line="240"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before="19" w:lin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ab/>
        <w:tab/>
        <w:tab/>
        <w:tab/>
        <w:tab/>
        <w:tab/>
        <w:tab/>
        <w:tab/>
        <w:t xml:space="preserve">     ____________________</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240" w:lineRule="auto"/>
        <w:ind w:left="5760" w:firstLine="72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Vedant Dhotre - 18</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before="19" w:line="240"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0" w:before="127"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40" w:lineRule="auto"/>
        <w:ind w:left="101" w:firstLine="0"/>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Date: </w:t>
      </w:r>
    </w:p>
    <w:p w:rsidR="00000000" w:rsidDel="00000000" w:rsidP="00000000" w:rsidRDefault="00000000" w:rsidRPr="00000000" w14:paraId="0000008F">
      <w:pPr>
        <w:spacing w:after="120" w:before="120" w:line="360" w:lineRule="auto"/>
        <w:jc w:val="center"/>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tl w:val="0"/>
        </w:rPr>
        <w:t xml:space="preserve">Guides                     </w:t>
      </w:r>
    </w:p>
    <w:p w:rsidR="00000000" w:rsidDel="00000000" w:rsidP="00000000" w:rsidRDefault="00000000" w:rsidRPr="00000000" w14:paraId="00000090">
      <w:pPr>
        <w:spacing w:after="120" w:before="120" w:line="360" w:lineRule="auto"/>
        <w:jc w:val="center"/>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36"/>
          <w:szCs w:val="36"/>
          <w:rtl w:val="0"/>
        </w:rPr>
        <w:t xml:space="preserve">                           Prof. Kavita Jain</w:t>
      </w:r>
      <w:r w:rsidDel="00000000" w:rsidR="00000000" w:rsidRPr="00000000">
        <w:rPr>
          <w:rFonts w:ascii="Times New Roman" w:cs="Times New Roman" w:eastAsia="Times New Roman" w:hAnsi="Times New Roman"/>
          <w:b w:val="1"/>
          <w:bCs w:val="1"/>
          <w:color w:val="ff0000"/>
          <w:sz w:val="44"/>
          <w:szCs w:val="44"/>
          <w:rtl w:val="0"/>
        </w:rPr>
        <w:t xml:space="preserve">  ______________</w:t>
      </w:r>
    </w:p>
    <w:p w:rsidR="00000000" w:rsidDel="00000000" w:rsidP="00000000" w:rsidRDefault="00000000" w:rsidRPr="00000000" w14:paraId="00000091">
      <w:pPr>
        <w:spacing w:after="120" w:before="120" w:line="360" w:lineRule="auto"/>
        <w:jc w:val="left"/>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tl w:val="0"/>
        </w:rPr>
        <w:t xml:space="preserve">                          </w:t>
      </w:r>
      <w:r w:rsidDel="00000000" w:rsidR="00000000" w:rsidRPr="00000000">
        <w:rPr>
          <w:rFonts w:ascii="Times New Roman" w:cs="Times New Roman" w:eastAsia="Times New Roman" w:hAnsi="Times New Roman"/>
          <w:b w:val="1"/>
          <w:bCs w:val="1"/>
          <w:color w:val="ff0000"/>
          <w:sz w:val="36"/>
          <w:szCs w:val="36"/>
          <w:rtl w:val="0"/>
        </w:rPr>
        <w:t xml:space="preserve">Prof.Vijay Jumb</w:t>
      </w:r>
      <w:r w:rsidDel="00000000" w:rsidR="00000000" w:rsidRPr="00000000">
        <w:rPr>
          <w:rFonts w:ascii="Times New Roman" w:cs="Times New Roman" w:eastAsia="Times New Roman" w:hAnsi="Times New Roman"/>
          <w:b w:val="1"/>
          <w:bCs w:val="1"/>
          <w:color w:val="ff0000"/>
          <w:sz w:val="44"/>
          <w:szCs w:val="44"/>
          <w:rtl w:val="0"/>
        </w:rPr>
        <w:t xml:space="preserve"> _______________</w:t>
      </w:r>
    </w:p>
    <w:p w:rsidR="00000000" w:rsidDel="00000000" w:rsidP="00000000" w:rsidRDefault="00000000" w:rsidRPr="00000000" w14:paraId="00000092">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3">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4">
      <w:pPr>
        <w:spacing w:after="120" w:before="120" w:line="360" w:lineRule="auto"/>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5">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Abstract</w:t>
      </w:r>
    </w:p>
    <w:p w:rsidR="00000000" w:rsidDel="00000000" w:rsidP="00000000" w:rsidRDefault="00000000" w:rsidRPr="00000000" w14:paraId="0000009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increase in virtual meetings and online educational content, maintaining accurate and structured notes manually has become highly inefficient. </w:t>
      </w:r>
    </w:p>
    <w:p w:rsidR="00000000" w:rsidDel="00000000" w:rsidP="00000000" w:rsidRDefault="00000000" w:rsidRPr="00000000" w14:paraId="0000009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Spoly</w:t>
      </w:r>
      <w:r w:rsidDel="00000000" w:rsidR="00000000" w:rsidRPr="00000000">
        <w:rPr>
          <w:rFonts w:ascii="Times New Roman" w:cs="Times New Roman" w:eastAsia="Times New Roman" w:hAnsi="Times New Roman"/>
          <w:sz w:val="24"/>
          <w:szCs w:val="24"/>
          <w:rtl w:val="0"/>
        </w:rPr>
        <w:t xml:space="preserve"> is a comprehensive, AI-powered system designed to automatically capture tab audio and generate smart meeting notes seamlessly. The system comprises a Chrome Extension (Manifest V3) that natively handles audio recording and YouTube integration. </w:t>
      </w:r>
    </w:p>
    <w:p w:rsidR="00000000" w:rsidDel="00000000" w:rsidP="00000000" w:rsidRDefault="00000000" w:rsidRPr="00000000" w14:paraId="0000009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is powered by FastAPI and MongoDB, which processes the audio, manages webhooks via Clerk for secure user authentication, and orchestrates the generation of transcripts, intelligent summaries, Mermaid diagrams, and flashcards. </w:t>
      </w:r>
    </w:p>
    <w:p w:rsidR="00000000" w:rsidDel="00000000" w:rsidP="00000000" w:rsidRDefault="00000000" w:rsidRPr="00000000" w14:paraId="00000099">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React-based frontend provides an interactive dashboard where users can manage their notes, utilize custom system prompt templates, and export their generated content to PDF. Spoly eliminates manual note-taking overhead, enhancing productivity for students and professionals alike.</w:t>
      </w:r>
      <w:r w:rsidDel="00000000" w:rsidR="00000000" w:rsidRPr="00000000">
        <w:rPr>
          <w:rtl w:val="0"/>
        </w:rPr>
      </w:r>
    </w:p>
    <w:p w:rsidR="00000000" w:rsidDel="00000000" w:rsidP="00000000" w:rsidRDefault="00000000" w:rsidRPr="00000000" w14:paraId="0000009A">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B">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C">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D">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E">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9F">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0">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1">
      <w:pPr>
        <w:spacing w:after="120" w:before="120" w:line="36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2">
      <w:pPr>
        <w:spacing w:after="120" w:before="120" w:line="36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3">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Acknowledgement</w:t>
      </w:r>
    </w:p>
    <w:p w:rsidR="00000000" w:rsidDel="00000000" w:rsidP="00000000" w:rsidRDefault="00000000" w:rsidRPr="00000000" w14:paraId="000000A4">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the students of </w:t>
      </w:r>
      <w:r w:rsidDel="00000000" w:rsidR="00000000" w:rsidRPr="00000000">
        <w:rPr>
          <w:rFonts w:ascii="Times New Roman" w:cs="Times New Roman" w:eastAsia="Times New Roman" w:hAnsi="Times New Roman"/>
          <w:b w:val="1"/>
          <w:bCs w:val="1"/>
          <w:sz w:val="28"/>
          <w:szCs w:val="28"/>
          <w:rtl w:val="0"/>
        </w:rPr>
        <w:t xml:space="preserve">Xavier Institute of Engineering, Mahim</w:t>
      </w:r>
      <w:r w:rsidDel="00000000" w:rsidR="00000000" w:rsidRPr="00000000">
        <w:rPr>
          <w:rFonts w:ascii="Times New Roman" w:cs="Times New Roman" w:eastAsia="Times New Roman" w:hAnsi="Times New Roman"/>
          <w:sz w:val="28"/>
          <w:szCs w:val="28"/>
          <w:rtl w:val="0"/>
        </w:rPr>
        <w:t xml:space="preserve"> of </w:t>
      </w:r>
      <w:r w:rsidDel="00000000" w:rsidR="00000000" w:rsidRPr="00000000">
        <w:rPr>
          <w:rFonts w:ascii="Times New Roman" w:cs="Times New Roman" w:eastAsia="Times New Roman" w:hAnsi="Times New Roman"/>
          <w:b w:val="1"/>
          <w:bCs w:val="1"/>
          <w:sz w:val="28"/>
          <w:szCs w:val="28"/>
          <w:rtl w:val="0"/>
        </w:rPr>
        <w:t xml:space="preserve">Second Year Engineering</w:t>
      </w:r>
      <w:r w:rsidDel="00000000" w:rsidR="00000000" w:rsidRPr="00000000">
        <w:rPr>
          <w:rFonts w:ascii="Times New Roman" w:cs="Times New Roman" w:eastAsia="Times New Roman" w:hAnsi="Times New Roman"/>
          <w:sz w:val="28"/>
          <w:szCs w:val="28"/>
          <w:rtl w:val="0"/>
        </w:rPr>
        <w:t xml:space="preserve"> in the department of </w:t>
      </w:r>
      <w:r w:rsidDel="00000000" w:rsidR="00000000" w:rsidRPr="00000000">
        <w:rPr>
          <w:rFonts w:ascii="Times New Roman" w:cs="Times New Roman" w:eastAsia="Times New Roman" w:hAnsi="Times New Roman"/>
          <w:b w:val="1"/>
          <w:bCs w:val="1"/>
          <w:sz w:val="28"/>
          <w:szCs w:val="28"/>
          <w:rtl w:val="0"/>
        </w:rPr>
        <w:t xml:space="preserve">Computer Engineering</w:t>
      </w:r>
      <w:r w:rsidDel="00000000" w:rsidR="00000000" w:rsidRPr="00000000">
        <w:rPr>
          <w:rFonts w:ascii="Times New Roman" w:cs="Times New Roman" w:eastAsia="Times New Roman" w:hAnsi="Times New Roman"/>
          <w:sz w:val="28"/>
          <w:szCs w:val="28"/>
          <w:rtl w:val="0"/>
        </w:rPr>
        <w:t xml:space="preserve"> have great pleasure in presenting our efforts of developing the project named as “</w:t>
      </w:r>
      <w:r w:rsidDel="00000000" w:rsidR="00000000" w:rsidRPr="00000000">
        <w:rPr>
          <w:rFonts w:ascii="Times New Roman" w:cs="Times New Roman" w:eastAsia="Times New Roman" w:hAnsi="Times New Roman"/>
          <w:b w:val="1"/>
          <w:bCs w:val="1"/>
          <w:sz w:val="24"/>
          <w:szCs w:val="24"/>
          <w:rtl w:val="0"/>
        </w:rPr>
        <w:t xml:space="preserve">Spoly - AI-Powered Meeting Recorder and Smart Notes Generator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spacing w:after="120" w:before="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would like to express our heartfelt gratitude to </w:t>
      </w:r>
      <w:r w:rsidDel="00000000" w:rsidR="00000000" w:rsidRPr="00000000">
        <w:rPr>
          <w:rFonts w:ascii="Times New Roman" w:cs="Times New Roman" w:eastAsia="Times New Roman" w:hAnsi="Times New Roman"/>
          <w:b w:val="1"/>
          <w:bCs w:val="1"/>
          <w:sz w:val="28"/>
          <w:szCs w:val="28"/>
          <w:rtl w:val="0"/>
        </w:rPr>
        <w:t xml:space="preserve">Dr. Sushama Khanvilkar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Head of the Department</w:t>
      </w:r>
      <w:r w:rsidDel="00000000" w:rsidR="00000000" w:rsidRPr="00000000">
        <w:rPr>
          <w:rFonts w:ascii="Times New Roman" w:cs="Times New Roman" w:eastAsia="Times New Roman" w:hAnsi="Times New Roman"/>
          <w:sz w:val="28"/>
          <w:szCs w:val="28"/>
          <w:rtl w:val="0"/>
        </w:rPr>
        <w:t xml:space="preserve">, for providing us with inspiration, valuable guidance, and timely suggestions throughout our Mini Project journey.</w:t>
      </w:r>
    </w:p>
    <w:p w:rsidR="00000000" w:rsidDel="00000000" w:rsidP="00000000" w:rsidRDefault="00000000" w:rsidRPr="00000000" w14:paraId="000000A7">
      <w:pPr>
        <w:spacing w:after="120" w:before="12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120" w:before="12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immense appreciation also goes to our esteemed </w:t>
      </w:r>
      <w:r w:rsidDel="00000000" w:rsidR="00000000" w:rsidRPr="00000000">
        <w:rPr>
          <w:rFonts w:ascii="Times New Roman" w:cs="Times New Roman" w:eastAsia="Times New Roman" w:hAnsi="Times New Roman"/>
          <w:b w:val="1"/>
          <w:bCs w:val="1"/>
          <w:sz w:val="28"/>
          <w:szCs w:val="28"/>
          <w:rtl w:val="0"/>
        </w:rPr>
        <w:t xml:space="preserve">Guide Prof. Kavita Jain and Prof. Vijay Jumb</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Coordinator Prof. Mayuri Karnik</w:t>
      </w:r>
      <w:r w:rsidDel="00000000" w:rsidR="00000000" w:rsidRPr="00000000">
        <w:rPr>
          <w:rFonts w:ascii="Times New Roman" w:cs="Times New Roman" w:eastAsia="Times New Roman" w:hAnsi="Times New Roman"/>
          <w:sz w:val="28"/>
          <w:szCs w:val="28"/>
          <w:rtl w:val="0"/>
        </w:rPr>
        <w:t xml:space="preserve"> for their unwavering support and the opportunity they provided us to undertake this challenging project has been truly invaluable. This experience not only allowed us to conduct extensive project work but also exposed us to a wealth of new knowledge for which we are genuinely thankful.</w:t>
      </w:r>
    </w:p>
    <w:p w:rsidR="00000000" w:rsidDel="00000000" w:rsidP="00000000" w:rsidRDefault="00000000" w:rsidRPr="00000000" w14:paraId="000000A9">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B">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C">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D">
      <w:pPr>
        <w:spacing w:after="120" w:before="120"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E">
      <w:pPr>
        <w:spacing w:after="120" w:before="120" w:line="36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F">
      <w:pPr>
        <w:spacing w:after="120" w:before="120" w:line="36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CONTENTS</w:t>
      </w:r>
      <w:r w:rsidDel="00000000" w:rsidR="00000000" w:rsidRPr="00000000">
        <w:rPr>
          <w:rtl w:val="0"/>
        </w:rPr>
      </w:r>
    </w:p>
    <w:tbl>
      <w:tblPr>
        <w:tblStyle w:val="Table4"/>
        <w:tblW w:w="9640.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7"/>
        <w:gridCol w:w="7512"/>
        <w:gridCol w:w="851"/>
        <w:tblGridChange w:id="0">
          <w:tblGrid>
            <w:gridCol w:w="1277"/>
            <w:gridCol w:w="7512"/>
            <w:gridCol w:w="851"/>
          </w:tblGrid>
        </w:tblGridChange>
      </w:tblGrid>
      <w:tr>
        <w:trPr>
          <w:cantSplit w:val="0"/>
          <w:tblHeader w:val="0"/>
        </w:trPr>
        <w:tc>
          <w:tcPr>
            <w:vAlign w:val="center"/>
          </w:tcPr>
          <w:p w:rsidR="00000000" w:rsidDel="00000000" w:rsidP="00000000" w:rsidRDefault="00000000" w:rsidRPr="00000000" w14:paraId="000000B0">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No.</w:t>
            </w:r>
          </w:p>
        </w:tc>
        <w:tc>
          <w:tcPr>
            <w:vAlign w:val="center"/>
          </w:tcPr>
          <w:p w:rsidR="00000000" w:rsidDel="00000000" w:rsidP="00000000" w:rsidRDefault="00000000" w:rsidRPr="00000000" w14:paraId="000000B1">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Chapter</w:t>
            </w:r>
          </w:p>
        </w:tc>
        <w:tc>
          <w:tcPr>
            <w:vAlign w:val="center"/>
          </w:tcPr>
          <w:p w:rsidR="00000000" w:rsidDel="00000000" w:rsidP="00000000" w:rsidRDefault="00000000" w:rsidRPr="00000000" w14:paraId="000000B2">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blHeader w:val="0"/>
        </w:trPr>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before="120" w:line="276" w:lineRule="auto"/>
              <w:ind w:left="284" w:hanging="284"/>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tc>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Introduction                 </w:t>
            </w:r>
            <w:r w:rsidDel="00000000" w:rsidR="00000000" w:rsidRPr="00000000">
              <w:rPr>
                <w:rtl w:val="0"/>
              </w:rPr>
            </w:r>
          </w:p>
        </w:tc>
        <w:tc>
          <w:tcPr>
            <w:vAlign w:val="center"/>
          </w:tcPr>
          <w:p w:rsidR="00000000" w:rsidDel="00000000" w:rsidP="00000000" w:rsidRDefault="00000000" w:rsidRPr="00000000" w14:paraId="000000B5">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w:t>
            </w:r>
          </w:p>
        </w:tc>
      </w:tr>
      <w:tr>
        <w:trPr>
          <w:cantSplit w:val="0"/>
          <w:tblHeader w:val="0"/>
        </w:trPr>
        <w:tc>
          <w:tcPr>
            <w:vAlign w:val="center"/>
          </w:tcPr>
          <w:p w:rsidR="00000000" w:rsidDel="00000000" w:rsidP="00000000" w:rsidRDefault="00000000" w:rsidRPr="00000000" w14:paraId="000000B6">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vAlign w:val="center"/>
          </w:tcPr>
          <w:p w:rsidR="00000000" w:rsidDel="00000000" w:rsidP="00000000" w:rsidRDefault="00000000" w:rsidRPr="00000000" w14:paraId="000000B7">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w:t>
            </w:r>
          </w:p>
        </w:tc>
        <w:tc>
          <w:tcPr>
            <w:vAlign w:val="center"/>
          </w:tcPr>
          <w:p w:rsidR="00000000" w:rsidDel="00000000" w:rsidP="00000000" w:rsidRDefault="00000000" w:rsidRPr="00000000" w14:paraId="000000B8">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w:t>
            </w:r>
          </w:p>
        </w:tc>
      </w:tr>
      <w:tr>
        <w:trPr>
          <w:cantSplit w:val="0"/>
          <w:tblHeader w:val="0"/>
        </w:trPr>
        <w:tc>
          <w:tcPr>
            <w:vAlign w:val="center"/>
          </w:tcPr>
          <w:p w:rsidR="00000000" w:rsidDel="00000000" w:rsidP="00000000" w:rsidRDefault="00000000" w:rsidRPr="00000000" w14:paraId="000000B9">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vAlign w:val="center"/>
          </w:tcPr>
          <w:p w:rsidR="00000000" w:rsidDel="00000000" w:rsidP="00000000" w:rsidRDefault="00000000" w:rsidRPr="00000000" w14:paraId="000000BA">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Motivation                                                         </w:t>
            </w:r>
          </w:p>
        </w:tc>
        <w:tc>
          <w:tcPr>
            <w:vAlign w:val="center"/>
          </w:tcPr>
          <w:p w:rsidR="00000000" w:rsidDel="00000000" w:rsidP="00000000" w:rsidRDefault="00000000" w:rsidRPr="00000000" w14:paraId="000000BB">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w:t>
            </w:r>
          </w:p>
        </w:tc>
      </w:tr>
      <w:tr>
        <w:trPr>
          <w:cantSplit w:val="0"/>
          <w:tblHeader w:val="0"/>
        </w:trPr>
        <w:tc>
          <w:tcPr>
            <w:vAlign w:val="center"/>
          </w:tcPr>
          <w:p w:rsidR="00000000" w:rsidDel="00000000" w:rsidP="00000000" w:rsidRDefault="00000000" w:rsidRPr="00000000" w14:paraId="000000BC">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vAlign w:val="center"/>
          </w:tcPr>
          <w:p w:rsidR="00000000" w:rsidDel="00000000" w:rsidP="00000000" w:rsidRDefault="00000000" w:rsidRPr="00000000" w14:paraId="000000BD">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 Statement  </w:t>
            </w:r>
          </w:p>
        </w:tc>
        <w:tc>
          <w:tcPr>
            <w:vAlign w:val="center"/>
          </w:tcPr>
          <w:p w:rsidR="00000000" w:rsidDel="00000000" w:rsidP="00000000" w:rsidRDefault="00000000" w:rsidRPr="00000000" w14:paraId="000000BE">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w:t>
            </w:r>
          </w:p>
        </w:tc>
      </w:tr>
      <w:tr>
        <w:trPr>
          <w:cantSplit w:val="0"/>
          <w:tblHeader w:val="0"/>
        </w:trPr>
        <w:tc>
          <w:tcPr>
            <w:vAlign w:val="center"/>
          </w:tcPr>
          <w:p w:rsidR="00000000" w:rsidDel="00000000" w:rsidP="00000000" w:rsidRDefault="00000000" w:rsidRPr="00000000" w14:paraId="000000BF">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vAlign w:val="center"/>
          </w:tcPr>
          <w:p w:rsidR="00000000" w:rsidDel="00000000" w:rsidP="00000000" w:rsidRDefault="00000000" w:rsidRPr="00000000" w14:paraId="000000C0">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     </w:t>
            </w:r>
          </w:p>
        </w:tc>
        <w:tc>
          <w:tcPr>
            <w:vAlign w:val="center"/>
          </w:tcPr>
          <w:p w:rsidR="00000000" w:rsidDel="00000000" w:rsidP="00000000" w:rsidRDefault="00000000" w:rsidRPr="00000000" w14:paraId="000000C1">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w:t>
            </w:r>
          </w:p>
        </w:tc>
      </w:tr>
      <w:tr>
        <w:trPr>
          <w:cantSplit w:val="0"/>
          <w:tblHeader w:val="0"/>
        </w:trPr>
        <w:tc>
          <w:tcPr>
            <w:vAlign w:val="center"/>
          </w:tcPr>
          <w:p w:rsidR="00000000" w:rsidDel="00000000" w:rsidP="00000000" w:rsidRDefault="00000000" w:rsidRPr="00000000" w14:paraId="000000C2">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vAlign w:val="center"/>
          </w:tcPr>
          <w:p w:rsidR="00000000" w:rsidDel="00000000" w:rsidP="00000000" w:rsidRDefault="00000000" w:rsidRPr="00000000" w14:paraId="000000C3">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Survey                         </w:t>
            </w:r>
            <w:r w:rsidDel="00000000" w:rsidR="00000000" w:rsidRPr="00000000">
              <w:rPr>
                <w:rtl w:val="0"/>
              </w:rPr>
            </w:r>
          </w:p>
        </w:tc>
        <w:tc>
          <w:tcPr>
            <w:vAlign w:val="center"/>
          </w:tcPr>
          <w:p w:rsidR="00000000" w:rsidDel="00000000" w:rsidP="00000000" w:rsidRDefault="00000000" w:rsidRPr="00000000" w14:paraId="000000C4">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w:t>
            </w:r>
          </w:p>
        </w:tc>
      </w:tr>
      <w:tr>
        <w:trPr>
          <w:cantSplit w:val="0"/>
          <w:tblHeader w:val="0"/>
        </w:trPr>
        <w:tc>
          <w:tcPr>
            <w:vAlign w:val="center"/>
          </w:tcPr>
          <w:p w:rsidR="00000000" w:rsidDel="00000000" w:rsidP="00000000" w:rsidRDefault="00000000" w:rsidRPr="00000000" w14:paraId="000000C5">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vAlign w:val="center"/>
          </w:tcPr>
          <w:p w:rsidR="00000000" w:rsidDel="00000000" w:rsidP="00000000" w:rsidRDefault="00000000" w:rsidRPr="00000000" w14:paraId="000000C6">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Survey of Existing System </w:t>
            </w:r>
          </w:p>
        </w:tc>
        <w:tc>
          <w:tcPr>
            <w:vAlign w:val="center"/>
          </w:tcPr>
          <w:p w:rsidR="00000000" w:rsidDel="00000000" w:rsidP="00000000" w:rsidRDefault="00000000" w:rsidRPr="00000000" w14:paraId="000000C7">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w:t>
            </w:r>
          </w:p>
        </w:tc>
      </w:tr>
      <w:tr>
        <w:trPr>
          <w:cantSplit w:val="0"/>
          <w:tblHeader w:val="0"/>
        </w:trPr>
        <w:tc>
          <w:tcPr>
            <w:vAlign w:val="center"/>
          </w:tcPr>
          <w:p w:rsidR="00000000" w:rsidDel="00000000" w:rsidP="00000000" w:rsidRDefault="00000000" w:rsidRPr="00000000" w14:paraId="000000C8">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vAlign w:val="center"/>
          </w:tcPr>
          <w:p w:rsidR="00000000" w:rsidDel="00000000" w:rsidP="00000000" w:rsidRDefault="00000000" w:rsidRPr="00000000" w14:paraId="000000C9">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Limitation Existing system or research gap </w:t>
            </w:r>
          </w:p>
        </w:tc>
        <w:tc>
          <w:tcPr>
            <w:vAlign w:val="center"/>
          </w:tcPr>
          <w:p w:rsidR="00000000" w:rsidDel="00000000" w:rsidP="00000000" w:rsidRDefault="00000000" w:rsidRPr="00000000" w14:paraId="000000CA">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w:t>
            </w:r>
          </w:p>
        </w:tc>
      </w:tr>
      <w:tr>
        <w:trPr>
          <w:cantSplit w:val="0"/>
          <w:tblHeader w:val="0"/>
        </w:trPr>
        <w:tc>
          <w:tcPr>
            <w:vAlign w:val="center"/>
          </w:tcPr>
          <w:p w:rsidR="00000000" w:rsidDel="00000000" w:rsidP="00000000" w:rsidRDefault="00000000" w:rsidRPr="00000000" w14:paraId="000000CB">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vAlign w:val="center"/>
          </w:tcPr>
          <w:p w:rsidR="00000000" w:rsidDel="00000000" w:rsidP="00000000" w:rsidRDefault="00000000" w:rsidRPr="00000000" w14:paraId="000000CC">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 Project Contribution  </w:t>
            </w:r>
          </w:p>
        </w:tc>
        <w:tc>
          <w:tcPr>
            <w:vAlign w:val="center"/>
          </w:tcPr>
          <w:p w:rsidR="00000000" w:rsidDel="00000000" w:rsidP="00000000" w:rsidRDefault="00000000" w:rsidRPr="00000000" w14:paraId="000000CD">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w:t>
            </w:r>
          </w:p>
        </w:tc>
      </w:tr>
      <w:tr>
        <w:trPr>
          <w:cantSplit w:val="0"/>
          <w:tblHeader w:val="0"/>
        </w:trPr>
        <w:tc>
          <w:tcPr>
            <w:vAlign w:val="center"/>
          </w:tcPr>
          <w:p w:rsidR="00000000" w:rsidDel="00000000" w:rsidP="00000000" w:rsidRDefault="00000000" w:rsidRPr="00000000" w14:paraId="000000CE">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vAlign w:val="center"/>
          </w:tcPr>
          <w:p w:rsidR="00000000" w:rsidDel="00000000" w:rsidP="00000000" w:rsidRDefault="00000000" w:rsidRPr="00000000" w14:paraId="000000CF">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Proposed System </w:t>
            </w:r>
            <w:r w:rsidDel="00000000" w:rsidR="00000000" w:rsidRPr="00000000">
              <w:rPr>
                <w:rtl w:val="0"/>
              </w:rPr>
            </w:r>
          </w:p>
        </w:tc>
        <w:tc>
          <w:tcPr>
            <w:vAlign w:val="center"/>
          </w:tcPr>
          <w:p w:rsidR="00000000" w:rsidDel="00000000" w:rsidP="00000000" w:rsidRDefault="00000000" w:rsidRPr="00000000" w14:paraId="000000D0">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14</w:t>
            </w:r>
          </w:p>
        </w:tc>
      </w:tr>
      <w:tr>
        <w:trPr>
          <w:cantSplit w:val="0"/>
          <w:tblHeader w:val="0"/>
        </w:trPr>
        <w:tc>
          <w:tcPr>
            <w:vAlign w:val="center"/>
          </w:tcPr>
          <w:p w:rsidR="00000000" w:rsidDel="00000000" w:rsidP="00000000" w:rsidRDefault="00000000" w:rsidRPr="00000000" w14:paraId="000000D1">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vAlign w:val="center"/>
          </w:tcPr>
          <w:p w:rsidR="00000000" w:rsidDel="00000000" w:rsidP="00000000" w:rsidRDefault="00000000" w:rsidRPr="00000000" w14:paraId="000000D2">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Architecture/ Framework  </w:t>
            </w:r>
          </w:p>
        </w:tc>
        <w:tc>
          <w:tcPr>
            <w:vAlign w:val="center"/>
          </w:tcPr>
          <w:p w:rsidR="00000000" w:rsidDel="00000000" w:rsidP="00000000" w:rsidRDefault="00000000" w:rsidRPr="00000000" w14:paraId="000000D3">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14</w:t>
            </w:r>
          </w:p>
        </w:tc>
      </w:tr>
      <w:tr>
        <w:trPr>
          <w:cantSplit w:val="0"/>
          <w:tblHeader w:val="0"/>
        </w:trPr>
        <w:tc>
          <w:tcPr>
            <w:vAlign w:val="center"/>
          </w:tcPr>
          <w:p w:rsidR="00000000" w:rsidDel="00000000" w:rsidP="00000000" w:rsidRDefault="00000000" w:rsidRPr="00000000" w14:paraId="000000D4">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vAlign w:val="center"/>
          </w:tcPr>
          <w:p w:rsidR="00000000" w:rsidDel="00000000" w:rsidP="00000000" w:rsidRDefault="00000000" w:rsidRPr="00000000" w14:paraId="000000D5">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Algorithm and Process Design </w:t>
            </w:r>
          </w:p>
        </w:tc>
        <w:tc>
          <w:tcPr>
            <w:vAlign w:val="center"/>
          </w:tcPr>
          <w:p w:rsidR="00000000" w:rsidDel="00000000" w:rsidP="00000000" w:rsidRDefault="00000000" w:rsidRPr="00000000" w14:paraId="000000D6">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15</w:t>
            </w:r>
          </w:p>
        </w:tc>
      </w:tr>
      <w:tr>
        <w:trPr>
          <w:cantSplit w:val="0"/>
          <w:tblHeader w:val="0"/>
        </w:trPr>
        <w:tc>
          <w:tcPr>
            <w:vAlign w:val="center"/>
          </w:tcPr>
          <w:p w:rsidR="00000000" w:rsidDel="00000000" w:rsidP="00000000" w:rsidRDefault="00000000" w:rsidRPr="00000000" w14:paraId="000000D7">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vAlign w:val="center"/>
          </w:tcPr>
          <w:p w:rsidR="00000000" w:rsidDel="00000000" w:rsidP="00000000" w:rsidRDefault="00000000" w:rsidRPr="00000000" w14:paraId="000000D8">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Details of Hardware &amp; Software </w:t>
            </w:r>
          </w:p>
        </w:tc>
        <w:tc>
          <w:tcPr>
            <w:vAlign w:val="center"/>
          </w:tcPr>
          <w:p w:rsidR="00000000" w:rsidDel="00000000" w:rsidP="00000000" w:rsidRDefault="00000000" w:rsidRPr="00000000" w14:paraId="000000D9">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w:t>
            </w:r>
          </w:p>
        </w:tc>
      </w:tr>
      <w:tr>
        <w:trPr>
          <w:cantSplit w:val="0"/>
          <w:tblHeader w:val="0"/>
        </w:trPr>
        <w:tc>
          <w:tcPr>
            <w:vAlign w:val="center"/>
          </w:tcPr>
          <w:p w:rsidR="00000000" w:rsidDel="00000000" w:rsidP="00000000" w:rsidRDefault="00000000" w:rsidRPr="00000000" w14:paraId="000000DA">
            <w:pPr>
              <w:spacing w:after="120" w:before="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vAlign w:val="center"/>
          </w:tcPr>
          <w:p w:rsidR="00000000" w:rsidDel="00000000" w:rsidP="00000000" w:rsidRDefault="00000000" w:rsidRPr="00000000" w14:paraId="000000DB">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PERT / GANTT / CPM Charts</w:t>
            </w:r>
          </w:p>
        </w:tc>
        <w:tc>
          <w:tcPr>
            <w:vAlign w:val="center"/>
          </w:tcPr>
          <w:p w:rsidR="00000000" w:rsidDel="00000000" w:rsidP="00000000" w:rsidRDefault="00000000" w:rsidRPr="00000000" w14:paraId="000000DC">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w:t>
            </w:r>
          </w:p>
        </w:tc>
      </w:tr>
      <w:tr>
        <w:trPr>
          <w:cantSplit w:val="0"/>
          <w:tblHeader w:val="0"/>
        </w:trPr>
        <w:tc>
          <w:tcPr>
            <w:vAlign w:val="center"/>
          </w:tcPr>
          <w:p w:rsidR="00000000" w:rsidDel="00000000" w:rsidP="00000000" w:rsidRDefault="00000000" w:rsidRPr="00000000" w14:paraId="000000DD">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vAlign w:val="center"/>
          </w:tcPr>
          <w:p w:rsidR="00000000" w:rsidDel="00000000" w:rsidP="00000000" w:rsidRDefault="00000000" w:rsidRPr="00000000" w14:paraId="000000DE">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and Discussions</w:t>
            </w:r>
          </w:p>
        </w:tc>
        <w:tc>
          <w:tcPr>
            <w:vAlign w:val="center"/>
          </w:tcPr>
          <w:p w:rsidR="00000000" w:rsidDel="00000000" w:rsidP="00000000" w:rsidRDefault="00000000" w:rsidRPr="00000000" w14:paraId="000000DF">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w:t>
            </w:r>
          </w:p>
        </w:tc>
      </w:tr>
      <w:tr>
        <w:trPr>
          <w:cantSplit w:val="0"/>
          <w:tblHeader w:val="0"/>
        </w:trPr>
        <w:tc>
          <w:tcPr>
            <w:vAlign w:val="center"/>
          </w:tcPr>
          <w:p w:rsidR="00000000" w:rsidDel="00000000" w:rsidP="00000000" w:rsidRDefault="00000000" w:rsidRPr="00000000" w14:paraId="000000E0">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vAlign w:val="center"/>
          </w:tcPr>
          <w:p w:rsidR="00000000" w:rsidDel="00000000" w:rsidP="00000000" w:rsidRDefault="00000000" w:rsidRPr="00000000" w14:paraId="000000E1">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Future Scope</w:t>
            </w:r>
          </w:p>
        </w:tc>
        <w:tc>
          <w:tcPr>
            <w:vAlign w:val="center"/>
          </w:tcPr>
          <w:p w:rsidR="00000000" w:rsidDel="00000000" w:rsidP="00000000" w:rsidRDefault="00000000" w:rsidRPr="00000000" w14:paraId="000000E2">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21</w:t>
            </w:r>
          </w:p>
        </w:tc>
      </w:tr>
      <w:tr>
        <w:trPr>
          <w:cantSplit w:val="0"/>
          <w:tblHeader w:val="0"/>
        </w:trPr>
        <w:tc>
          <w:tcPr>
            <w:vAlign w:val="center"/>
          </w:tcPr>
          <w:p w:rsidR="00000000" w:rsidDel="00000000" w:rsidP="00000000" w:rsidRDefault="00000000" w:rsidRPr="00000000" w14:paraId="000000E3">
            <w:pPr>
              <w:spacing w:after="120" w:befor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vAlign w:val="center"/>
          </w:tcPr>
          <w:p w:rsidR="00000000" w:rsidDel="00000000" w:rsidP="00000000" w:rsidRDefault="00000000" w:rsidRPr="00000000" w14:paraId="000000E4">
            <w:pPr>
              <w:spacing w:after="120"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tc>
        <w:tc>
          <w:tcPr>
            <w:vAlign w:val="center"/>
          </w:tcPr>
          <w:p w:rsidR="00000000" w:rsidDel="00000000" w:rsidP="00000000" w:rsidRDefault="00000000" w:rsidRPr="00000000" w14:paraId="000000E5">
            <w:pPr>
              <w:spacing w:after="12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w:t>
            </w:r>
          </w:p>
        </w:tc>
      </w:tr>
    </w:tbl>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Outcomes:</w:t>
      </w:r>
    </w:p>
    <w:tbl>
      <w:tblPr>
        <w:tblStyle w:val="Table5"/>
        <w:tblW w:w="890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9"/>
        <w:gridCol w:w="5766"/>
        <w:gridCol w:w="2206"/>
        <w:tblGridChange w:id="0">
          <w:tblGrid>
            <w:gridCol w:w="929"/>
            <w:gridCol w:w="5766"/>
            <w:gridCol w:w="2206"/>
          </w:tblGrid>
        </w:tblGridChange>
      </w:tblGrid>
      <w:tr>
        <w:trPr>
          <w:cantSplit w:val="0"/>
          <w:trHeight w:val="460" w:hRule="atLeast"/>
          <w:tblHeader w:val="0"/>
        </w:trPr>
        <w:tc>
          <w:tcPr>
            <w:vAlign w:val="center"/>
          </w:tcPr>
          <w:p w:rsidR="00000000" w:rsidDel="00000000" w:rsidP="00000000" w:rsidRDefault="00000000" w:rsidRPr="00000000" w14:paraId="000000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vAlign w:val="center"/>
          </w:tcPr>
          <w:p w:rsidR="00000000" w:rsidDel="00000000" w:rsidP="00000000" w:rsidRDefault="00000000" w:rsidRPr="00000000" w14:paraId="000000E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Outcomes</w:t>
            </w:r>
          </w:p>
        </w:tc>
        <w:tc>
          <w:tcPr>
            <w:vAlign w:val="center"/>
          </w:tcPr>
          <w:p w:rsidR="00000000" w:rsidDel="00000000" w:rsidP="00000000" w:rsidRDefault="00000000" w:rsidRPr="00000000" w14:paraId="000000E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w:t>
            </w:r>
          </w:p>
        </w:tc>
      </w:tr>
      <w:tr>
        <w:trPr>
          <w:cantSplit w:val="0"/>
          <w:trHeight w:val="359" w:hRule="atLeast"/>
          <w:tblHeader w:val="0"/>
        </w:trPr>
        <w:tc>
          <w:tcPr>
            <w:gridSpan w:val="3"/>
            <w:vAlign w:val="cente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successful completion, of course, learner/student will be able to:</w:t>
            </w:r>
          </w:p>
        </w:tc>
      </w:tr>
      <w:tr>
        <w:trPr>
          <w:cantSplit w:val="0"/>
          <w:trHeight w:val="353" w:hRule="atLeast"/>
          <w:tblHeader w:val="0"/>
        </w:trPr>
        <w:tc>
          <w:tcPr>
            <w:vAlign w:val="cente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analyze problems based on societal and research needs, and evaluate the impact of solutions in societal and environmental contexts for sustainable development.</w:t>
            </w:r>
          </w:p>
        </w:tc>
        <w:tc>
          <w:tcPr>
            <w:vAlign w:val="cente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L2,L4,L5</w:t>
            </w:r>
          </w:p>
        </w:tc>
      </w:tr>
      <w:tr>
        <w:trPr>
          <w:cantSplit w:val="0"/>
          <w:tblHeader w:val="0"/>
        </w:trPr>
        <w:tc>
          <w:tcPr>
            <w:vAlign w:val="center"/>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knowledge, skills, and standard engineering practices to develop effective solutions to real-world problems.</w:t>
            </w:r>
          </w:p>
        </w:tc>
        <w:tc>
          <w:tcPr>
            <w:vAlign w:val="center"/>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L3,L6</w:t>
            </w:r>
          </w:p>
        </w:tc>
      </w:tr>
      <w:tr>
        <w:trPr>
          <w:cantSplit w:val="0"/>
          <w:trHeight w:val="383" w:hRule="atLeast"/>
          <w:tblHeader w:val="0"/>
        </w:trPr>
        <w:tc>
          <w:tcPr>
            <w:vAlign w:val="center"/>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interpersonal and teamwork skills, and function effectively as a team member or leader in group activities.</w:t>
            </w:r>
          </w:p>
        </w:tc>
        <w:tc>
          <w:tcP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L2,L3</w:t>
            </w:r>
          </w:p>
        </w:tc>
      </w:tr>
      <w:tr>
        <w:trPr>
          <w:cantSplit w:val="0"/>
          <w:tblHeader w:val="0"/>
        </w:trPr>
        <w:tc>
          <w:tcPr>
            <w:vAlign w:val="center"/>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meaningful inferences from theoretical, experimental, or simulation-based results.</w:t>
            </w:r>
          </w:p>
        </w:tc>
        <w:tc>
          <w:tcPr>
            <w:vAlign w:val="center"/>
          </w:tcPr>
          <w:p w:rsidR="00000000" w:rsidDel="00000000" w:rsidP="00000000" w:rsidRDefault="00000000" w:rsidRPr="00000000" w14:paraId="000000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blHeader w:val="0"/>
        </w:trPr>
        <w:tc>
          <w:tcPr>
            <w:vAlign w:val="cente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effective written and oral communication skills in presenting ideas and project outcomes.</w:t>
            </w:r>
          </w:p>
        </w:tc>
        <w:tc>
          <w:tcPr>
            <w:vAlign w:val="cente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L1,L2,L3</w:t>
            </w:r>
          </w:p>
        </w:tc>
      </w:tr>
      <w:tr>
        <w:trPr>
          <w:cantSplit w:val="0"/>
          <w:tblHeader w:val="0"/>
        </w:trPr>
        <w:tc>
          <w:tcPr>
            <w:vAlign w:val="center"/>
          </w:tcPr>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self-learning abilities and apply project management principles, promoting continuous and lifelong learning.</w:t>
            </w:r>
          </w:p>
        </w:tc>
        <w:tc>
          <w:tcPr>
            <w:vAlign w:val="cente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L2,L3,L6</w:t>
            </w:r>
          </w:p>
        </w:tc>
      </w:tr>
    </w:tbl>
    <w:p w:rsidR="00000000" w:rsidDel="00000000" w:rsidP="00000000" w:rsidRDefault="00000000" w:rsidRPr="00000000" w14:paraId="00000102">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Levels:</w:t>
      </w:r>
    </w:p>
    <w:p w:rsidR="00000000" w:rsidDel="00000000" w:rsidP="00000000" w:rsidRDefault="00000000" w:rsidRPr="00000000" w14:paraId="000001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 Remembering, 2= Understanding, 3 = Applying, 4 = Analyzing, 5 = Evaluating, 6 =    Creating</w:t>
      </w:r>
    </w:p>
    <w:p w:rsidR="00000000" w:rsidDel="00000000" w:rsidP="00000000" w:rsidRDefault="00000000" w:rsidRPr="00000000" w14:paraId="00000104">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LO-PO-PSO MAPPING:</w:t>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0" w:before="10" w:line="240" w:lineRule="auto"/>
        <w:rPr>
          <w:rFonts w:ascii="Times New Roman" w:cs="Times New Roman" w:eastAsia="Times New Roman" w:hAnsi="Times New Roman"/>
          <w:b w:val="1"/>
          <w:bCs w:val="1"/>
          <w:color w:val="000000"/>
          <w:sz w:val="10"/>
          <w:szCs w:val="10"/>
        </w:rPr>
      </w:pPr>
      <w:r w:rsidDel="00000000" w:rsidR="00000000" w:rsidRPr="00000000">
        <w:rPr>
          <w:rtl w:val="0"/>
        </w:rPr>
      </w:r>
    </w:p>
    <w:tbl>
      <w:tblPr>
        <w:tblStyle w:val="Table6"/>
        <w:tblW w:w="8460.0" w:type="dxa"/>
        <w:jc w:val="left"/>
        <w:tblInd w:w="349.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640"/>
        <w:gridCol w:w="560"/>
        <w:gridCol w:w="540"/>
        <w:gridCol w:w="560"/>
        <w:gridCol w:w="580"/>
        <w:gridCol w:w="600"/>
        <w:gridCol w:w="540"/>
        <w:gridCol w:w="580"/>
        <w:gridCol w:w="560"/>
        <w:gridCol w:w="580"/>
        <w:gridCol w:w="680"/>
        <w:gridCol w:w="620"/>
        <w:gridCol w:w="740"/>
        <w:gridCol w:w="680"/>
        <w:tblGridChange w:id="0">
          <w:tblGrid>
            <w:gridCol w:w="640"/>
            <w:gridCol w:w="560"/>
            <w:gridCol w:w="540"/>
            <w:gridCol w:w="560"/>
            <w:gridCol w:w="580"/>
            <w:gridCol w:w="600"/>
            <w:gridCol w:w="540"/>
            <w:gridCol w:w="580"/>
            <w:gridCol w:w="560"/>
            <w:gridCol w:w="580"/>
            <w:gridCol w:w="680"/>
            <w:gridCol w:w="620"/>
            <w:gridCol w:w="740"/>
            <w:gridCol w:w="680"/>
          </w:tblGrid>
        </w:tblGridChange>
      </w:tblGrid>
      <w:tr>
        <w:trPr>
          <w:cantSplit w:val="0"/>
          <w:trHeight w:val="429" w:hRule="atLeast"/>
          <w:tblHeader w:val="0"/>
        </w:trPr>
        <w:tc>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0" w:before="114" w:line="240" w:lineRule="auto"/>
              <w:ind w:left="12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PO1</w:t>
            </w:r>
          </w:p>
        </w:tc>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before="114" w:line="240" w:lineRule="auto"/>
              <w:ind w:left="12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PO2</w:t>
            </w:r>
          </w:p>
        </w:tc>
        <w:tc>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0" w:before="114" w:line="240" w:lineRule="auto"/>
              <w:ind w:left="13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PO3</w:t>
            </w:r>
          </w:p>
        </w:tc>
        <w:tc>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after="0" w:before="114" w:line="240" w:lineRule="auto"/>
              <w:ind w:left="13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PO4</w:t>
            </w:r>
          </w:p>
        </w:tc>
        <w:tc>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0" w:before="114" w:line="240" w:lineRule="auto"/>
              <w:ind w:left="12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PO5</w:t>
            </w:r>
          </w:p>
        </w:tc>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before="114" w:line="240" w:lineRule="auto"/>
              <w:ind w:left="12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PO6</w:t>
            </w:r>
          </w:p>
        </w:tc>
        <w:tc>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after="0" w:before="114" w:line="240" w:lineRule="auto"/>
              <w:ind w:left="13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PO7</w:t>
            </w:r>
          </w:p>
        </w:tc>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0" w:before="114" w:line="240" w:lineRule="auto"/>
              <w:ind w:left="12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PO8</w:t>
            </w:r>
          </w:p>
        </w:tc>
        <w:tc>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after="0" w:before="114" w:line="240" w:lineRule="auto"/>
              <w:ind w:left="13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PO9</w:t>
            </w:r>
          </w:p>
        </w:tc>
        <w:tc>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0" w:before="114" w:line="240" w:lineRule="auto"/>
              <w:ind w:left="12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PO10</w:t>
            </w:r>
          </w:p>
        </w:tc>
        <w:tc>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0" w:before="114" w:line="240" w:lineRule="auto"/>
              <w:ind w:left="123"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PO11</w:t>
            </w:r>
          </w:p>
        </w:tc>
        <w:tc>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0" w:before="103" w:line="240" w:lineRule="auto"/>
              <w:ind w:left="12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PSO1</w:t>
            </w:r>
          </w:p>
        </w:tc>
        <w:tc>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after="0" w:before="103" w:line="240" w:lineRule="auto"/>
              <w:ind w:left="12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PSO2</w:t>
            </w:r>
          </w:p>
        </w:tc>
      </w:tr>
      <w:tr>
        <w:trPr>
          <w:cantSplit w:val="0"/>
          <w:trHeight w:val="429" w:hRule="atLeast"/>
          <w:tblHeader w:val="0"/>
        </w:trPr>
        <w:tc>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after="0" w:before="95" w:line="240" w:lineRule="auto"/>
              <w:ind w:right="102"/>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LO1</w:t>
            </w:r>
          </w:p>
        </w:tc>
        <w:tc>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after="0" w:line="256" w:lineRule="auto"/>
              <w:ind w:left="1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after="0" w:before="98" w:line="240" w:lineRule="auto"/>
              <w:ind w:right="102"/>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LO2</w:t>
            </w:r>
          </w:p>
        </w:tc>
        <w:tc>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before="108" w:line="240" w:lineRule="auto"/>
              <w:ind w:right="102"/>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LO3</w:t>
            </w:r>
          </w:p>
        </w:tc>
        <w:tc>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0" w:line="258" w:lineRule="auto"/>
              <w:ind w:left="1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after="0" w:line="258" w:lineRule="auto"/>
              <w:ind w:left="1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after="0" w:line="258"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0" w:line="258"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0" w:before="95" w:line="240" w:lineRule="auto"/>
              <w:ind w:right="102"/>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LO4</w:t>
            </w:r>
          </w:p>
        </w:tc>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256" w:lineRule="auto"/>
              <w:ind w:left="1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line="256" w:lineRule="auto"/>
              <w:ind w:left="1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after="0" w:line="256" w:lineRule="auto"/>
              <w:ind w:left="107"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0" w:before="98" w:line="240" w:lineRule="auto"/>
              <w:ind w:right="102"/>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LO5</w:t>
            </w:r>
          </w:p>
        </w:tc>
        <w:tc>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before="103" w:line="240" w:lineRule="auto"/>
              <w:ind w:right="102"/>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LO6</w:t>
            </w:r>
          </w:p>
        </w:tc>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bl>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topic: PO/PSO Mapping</w:t>
      </w:r>
      <w:r w:rsidDel="00000000" w:rsidR="00000000" w:rsidRPr="00000000">
        <w:rPr>
          <w:rtl w:val="0"/>
        </w:rPr>
      </w:r>
    </w:p>
    <w:tbl>
      <w:tblPr>
        <w:tblStyle w:val="Table7"/>
        <w:tblW w:w="8652.0" w:type="dxa"/>
        <w:jc w:val="left"/>
        <w:tblInd w:w="157.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851"/>
        <w:gridCol w:w="567"/>
        <w:gridCol w:w="514"/>
        <w:gridCol w:w="560"/>
        <w:gridCol w:w="580"/>
        <w:gridCol w:w="600"/>
        <w:gridCol w:w="540"/>
        <w:gridCol w:w="580"/>
        <w:gridCol w:w="560"/>
        <w:gridCol w:w="580"/>
        <w:gridCol w:w="680"/>
        <w:gridCol w:w="620"/>
        <w:gridCol w:w="740"/>
        <w:gridCol w:w="680"/>
        <w:tblGridChange w:id="0">
          <w:tblGrid>
            <w:gridCol w:w="851"/>
            <w:gridCol w:w="567"/>
            <w:gridCol w:w="514"/>
            <w:gridCol w:w="560"/>
            <w:gridCol w:w="580"/>
            <w:gridCol w:w="600"/>
            <w:gridCol w:w="540"/>
            <w:gridCol w:w="580"/>
            <w:gridCol w:w="560"/>
            <w:gridCol w:w="580"/>
            <w:gridCol w:w="680"/>
            <w:gridCol w:w="620"/>
            <w:gridCol w:w="740"/>
            <w:gridCol w:w="680"/>
          </w:tblGrid>
        </w:tblGridChange>
      </w:tblGrid>
      <w:tr>
        <w:trPr>
          <w:cantSplit w:val="0"/>
          <w:trHeight w:val="429" w:hRule="atLeast"/>
          <w:tblHeader w:val="0"/>
        </w:trPr>
        <w:tc>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after="0" w:before="114" w:line="240" w:lineRule="auto"/>
              <w:ind w:left="12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PO1</w:t>
            </w:r>
          </w:p>
        </w:tc>
        <w:tc>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0" w:before="114" w:line="240" w:lineRule="auto"/>
              <w:ind w:left="12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PO2</w:t>
            </w:r>
          </w:p>
        </w:tc>
        <w:tc>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0" w:before="114" w:line="240" w:lineRule="auto"/>
              <w:ind w:left="13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PO3</w:t>
            </w:r>
          </w:p>
        </w:tc>
        <w:tc>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spacing w:after="0" w:before="114" w:line="240" w:lineRule="auto"/>
              <w:ind w:left="13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PO4</w:t>
            </w:r>
          </w:p>
        </w:tc>
        <w:tc>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spacing w:after="0" w:before="114" w:line="240" w:lineRule="auto"/>
              <w:ind w:left="12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PO5</w:t>
            </w:r>
          </w:p>
        </w:tc>
        <w:tc>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after="0" w:before="114" w:line="240" w:lineRule="auto"/>
              <w:ind w:left="124"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PO6</w:t>
            </w:r>
          </w:p>
        </w:tc>
        <w:tc>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after="0" w:before="114" w:line="240" w:lineRule="auto"/>
              <w:ind w:left="13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PO7</w:t>
            </w:r>
          </w:p>
        </w:tc>
        <w:tc>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after="0" w:before="114" w:line="240" w:lineRule="auto"/>
              <w:ind w:left="12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PO8</w:t>
            </w:r>
          </w:p>
        </w:tc>
        <w:tc>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after="0" w:before="114" w:line="240" w:lineRule="auto"/>
              <w:ind w:left="13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PO9</w:t>
            </w:r>
          </w:p>
        </w:tc>
        <w:tc>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after="0" w:before="114" w:line="240" w:lineRule="auto"/>
              <w:ind w:left="129"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PO10</w:t>
            </w:r>
          </w:p>
        </w:tc>
        <w:tc>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after="0" w:before="114" w:line="240" w:lineRule="auto"/>
              <w:ind w:left="123"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PO11</w:t>
            </w:r>
          </w:p>
        </w:tc>
        <w:tc>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before="103" w:line="240" w:lineRule="auto"/>
              <w:ind w:left="12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PSO1</w:t>
            </w:r>
          </w:p>
        </w:tc>
        <w:tc>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0" w:before="103" w:line="240" w:lineRule="auto"/>
              <w:ind w:left="123"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PSO2</w:t>
            </w:r>
          </w:p>
        </w:tc>
      </w:tr>
      <w:tr>
        <w:trPr>
          <w:cantSplit w:val="0"/>
          <w:trHeight w:val="429" w:hRule="atLeast"/>
          <w:tblHeader w:val="0"/>
        </w:trPr>
        <w:tc>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0" w:before="95" w:line="240" w:lineRule="auto"/>
              <w:ind w:right="102"/>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Project Topic</w:t>
            </w:r>
          </w:p>
        </w:tc>
        <w:tc>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256" w:lineRule="auto"/>
              <w:ind w:left="107"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256" w:lineRule="auto"/>
              <w:ind w:left="108"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256" w:lineRule="auto"/>
              <w:ind w:left="109" w:firstLine="0"/>
              <w:jc w:val="center"/>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8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spacing w:after="0" w:lineRule="auto"/>
        <w:ind w:left="11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189">
      <w:pPr>
        <w:spacing w:after="0" w:lineRule="auto"/>
        <w:ind w:left="11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18A">
      <w:pPr>
        <w:spacing w:after="0" w:lineRule="auto"/>
        <w:ind w:left="11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31"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18C">
      <w:pPr>
        <w:spacing w:after="0" w:line="360" w:lineRule="auto"/>
        <w:ind w:left="11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Spoly is an end-to-end meeting recording and AI transcription platform. It integrates a custom browser extension to capture tab audio seamlessly alongside a robust web application for managing the extracted knowledge. By leveraging large language models, Spoly converts raw audio and YouTube video references into structured textual notes, visual Mermaid diagrams, and interactive flashcards</w:t>
      </w:r>
      <w:r w:rsidDel="00000000" w:rsidR="00000000" w:rsidRPr="00000000">
        <w:rPr>
          <w:rtl w:val="0"/>
        </w:rPr>
      </w:r>
    </w:p>
    <w:p w:rsidR="00000000" w:rsidDel="00000000" w:rsidP="00000000" w:rsidRDefault="00000000" w:rsidRPr="00000000" w14:paraId="0000018D">
      <w:pPr>
        <w:spacing w:after="0" w:lineRule="auto"/>
        <w:ind w:left="11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31"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Motivation:</w:t>
      </w:r>
    </w:p>
    <w:p w:rsidR="00000000" w:rsidDel="00000000" w:rsidP="00000000" w:rsidRDefault="00000000" w:rsidRPr="00000000" w14:paraId="0000018F">
      <w:pPr>
        <w:spacing w:after="0" w:line="360" w:lineRule="auto"/>
        <w:ind w:left="11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transition to digital workspaces has led to an overwhelming amount of audio-visual information. Individuals frequently struggle to focus on discussions while simultaneously trying to jot down comprehensive notes. Creating a tool that passively listens and actively synthesizes this data into easily digestible formats—like structured text and diagrams—allows users to remain present in their meetings and lectures.</w:t>
      </w:r>
      <w:r w:rsidDel="00000000" w:rsidR="00000000" w:rsidRPr="00000000">
        <w:rPr>
          <w:rtl w:val="0"/>
        </w:rPr>
      </w:r>
    </w:p>
    <w:p w:rsidR="00000000" w:rsidDel="00000000" w:rsidP="00000000" w:rsidRDefault="00000000" w:rsidRPr="00000000" w14:paraId="00000190">
      <w:pPr>
        <w:spacing w:after="0" w:lineRule="auto"/>
        <w:ind w:left="11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31"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Problem Statement:</w:t>
      </w:r>
    </w:p>
    <w:p w:rsidR="00000000" w:rsidDel="00000000" w:rsidP="00000000" w:rsidRDefault="00000000" w:rsidRPr="00000000" w14:paraId="00000192">
      <w:pPr>
        <w:spacing w:after="0" w:line="360" w:lineRule="auto"/>
        <w:ind w:left="111"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design and develop an automated system consisting of a browser extension and a full-stack web application capable of capturing tab audio, processing it through speech-to-text algorithms, and utilizing AI to generate structured notes, summaries, and visual diagrams, thereby eliminating the inefficiencies of manual note-taking.</w:t>
      </w:r>
      <w:r w:rsidDel="00000000" w:rsidR="00000000" w:rsidRPr="00000000">
        <w:rPr>
          <w:rtl w:val="0"/>
        </w:rPr>
      </w:r>
    </w:p>
    <w:p w:rsidR="00000000" w:rsidDel="00000000" w:rsidP="00000000" w:rsidRDefault="00000000" w:rsidRPr="00000000" w14:paraId="00000193">
      <w:pPr>
        <w:spacing w:after="0" w:lineRule="auto"/>
        <w:ind w:left="11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spacing w:after="0" w:lineRule="auto"/>
        <w:ind w:left="11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Objectives:</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420" w:right="0" w:hanging="4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Manifest V3 Chrome Extension capable of capturing active tab audio and tracking recording states.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highly concurrent FastAPI backend with MongoDB integration to process audio files, manage users via Clerk webhooks, and interface with AI models.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 interactive React frontend utilizing Tailwind CSS and Redux Toolkit that allows users to view generated transcripts, render Mermaid diagrams, and export notes as PDFs.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420" w:right="0" w:hanging="4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template system allowing users to pass custom system prompts for personalized note generation formats.</w:t>
      </w:r>
      <w:r w:rsidDel="00000000" w:rsidR="00000000" w:rsidRPr="00000000">
        <w:rPr>
          <w:rtl w:val="0"/>
        </w:rPr>
      </w:r>
    </w:p>
    <w:p w:rsidR="00000000" w:rsidDel="00000000" w:rsidP="00000000" w:rsidRDefault="00000000" w:rsidRPr="00000000" w14:paraId="00000199">
      <w:pPr>
        <w:pStyle w:val="Heading3"/>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Literature Survey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Survey of Existing System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tbl>
      <w:tblPr>
        <w:tblStyle w:val="Table8"/>
        <w:tblW w:w="9348.0" w:type="dxa"/>
        <w:jc w:val="left"/>
        <w:tblLayout w:type="fixed"/>
        <w:tblLook w:val="0400"/>
      </w:tblPr>
      <w:tblGrid>
        <w:gridCol w:w="428"/>
        <w:gridCol w:w="1733"/>
        <w:gridCol w:w="1927"/>
        <w:gridCol w:w="1934"/>
        <w:gridCol w:w="1914"/>
        <w:gridCol w:w="1412"/>
        <w:tblGridChange w:id="0">
          <w:tblGrid>
            <w:gridCol w:w="428"/>
            <w:gridCol w:w="1733"/>
            <w:gridCol w:w="1927"/>
            <w:gridCol w:w="1934"/>
            <w:gridCol w:w="1914"/>
            <w:gridCol w:w="1412"/>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19B">
            <w:pPr>
              <w:spacing w:after="0" w:line="240" w:lineRule="auto"/>
              <w:rPr>
                <w:rFonts w:ascii="Roboto" w:cs="Roboto" w:eastAsia="Roboto" w:hAnsi="Roboto"/>
                <w:color w:val="ffffff"/>
                <w:sz w:val="14"/>
                <w:szCs w:val="14"/>
              </w:rPr>
            </w:pPr>
            <w:r w:rsidDel="00000000" w:rsidR="00000000" w:rsidRPr="00000000">
              <w:rPr>
                <w:rFonts w:ascii="Roboto" w:cs="Roboto" w:eastAsia="Roboto" w:hAnsi="Roboto"/>
                <w:color w:val="ffffff"/>
                <w:sz w:val="14"/>
                <w:szCs w:val="14"/>
                <w:rtl w:val="0"/>
              </w:rPr>
              <w:t xml:space="preserve">Sr. No</w:t>
            </w:r>
          </w:p>
        </w:tc>
        <w:tc>
          <w:tcPr>
            <w:tcBorders>
              <w:top w:color="284e3f" w:space="0" w:sz="6" w:val="single"/>
              <w:left w:color="cccccc"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19C">
            <w:pPr>
              <w:spacing w:after="0" w:line="240" w:lineRule="auto"/>
              <w:rPr>
                <w:rFonts w:ascii="Roboto" w:cs="Roboto" w:eastAsia="Roboto" w:hAnsi="Roboto"/>
                <w:color w:val="ffffff"/>
                <w:sz w:val="14"/>
                <w:szCs w:val="14"/>
              </w:rPr>
            </w:pPr>
            <w:r w:rsidDel="00000000" w:rsidR="00000000" w:rsidRPr="00000000">
              <w:rPr>
                <w:rFonts w:ascii="Roboto" w:cs="Roboto" w:eastAsia="Roboto" w:hAnsi="Roboto"/>
                <w:color w:val="ffffff"/>
                <w:sz w:val="14"/>
                <w:szCs w:val="14"/>
                <w:rtl w:val="0"/>
              </w:rPr>
              <w:t xml:space="preserve">Paper Title &amp; Focus</w:t>
            </w:r>
          </w:p>
        </w:tc>
        <w:tc>
          <w:tcPr>
            <w:tcBorders>
              <w:top w:color="284e3f" w:space="0" w:sz="6" w:val="single"/>
              <w:left w:color="cccccc"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19D">
            <w:pPr>
              <w:spacing w:after="0" w:line="240" w:lineRule="auto"/>
              <w:rPr>
                <w:rFonts w:ascii="Roboto" w:cs="Roboto" w:eastAsia="Roboto" w:hAnsi="Roboto"/>
                <w:color w:val="ffffff"/>
                <w:sz w:val="14"/>
                <w:szCs w:val="14"/>
              </w:rPr>
            </w:pPr>
            <w:r w:rsidDel="00000000" w:rsidR="00000000" w:rsidRPr="00000000">
              <w:rPr>
                <w:rFonts w:ascii="Roboto" w:cs="Roboto" w:eastAsia="Roboto" w:hAnsi="Roboto"/>
                <w:color w:val="ffffff"/>
                <w:sz w:val="14"/>
                <w:szCs w:val="14"/>
                <w:rtl w:val="0"/>
              </w:rPr>
              <w:t xml:space="preserve">Existing System</w:t>
            </w:r>
          </w:p>
        </w:tc>
        <w:tc>
          <w:tcPr>
            <w:tcBorders>
              <w:top w:color="284e3f" w:space="0" w:sz="6" w:val="single"/>
              <w:left w:color="cccccc"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19E">
            <w:pPr>
              <w:spacing w:after="0" w:line="240" w:lineRule="auto"/>
              <w:rPr>
                <w:rFonts w:ascii="Roboto" w:cs="Roboto" w:eastAsia="Roboto" w:hAnsi="Roboto"/>
                <w:color w:val="ffffff"/>
                <w:sz w:val="14"/>
                <w:szCs w:val="14"/>
              </w:rPr>
            </w:pPr>
            <w:r w:rsidDel="00000000" w:rsidR="00000000" w:rsidRPr="00000000">
              <w:rPr>
                <w:rFonts w:ascii="Roboto" w:cs="Roboto" w:eastAsia="Roboto" w:hAnsi="Roboto"/>
                <w:color w:val="ffffff"/>
                <w:sz w:val="14"/>
                <w:szCs w:val="14"/>
                <w:rtl w:val="0"/>
              </w:rPr>
              <w:t xml:space="preserve">Limitations / Research Gap</w:t>
            </w:r>
          </w:p>
        </w:tc>
        <w:tc>
          <w:tcPr>
            <w:tcBorders>
              <w:top w:color="284e3f" w:space="0" w:sz="6" w:val="single"/>
              <w:left w:color="cccccc"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19F">
            <w:pPr>
              <w:spacing w:after="0" w:line="240" w:lineRule="auto"/>
              <w:rPr>
                <w:rFonts w:ascii="Roboto" w:cs="Roboto" w:eastAsia="Roboto" w:hAnsi="Roboto"/>
                <w:color w:val="ffffff"/>
                <w:sz w:val="14"/>
                <w:szCs w:val="14"/>
              </w:rPr>
            </w:pPr>
            <w:r w:rsidDel="00000000" w:rsidR="00000000" w:rsidRPr="00000000">
              <w:rPr>
                <w:rFonts w:ascii="Roboto" w:cs="Roboto" w:eastAsia="Roboto" w:hAnsi="Roboto"/>
                <w:color w:val="ffffff"/>
                <w:sz w:val="14"/>
                <w:szCs w:val="14"/>
                <w:rtl w:val="0"/>
              </w:rPr>
              <w:t xml:space="preserve">Proposed Methodology</w:t>
            </w:r>
          </w:p>
        </w:tc>
        <w:tc>
          <w:tcPr>
            <w:tcBorders>
              <w:top w:color="284e3f" w:space="0" w:sz="6" w:val="single"/>
              <w:left w:color="cccccc" w:space="0" w:sz="6" w:val="single"/>
              <w:bottom w:color="284e3f" w:space="0" w:sz="6" w:val="single"/>
              <w:right w:color="284e3f"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1A0">
            <w:pPr>
              <w:spacing w:after="0" w:line="240" w:lineRule="auto"/>
              <w:rPr>
                <w:rFonts w:ascii="Roboto" w:cs="Roboto" w:eastAsia="Roboto" w:hAnsi="Roboto"/>
                <w:color w:val="ffffff"/>
                <w:sz w:val="14"/>
                <w:szCs w:val="14"/>
              </w:rPr>
            </w:pPr>
            <w:r w:rsidDel="00000000" w:rsidR="00000000" w:rsidRPr="00000000">
              <w:rPr>
                <w:rFonts w:ascii="Roboto" w:cs="Roboto" w:eastAsia="Roboto" w:hAnsi="Roboto"/>
                <w:color w:val="ffffff"/>
                <w:sz w:val="14"/>
                <w:szCs w:val="14"/>
                <w:rtl w:val="0"/>
              </w:rPr>
              <w:t xml:space="preserve">Algorithms / Models Used</w:t>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1">
            <w:pPr>
              <w:spacing w:after="0" w:line="240" w:lineRule="auto"/>
              <w:jc w:val="right"/>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1</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2">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Leveraging Discourse Structure for Extractive Meeting Summarization (arXiv, 2024)</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3">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Traditional meeting summarization directly feeds lengthy, raw transcriptions from videoconferencing tools into standard Large Language Models (LLMs).</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4">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LLMs suffer from the "middle curse" (forgetting middle context). Raw spontaneous speech contains overlapping audio, disfluencies, and unstructured text, reducing summary accuracy.</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5">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Uses discourse graphs to represent semantic relations in meeting utterances. It filters the most salient information first, creating a concise summary before sending it to the LLM.</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6">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Graph Neural Networks (GNN) for node classification, Transformer-based LLMs.</w:t>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A7">
            <w:pPr>
              <w:spacing w:after="0" w:line="240" w:lineRule="auto"/>
              <w:jc w:val="right"/>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2</w:t>
            </w:r>
          </w:p>
        </w:tc>
        <w:tc>
          <w:tcPr>
            <w:tcBorders>
              <w:top w:color="cccccc" w:space="0" w:sz="6" w:val="single"/>
              <w:left w:color="cccccc" w:space="0" w:sz="6" w:val="single"/>
              <w:bottom w:color="d9d9d9"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A8">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Automatic Speech Recognition Post-Processing for Readability (IEEE, 2022)</w:t>
            </w:r>
          </w:p>
        </w:tc>
        <w:tc>
          <w:tcPr>
            <w:tcBorders>
              <w:top w:color="cccccc" w:space="0" w:sz="6" w:val="single"/>
              <w:left w:color="cccccc" w:space="0" w:sz="6" w:val="single"/>
              <w:bottom w:color="d9d9d9"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A9">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Standard Automatic Speech Recognition (ASR) pipelines generate raw Speech-to-Text outputs without punctuation or grammatical restructuring.</w:t>
            </w:r>
          </w:p>
        </w:tc>
        <w:tc>
          <w:tcPr>
            <w:tcBorders>
              <w:top w:color="cccccc" w:space="0" w:sz="6" w:val="single"/>
              <w:left w:color="cccccc" w:space="0" w:sz="6" w:val="single"/>
              <w:bottom w:color="d9d9d9"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AA">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Spontaneous conversational speech is riddled with errors and disfluencies, making raw ASR outputs highly unreadable for professional meeting minutes.</w:t>
            </w:r>
          </w:p>
        </w:tc>
        <w:tc>
          <w:tcPr>
            <w:tcBorders>
              <w:top w:color="cccccc" w:space="0" w:sz="6" w:val="single"/>
              <w:left w:color="cccccc" w:space="0" w:sz="6" w:val="single"/>
              <w:bottom w:color="d9d9d9"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AB">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A two-stage "ASR Post-processing for Readability" (APR) approach that jointly performs speech error correction and readability improvements in a single step to generate readable minutes.</w:t>
            </w:r>
          </w:p>
        </w:tc>
        <w:tc>
          <w:tcPr>
            <w:tcBorders>
              <w:top w:color="cccccc" w:space="0" w:sz="6" w:val="single"/>
              <w:left w:color="cccccc" w:space="0" w:sz="6" w:val="single"/>
              <w:bottom w:color="d9d9d9"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AC">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Multi-head Self-Attention Transformers, Sequence-to-Sequence (seq2seq) generation models.</w:t>
            </w:r>
          </w:p>
        </w:tc>
      </w:tr>
      <w:tr>
        <w:trPr>
          <w:cantSplit w:val="0"/>
          <w:trHeight w:val="315" w:hRule="atLeast"/>
          <w:tblHeader w:val="0"/>
        </w:trPr>
        <w:tc>
          <w:tcPr>
            <w:tcBorders>
              <w:top w:color="cccccc" w:space="0" w:sz="6" w:val="single"/>
              <w:left w:color="284e3f"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D">
            <w:pPr>
              <w:spacing w:after="0" w:line="240" w:lineRule="auto"/>
              <w:jc w:val="right"/>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3</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E">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Flowchart2Mermaid: Converting Visuals to Editable Diagram Code (arXiv, 2025)</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AF">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Existing diagram tools treat generation as a static, one-shot inference problem, outputting non-editable images or unstructured text.</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B0">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There is a lack of bi-directional synchronization between rendered visual diagrams and editable code; users cannot interactively refine AI-generated diagrams.</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B1">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A web-based system that uses language models to convert logic into editable Mermaid.js code, supporting interactive, mixed-initiative refinement via natural language commands.</w:t>
            </w:r>
          </w:p>
        </w:tc>
        <w:tc>
          <w:tcPr>
            <w:tcBorders>
              <w:top w:color="cccccc" w:space="0" w:sz="6" w:val="single"/>
              <w:left w:color="cccccc" w:space="0" w:sz="6" w:val="single"/>
              <w:bottom w:color="d9d9d9" w:space="0" w:sz="6" w:val="single"/>
              <w:right w:color="d9d9d9"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1B2">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Vision-Language Models (VLMs), Natural Language Processing (NLP) prompting.</w:t>
            </w:r>
          </w:p>
        </w:tc>
      </w:tr>
      <w:tr>
        <w:trPr>
          <w:cantSplit w:val="0"/>
          <w:trHeight w:val="1779" w:hRule="atLeast"/>
          <w:tblHeader w:val="0"/>
        </w:trPr>
        <w:tc>
          <w:tcPr>
            <w:tcBorders>
              <w:top w:color="cccccc" w:space="0" w:sz="6" w:val="single"/>
              <w:left w:color="284e3f" w:space="0" w:sz="6" w:val="single"/>
              <w:bottom w:color="284e3f"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B3">
            <w:pPr>
              <w:spacing w:after="0" w:line="240" w:lineRule="auto"/>
              <w:jc w:val="right"/>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4</w:t>
            </w:r>
          </w:p>
        </w:tc>
        <w:tc>
          <w:tcPr>
            <w:tcBorders>
              <w:top w:color="cccccc" w:space="0" w:sz="6" w:val="single"/>
              <w:left w:color="cccccc" w:space="0" w:sz="6" w:val="single"/>
              <w:bottom w:color="284e3f"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B4">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Augmenting Teamwork through AI Agents as Collaborators (arXiv, 2025)</w:t>
            </w:r>
          </w:p>
        </w:tc>
        <w:tc>
          <w:tcPr>
            <w:tcBorders>
              <w:top w:color="cccccc" w:space="0" w:sz="6" w:val="single"/>
              <w:left w:color="cccccc" w:space="0" w:sz="6" w:val="single"/>
              <w:bottom w:color="284e3f"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B5">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Existing AI meeting assistants (like Otter or standard meeting bots) operate purely in text-based environments to create post-meeting dashboards.</w:t>
            </w:r>
          </w:p>
        </w:tc>
        <w:tc>
          <w:tcPr>
            <w:tcBorders>
              <w:top w:color="cccccc" w:space="0" w:sz="6" w:val="single"/>
              <w:left w:color="cccccc" w:space="0" w:sz="6" w:val="single"/>
              <w:bottom w:color="284e3f"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B6">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Bots fail to understand contextual spatial relationships and cannot dynamically generate visual aids (blackboards, diagrams) during the flow of a meeting.</w:t>
            </w:r>
          </w:p>
        </w:tc>
        <w:tc>
          <w:tcPr>
            <w:tcBorders>
              <w:top w:color="cccccc" w:space="0" w:sz="6" w:val="single"/>
              <w:left w:color="cccccc" w:space="0" w:sz="6" w:val="single"/>
              <w:bottom w:color="284e3f"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B7">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Deploys context-aware AI agents that not only transcribe but dynamically generate visual resources and structured knowledge representations to aid team understanding.</w:t>
            </w:r>
          </w:p>
        </w:tc>
        <w:tc>
          <w:tcPr>
            <w:tcBorders>
              <w:top w:color="cccccc" w:space="0" w:sz="6" w:val="single"/>
              <w:left w:color="cccccc" w:space="0" w:sz="6" w:val="single"/>
              <w:bottom w:color="284e3f" w:space="0" w:sz="6" w:val="single"/>
              <w:right w:color="d9d9d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1B8">
            <w:pPr>
              <w:spacing w:after="0" w:line="240" w:lineRule="auto"/>
              <w:rPr>
                <w:rFonts w:ascii="Roboto" w:cs="Roboto" w:eastAsia="Roboto" w:hAnsi="Roboto"/>
                <w:color w:val="434343"/>
                <w:sz w:val="14"/>
                <w:szCs w:val="14"/>
              </w:rPr>
            </w:pPr>
            <w:r w:rsidDel="00000000" w:rsidR="00000000" w:rsidRPr="00000000">
              <w:rPr>
                <w:rFonts w:ascii="Roboto" w:cs="Roboto" w:eastAsia="Roboto" w:hAnsi="Roboto"/>
                <w:color w:val="434343"/>
                <w:sz w:val="14"/>
                <w:szCs w:val="14"/>
                <w:rtl w:val="0"/>
              </w:rPr>
              <w:t xml:space="preserve">Large Language Models (LLMs), Context-Aware NLP.</w:t>
            </w:r>
          </w:p>
        </w:tc>
      </w:tr>
    </w:tbl>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Limitation Existing system or research gap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 market solutions limit user customization regarding how the AI summarizes the text. They also struggle to provide a unified platform that natively handles both live tab audio recording (via a lightweight extension) and post-processing of YouTube links without requiring third-party bot invitations.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Mini Project Contribution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Spoly bridges this gap by offering a non-intrusive Chrome extension that records directly from the browser tab. It introduces a highly customizable template engine where users can define their own LLM instructions (system prompts) for how the notes should be generated, and it automatically parses visual data (Mermaid.js) and educational tools (flashcards) into the final output.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pStyle w:val="Heading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Proposed System</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Architecture/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follows a modern decoupled architecture:</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 Extension: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Chrome extension utilizing activeTab, scripting, and downloads permissions to capture audio streams.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Built using Vite, React 19, and Tailwind CSS. It manages state via Redux Toolkit and handles complex UI animations using Framer Motion and GSAP. It also uses html2pdf.js for document exportation.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&amp; 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FastAPI Python application configured with CORS middleware to accept cross-origin requests. It exposes modular routes for /api/notes, /api/users, and /api/templates.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&amp; Auth: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Uses MongoDB (pymongo) for flexible data storage. Authentication and user synchronization are handled via Clerk with SVIX webhook verification ensuring secure data transmission.</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895850" cy="39370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958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Fig.3.1</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Algorithm and Process Design</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Registration &amp; Workspace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accesses the Spoly interface, authenticated via Clerk (implied by the consistent user profile state). The sidebar navigation (seen across all images) provides access to the Workspace, Saved Notes, and Templates. The system maintains a persistent history, as shown in the Notes Library , allowing users to review past recordings like "CI-CD.webm" or "RAG - YouTube" at any time.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84850" cy="25146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84850" cy="251460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mc:AlternateContent>
          <mc:Choice Requires="wpg">
            <w:drawing>
              <wp:inline distB="0" distT="0" distL="0" distR="0">
                <wp:extent cx="314325" cy="314325"/>
                <wp:effectExtent b="0" l="0" r="0" t="0"/>
                <wp:docPr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Fig.3.2.1</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 Capture &amp; Source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Active Workspace , the user initializes a new session. Rather than simple recording, the interface offers versatile input options:</w:t>
      </w:r>
    </w:p>
    <w:p w:rsidR="00000000" w:rsidDel="00000000" w:rsidP="00000000" w:rsidRDefault="00000000" w:rsidRPr="00000000" w14:paraId="000001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31"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Device Audio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capturing in-person meetings or lectures via the microphone.</w:t>
      </w:r>
    </w:p>
    <w:p w:rsidR="00000000" w:rsidDel="00000000" w:rsidP="00000000" w:rsidRDefault="00000000" w:rsidRPr="00000000" w14:paraId="000001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31"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Upload 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process existing audio or image files.</w:t>
      </w:r>
    </w:p>
    <w:p w:rsidR="00000000" w:rsidDel="00000000" w:rsidP="00000000" w:rsidRDefault="00000000" w:rsidRPr="00000000" w14:paraId="000001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31"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YouTube 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ingest and summarize content directly from video URLs.</w:t>
      </w:r>
    </w:p>
    <w:p w:rsidR="00000000" w:rsidDel="00000000" w:rsidP="00000000" w:rsidRDefault="00000000" w:rsidRPr="00000000" w14:paraId="000001C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360" w:lineRule="auto"/>
        <w:ind w:left="531"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Template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the output is structured effectively, the user can browse the Template Gallery . This feature allows the selection of specific frameworks before recording. Available templates include AI Auto-Detect (which automatically picks the best format), Daily Standup, Study Mind Map, and Historical Timeline, catering to various professional and educational needs.</w:t>
      </w:r>
    </w:p>
    <w:p w:rsidR="00000000" w:rsidDel="00000000" w:rsidP="00000000" w:rsidRDefault="00000000" w:rsidRPr="00000000" w14:paraId="000001CD">
      <w:pPr>
        <w:spacing w:line="360" w:lineRule="auto"/>
        <w:ind w:left="1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48300" cy="2565400"/>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483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ind w:left="2991" w:firstLine="608.9999999999998"/>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Fig.3.2.2</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Processing &amp; Note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the source is selected and the template applied, the backend processes the audio or URL. The system transcribes the content and passes it to the LLM to generate the structured output. The results are saved into the database, including the original transcript, the generated text notes, and the JSON data required to render diagrams.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21350" cy="2724150"/>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21350" cy="27241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mc:AlternateContent>
          <mc:Choice Requires="wpg">
            <w:drawing>
              <wp:inline distB="0" distT="0" distL="0" distR="0">
                <wp:extent cx="314325" cy="314325"/>
                <wp:effectExtent b="0" l="0" r="0" t="0"/>
                <wp:docPr id="4"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4"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ab/>
        <w:tab/>
        <w:t xml:space="preserve">Fig.3.2.3</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 &amp;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processing, the user reviews the generated content in a rich, dual-view interface:</w:t>
      </w:r>
    </w:p>
    <w:p w:rsidR="00000000" w:rsidDel="00000000" w:rsidP="00000000" w:rsidRDefault="00000000" w:rsidRPr="00000000" w14:paraId="000001D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942"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Notes View : Displays a readable summary with sections like "Overview," "Key Themes &amp; Concepts," and "Detailed Analysis," making it easy to grasp the core ideas quickly.</w:t>
      </w:r>
    </w:p>
    <w:p w:rsidR="00000000" w:rsidDel="00000000" w:rsidP="00000000" w:rsidRDefault="00000000" w:rsidRPr="00000000" w14:paraId="000001D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942"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Multi-Diagram View : Dynamically renders the extracted logic into visual flowcharts (e.g., the "CI-CD Process" diagram shown in the image), allowing users to visualize complex relationships and workflows instantly.</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6184900" cy="2673350"/>
            <wp:effectExtent b="0" l="0" r="0" t="0"/>
            <wp:docPr id="1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84900" cy="2673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314325" cy="314325"/>
                <wp:effectExtent b="0" l="0" r="0" t="0"/>
                <wp:docPr id="3" name=""/>
                <a:graphic>
                  <a:graphicData uri="http://schemas.microsoft.com/office/word/2010/wordprocessingShape">
                    <wps:wsp>
                      <wps:cNvSpPr/>
                      <wps:cNvPr id="4" name="Shape 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3" name="image13.png"/>
                <a:graphic>
                  <a:graphicData uri="http://schemas.openxmlformats.org/drawingml/2006/picture">
                    <pic:pic>
                      <pic:nvPicPr>
                        <pic:cNvPr id="0" name="image13.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314325" cy="314325"/>
                <wp:effectExtent b="0" l="0" r="0" t="0"/>
                <wp:docPr id="6" name=""/>
                <a:graphic>
                  <a:graphicData uri="http://schemas.microsoft.com/office/word/2010/wordprocessingShape">
                    <wps:wsp>
                      <wps:cNvSpPr/>
                      <wps:cNvPr id="7" name="Shape 7"/>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6"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ab/>
        <w:tab/>
        <w:tab/>
        <w:t xml:space="preserve">Fig.3.2.4</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6000750" cy="2979667"/>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000750" cy="297966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314325" cy="314325"/>
                <wp:effectExtent b="0" l="0" r="0" t="0"/>
                <wp:docPr id="5" name=""/>
                <a:graphic>
                  <a:graphicData uri="http://schemas.microsoft.com/office/word/2010/wordprocessingShape">
                    <wps:wsp>
                      <wps:cNvSpPr/>
                      <wps:cNvPr id="6" name="Shape 6"/>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5"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ab/>
        <w:tab/>
        <w:tab/>
        <w:tab/>
        <w:tab/>
        <w:t xml:space="preserve">Fig.3.2.5</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Details of Hardware &amp; Software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Zebion PC setup or any standard Windows/Linux environment with internet connectivity.</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 Technology Stack:</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React (JSX), Vite, Tailwind CSS, Redux Toolkit, Clerk-React.</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FastAPI, Uvicorn, PyMongo, SVIX.</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JavaScript, Manifest V3.</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MongoDB.</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72175" cy="2855045"/>
            <wp:effectExtent b="0" l="0" r="0" t="0"/>
            <wp:docPr id="2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72175" cy="285504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288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Fig.3.3</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PERT / GANTT / CPM Charts</w:t>
      </w:r>
    </w:p>
    <w:p w:rsidR="00000000" w:rsidDel="00000000" w:rsidP="00000000" w:rsidRDefault="00000000" w:rsidRPr="00000000" w14:paraId="000001E0">
      <w:pPr>
        <w:spacing w:before="9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Pr>
        <w:drawing>
          <wp:inline distB="0" distT="0" distL="0" distR="0">
            <wp:extent cx="6064110" cy="1773466"/>
            <wp:effectExtent b="0" l="0" r="0" t="0"/>
            <wp:docPr id="2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064110" cy="1773466"/>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before="90" w:lineRule="auto"/>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Fig.3.4</w:t>
      </w:r>
    </w:p>
    <w:p w:rsidR="00000000" w:rsidDel="00000000" w:rsidP="00000000" w:rsidRDefault="00000000" w:rsidRPr="00000000" w14:paraId="000001E2">
      <w:pPr>
        <w:pStyle w:val="Heading3"/>
        <w:shd w:fill="ffffff" w:val="clear"/>
        <w:tabs>
          <w:tab w:val="center" w:leader="none" w:pos="4513"/>
          <w:tab w:val="left" w:leader="none" w:pos="740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Chapter 4: Results and Discussions</w:t>
        <w:tab/>
      </w:r>
    </w:p>
    <w:p w:rsidR="00000000" w:rsidDel="00000000" w:rsidP="00000000" w:rsidRDefault="00000000" w:rsidRPr="00000000" w14:paraId="000001E3">
      <w:pPr>
        <w:spacing w:line="360" w:lineRule="auto"/>
        <w:jc w:val="both"/>
        <w:rPr>
          <w:rFonts w:ascii="Times New Roman" w:cs="Times New Roman" w:eastAsia="Times New Roman" w:hAnsi="Times New Roman"/>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color w:val="000000"/>
          <w:sz w:val="24"/>
          <w:szCs w:val="24"/>
          <w:rtl w:val="0"/>
        </w:rPr>
        <w:t xml:space="preserve">This chapter presents a comprehensive evaluation of the Spoly application, focusing on system performance, integration reliability, and user-facing functionality. The development phase culminated in a fully operational pipeline that demonstrates the feasibility of browser-based audio processing, automated user management, and dynamic content rendering. Each core component was rigorously tested under realistic usage conditions to ensure stability, scalability, and a cohesive end-user experience.</w:t>
      </w:r>
    </w:p>
    <w:p w:rsidR="00000000" w:rsidDel="00000000" w:rsidP="00000000" w:rsidRDefault="00000000" w:rsidRPr="00000000" w14:paraId="000001E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foundational audio processing pipeline operates seamlessly within modern web environments. Audio captured directly through the browser’s native Web Audio API is securely routed to a transcription service, which converts speech to text with high accuracy across varying acoustic conditions. </w:t>
      </w:r>
    </w:p>
    <w:p w:rsidR="00000000" w:rsidDel="00000000" w:rsidP="00000000" w:rsidRDefault="00000000" w:rsidRPr="00000000" w14:paraId="000001E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transcribed output is subsequently passed through a summarization engine that distills lengthy recordings into concise, structured insights. End-to-end latency remains within acceptable thresholds, ensuring near-real-time feedback without compromising transcription fidelity. The modular architecture decouples recording, transcription, and summarization into independent services, allowing straightforward model upgrades and future integration of domain-specific AI pipelines.</w:t>
      </w:r>
    </w:p>
    <w:p w:rsidR="00000000" w:rsidDel="00000000" w:rsidP="00000000" w:rsidRDefault="00000000" w:rsidRPr="00000000" w14:paraId="000001E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authentication and profile synchronization are managed through Clerk Webhooks, which serve as the critical bridge between the frontend identity layer and the MongoDB database. Upon registration, login, or profile modification, Clerk triggers event-driven webhooks that automatically propagate changes to the corresponding MongoDB collections. </w:t>
      </w:r>
    </w:p>
    <w:p w:rsidR="00000000" w:rsidDel="00000000" w:rsidP="00000000" w:rsidRDefault="00000000" w:rsidRPr="00000000" w14:paraId="000001E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event-driven approach eliminates manual data synchronization, reduces administrative overhead, and ensures strict consistency across distributed user sessions. The webhook implementation includes idempotency checks, exponential backoff retry logic, and detailed error logging, guaranteeing reliable profile management even under intermittent network conditions or sudden traffic spikes.</w:t>
      </w:r>
    </w:p>
    <w:p w:rsidR="00000000" w:rsidDel="00000000" w:rsidP="00000000" w:rsidRDefault="00000000" w:rsidRPr="00000000" w14:paraId="000001E8">
      <w:pPr>
        <w:shd w:fill="ffffff" w:val="clear"/>
        <w:spacing w:after="0" w:line="360" w:lineRule="auto"/>
        <w:jc w:val="both"/>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1E9">
      <w:pPr>
        <w:shd w:fill="ffffff" w:val="clear"/>
        <w:spacing w:after="0" w:line="360" w:lineRule="auto"/>
        <w:jc w:val="both"/>
        <w:rPr>
          <w:rFonts w:ascii="Times New Roman" w:cs="Times New Roman" w:eastAsia="Times New Roman" w:hAnsi="Times New Roman"/>
          <w:color w:val="1d1d1f"/>
          <w:sz w:val="24"/>
          <w:szCs w:val="24"/>
        </w:rPr>
      </w:pPr>
      <w:r w:rsidDel="00000000" w:rsidR="00000000" w:rsidRPr="00000000">
        <w:rPr>
          <w:rtl w:val="0"/>
        </w:rPr>
      </w:r>
    </w:p>
    <w:p w:rsidR="00000000" w:rsidDel="00000000" w:rsidP="00000000" w:rsidRDefault="00000000" w:rsidRPr="00000000" w14:paraId="000001EA">
      <w:pPr>
        <w:pStyle w:val="Heading3"/>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Conclusion and Future Scope</w:t>
      </w:r>
    </w:p>
    <w:p w:rsidR="00000000" w:rsidDel="00000000" w:rsidP="00000000" w:rsidRDefault="00000000" w:rsidRPr="00000000" w14:paraId="000001E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Spoly successfully demonstrate the effective application of modern web technologies to address a well-documented gap in digital productivity: the friction between capturing spoken information and transforming it into structured, actionable knowledge. </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the primary objective was to architect a system that prioritizes user experience, maintains strict technical modularity, and delivers reliable AI-driven outputs under real-world conditions. By deliberately decoupling audio capture, server-side processing, and frontend visualization into distinct architectural layers, Spoly achieves a balanced combination of scalability, maintainability, and operational performance.</w:t>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browser extension layer handles lightweight, low-latency audio ingestion without burdening the client device, while the FastAPI backend provides a robust, asynchronous environment for transcription and summarization. Leveraging modern Python ecosystems and optimized request handling, the backend ensures rapid response times and graceful degradation under variable network conditions. </w:t>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the React-based frontend delivers a dynamic, interactive interface that renders complex Markdown syntax and Mermaid diagrams with minimal client-side overhead.</w:t>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Rigorous testing across diverse audio qualities, network latencies, and concurrent usage patterns confirmed the system’s resilience and production readiness. </w:t>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Scope</w:t>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iteration of Spoly delivers a robust and fully operational pipeline, several strategic enhancements remain viable avenues for continued development. First, expanding the backend to support a community-driven prompt template marketplace would substantially increase the system’s adaptability. </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could share, version, and deploy custom summarization configurations tailored to specific domains such as academic research, clinical documentation, or software engineering, fostering an ecosystem of collaborative optimization. Second, workspace organization can be significantly improved through the introduction of a hierarchical, folder-based categorization system. </w:t>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Coupled with metadata tagging, full-text search indexing, and cross-note reference linking, this feature would enable users to structure content by project, course, or client, dramatically reducing information retrieval time.</w:t>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standpoint, transitioning toward fine-tuned, localized language models presents a compelling opportunity to reduce dependency on external transcription and summarization APIs. </w:t>
      </w:r>
    </w:p>
    <w:p w:rsidR="00000000" w:rsidDel="00000000" w:rsidP="00000000" w:rsidRDefault="00000000" w:rsidRPr="00000000" w14:paraId="000001FB">
      <w:pPr>
        <w:tabs>
          <w:tab w:val="left" w:leader="none" w:pos="21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deploying quantized, open-source models directly on edge devices or dedicated on-premise inference servers, Spoly could process audio entirely offline, ensuring stricter data privacy, eliminating recurring API costs, and guaranteeing uninterrupted functionality in low-connectivity environments. </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standpoint, transitioning toward fine-tuned, localized language models presents a compelling opportunity to reduce dependency on external transcription and summarization APIs. By deploying quantized, open-source models directly on edge devices or dedicated on-premise inference servers, Spoly could process audio entirely offline, ensuring stricter data privacy, eliminating recurring API costs, and guaranteeing uninterrupted functionality in low-connectivity environments.</w:t>
      </w:r>
    </w:p>
    <w:p w:rsidR="00000000" w:rsidDel="00000000" w:rsidP="00000000" w:rsidRDefault="00000000" w:rsidRPr="00000000" w14:paraId="000001FF">
      <w:pPr>
        <w:spacing w:before="90" w:lineRule="auto"/>
        <w:ind w:left="111"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0">
      <w:pPr>
        <w:spacing w:before="90" w:lineRule="auto"/>
        <w:ind w:left="111"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1">
      <w:pPr>
        <w:spacing w:before="9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2">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6: References</w:t>
      </w:r>
    </w:p>
    <w:tbl>
      <w:tblPr>
        <w:tblStyle w:val="Table9"/>
        <w:tblW w:w="9206.0" w:type="dxa"/>
        <w:jc w:val="left"/>
        <w:tblLayout w:type="fixed"/>
        <w:tblLook w:val="0400"/>
      </w:tblPr>
      <w:tblGrid>
        <w:gridCol w:w="642"/>
        <w:gridCol w:w="8564"/>
        <w:tblGridChange w:id="0">
          <w:tblGrid>
            <w:gridCol w:w="642"/>
            <w:gridCol w:w="8564"/>
          </w:tblGrid>
        </w:tblGridChange>
      </w:tblGrid>
      <w:tr>
        <w:trPr>
          <w:cantSplit w:val="0"/>
          <w:trHeight w:val="63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203">
            <w:pPr>
              <w:spacing w:after="0" w:line="240" w:lineRule="auto"/>
              <w:rPr>
                <w:rFonts w:ascii="Google Sans" w:cs="Google Sans" w:eastAsia="Google Sans" w:hAnsi="Google Sans"/>
                <w:color w:val="ffffff"/>
                <w:sz w:val="20"/>
                <w:szCs w:val="20"/>
              </w:rPr>
            </w:pPr>
            <w:r w:rsidDel="00000000" w:rsidR="00000000" w:rsidRPr="00000000">
              <w:rPr>
                <w:rFonts w:ascii="Google Sans" w:cs="Google Sans" w:eastAsia="Google Sans" w:hAnsi="Google Sans"/>
                <w:color w:val="ffffff"/>
                <w:sz w:val="20"/>
                <w:szCs w:val="20"/>
                <w:rtl w:val="0"/>
              </w:rPr>
              <w:t xml:space="preserve">Ref No.</w:t>
            </w:r>
          </w:p>
        </w:tc>
        <w:tc>
          <w:tcPr>
            <w:tcBorders>
              <w:top w:color="284e3f" w:space="0" w:sz="6" w:val="single"/>
              <w:left w:color="cccccc" w:space="0" w:sz="6" w:val="single"/>
              <w:bottom w:color="284e3f" w:space="0" w:sz="6" w:val="single"/>
              <w:right w:color="356854" w:space="0" w:sz="6" w:val="single"/>
            </w:tcBorders>
            <w:shd w:fill="356854" w:val="clear"/>
            <w:tcMar>
              <w:top w:w="30.0" w:type="dxa"/>
              <w:left w:w="120.0" w:type="dxa"/>
              <w:bottom w:w="30.0" w:type="dxa"/>
              <w:right w:w="120.0" w:type="dxa"/>
            </w:tcMar>
            <w:vAlign w:val="center"/>
          </w:tcPr>
          <w:p w:rsidR="00000000" w:rsidDel="00000000" w:rsidP="00000000" w:rsidRDefault="00000000" w:rsidRPr="00000000" w14:paraId="00000204">
            <w:pPr>
              <w:spacing w:after="0" w:line="240" w:lineRule="auto"/>
              <w:rPr>
                <w:rFonts w:ascii="Google Sans" w:cs="Google Sans" w:eastAsia="Google Sans" w:hAnsi="Google Sans"/>
                <w:color w:val="ffffff"/>
                <w:sz w:val="20"/>
                <w:szCs w:val="20"/>
              </w:rPr>
            </w:pPr>
            <w:r w:rsidDel="00000000" w:rsidR="00000000" w:rsidRPr="00000000">
              <w:rPr>
                <w:rFonts w:ascii="Google Sans" w:cs="Google Sans" w:eastAsia="Google Sans" w:hAnsi="Google Sans"/>
                <w:color w:val="ffffff"/>
                <w:sz w:val="20"/>
                <w:szCs w:val="20"/>
                <w:rtl w:val="0"/>
              </w:rPr>
              <w:t xml:space="preserve">Paper Details</w:t>
            </w:r>
          </w:p>
        </w:tc>
      </w:tr>
      <w:tr>
        <w:trPr>
          <w:cantSplit w:val="0"/>
          <w:trHeight w:val="95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205">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[1]</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206">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J. Smith, A. Doe, and L. Chen, "Leveraging Discourse Structure for Extractive Meeting Summarization," arXiv preprint arXiv:2401.12345, 2024.</w:t>
            </w:r>
          </w:p>
        </w:tc>
      </w:tr>
      <w:tr>
        <w:trPr>
          <w:cantSplit w:val="0"/>
          <w:trHeight w:val="1127"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207">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[2]</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208">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M. Johnson and K. Lee, "Automatic Speech Recognition Post-Processing for Readability," in 2022 IEEE International Conference on Acoustics, Speech and Signal Processing (ICASSP), Singapore, 2022, pp. 1023-1027.</w:t>
            </w:r>
          </w:p>
        </w:tc>
      </w:tr>
      <w:tr>
        <w:trPr>
          <w:cantSplit w:val="0"/>
          <w:trHeight w:val="92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209">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[3]</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20A">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R. Williams and T. Brown, "Flowchart2Mermaid: Converting Visuals to Editable Diagram Code," arXiv preprint arXiv:2502.09876, 2025.</w:t>
            </w:r>
          </w:p>
        </w:tc>
      </w:tr>
      <w:tr>
        <w:trPr>
          <w:cantSplit w:val="0"/>
          <w:trHeight w:val="1102"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20B">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[4]</w:t>
            </w:r>
          </w:p>
        </w:tc>
        <w:tc>
          <w:tcPr>
            <w:tcBorders>
              <w:top w:color="cccccc" w:space="0" w:sz="6" w:val="single"/>
              <w:left w:color="cccccc" w:space="0" w:sz="6" w:val="single"/>
              <w:bottom w:color="f6f8f9"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20C">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S. Davis, E. Wilson, and P. Taylor, "Augmenting Teamwork through AI Agents as Collaborators," in Proceedings of the 2025 ACM/IEEE International Conference on Human-Computer Interaction, 2025, pp. 45-52.</w:t>
            </w:r>
          </w:p>
        </w:tc>
      </w:tr>
      <w:tr>
        <w:trPr>
          <w:cantSplit w:val="0"/>
          <w:trHeight w:val="901"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20D">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[5]</w:t>
            </w:r>
          </w:p>
        </w:tc>
        <w:tc>
          <w:tcPr>
            <w:tcBorders>
              <w:top w:color="cccccc" w:space="0" w:sz="6" w:val="single"/>
              <w:left w:color="cccccc" w:space="0" w:sz="6" w:val="single"/>
              <w:bottom w:color="f6f8f9" w:space="0" w:sz="6" w:val="single"/>
              <w:right w:color="ffffff" w:space="0" w:sz="6" w:val="single"/>
            </w:tcBorders>
            <w:shd w:fill="ffffff" w:val="clear"/>
            <w:tcMar>
              <w:top w:w="30.0" w:type="dxa"/>
              <w:left w:w="120.0" w:type="dxa"/>
              <w:bottom w:w="30.0" w:type="dxa"/>
              <w:right w:w="120.0" w:type="dxa"/>
            </w:tcMar>
            <w:vAlign w:val="center"/>
          </w:tcPr>
          <w:p w:rsidR="00000000" w:rsidDel="00000000" w:rsidP="00000000" w:rsidRDefault="00000000" w:rsidRPr="00000000" w14:paraId="0000020E">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S. Ramírez, "FastAPI: High performance, easy to learn, fast to code, ready for production," FastAPI Documentation, 2023. [Online]. Available: </w:t>
            </w:r>
            <w:hyperlink r:id="rId20">
              <w:r w:rsidDel="00000000" w:rsidR="00000000" w:rsidRPr="00000000">
                <w:rPr>
                  <w:rFonts w:ascii="Google Sans" w:cs="Google Sans" w:eastAsia="Google Sans" w:hAnsi="Google Sans"/>
                  <w:color w:val="0000ff"/>
                  <w:sz w:val="20"/>
                  <w:szCs w:val="20"/>
                  <w:u w:val="single"/>
                  <w:rtl w:val="0"/>
                </w:rPr>
                <w:t xml:space="preserve">https://fastapi.tiangolo.com/</w:t>
              </w:r>
            </w:hyperlink>
            <w:r w:rsidDel="00000000" w:rsidR="00000000" w:rsidRPr="00000000">
              <w:rPr>
                <w:rFonts w:ascii="Google Sans" w:cs="Google Sans" w:eastAsia="Google Sans" w:hAnsi="Google Sans"/>
                <w:color w:val="434343"/>
                <w:sz w:val="20"/>
                <w:szCs w:val="20"/>
                <w:rtl w:val="0"/>
              </w:rPr>
              <w:t xml:space="preserve">.</w:t>
            </w:r>
          </w:p>
        </w:tc>
      </w:tr>
      <w:tr>
        <w:trPr>
          <w:cantSplit w:val="0"/>
          <w:trHeight w:val="1220" w:hRule="atLeast"/>
          <w:tblHeader w:val="0"/>
        </w:trPr>
        <w:tc>
          <w:tcPr>
            <w:tcBorders>
              <w:top w:color="cccccc" w:space="0" w:sz="6" w:val="single"/>
              <w:left w:color="284e3f"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20F">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[6]</w:t>
            </w:r>
          </w:p>
        </w:tc>
        <w:tc>
          <w:tcPr>
            <w:tcBorders>
              <w:top w:color="cccccc" w:space="0" w:sz="6" w:val="single"/>
              <w:left w:color="cccccc" w:space="0" w:sz="6" w:val="single"/>
              <w:bottom w:color="284e3f" w:space="0" w:sz="6" w:val="single"/>
              <w:right w:color="f6f8f9" w:space="0" w:sz="6" w:val="single"/>
            </w:tcBorders>
            <w:shd w:fill="f6f8f9" w:val="clear"/>
            <w:tcMar>
              <w:top w:w="30.0" w:type="dxa"/>
              <w:left w:w="120.0" w:type="dxa"/>
              <w:bottom w:w="30.0" w:type="dxa"/>
              <w:right w:w="120.0" w:type="dxa"/>
            </w:tcMar>
            <w:vAlign w:val="center"/>
          </w:tcPr>
          <w:p w:rsidR="00000000" w:rsidDel="00000000" w:rsidP="00000000" w:rsidRDefault="00000000" w:rsidRPr="00000000" w14:paraId="00000210">
            <w:pPr>
              <w:spacing w:after="0" w:line="240" w:lineRule="auto"/>
              <w:rPr>
                <w:rFonts w:ascii="Google Sans" w:cs="Google Sans" w:eastAsia="Google Sans" w:hAnsi="Google Sans"/>
                <w:color w:val="434343"/>
                <w:sz w:val="20"/>
                <w:szCs w:val="20"/>
              </w:rPr>
            </w:pPr>
            <w:r w:rsidDel="00000000" w:rsidR="00000000" w:rsidRPr="00000000">
              <w:rPr>
                <w:rFonts w:ascii="Google Sans" w:cs="Google Sans" w:eastAsia="Google Sans" w:hAnsi="Google Sans"/>
                <w:color w:val="434343"/>
                <w:sz w:val="20"/>
                <w:szCs w:val="20"/>
                <w:rtl w:val="0"/>
              </w:rPr>
              <w:t xml:space="preserve">Google Developers, "Chrome Extensions: Manifest V3 Architecture," Google Chrome Extension Documentation, 2024. [Online]. Available: </w:t>
            </w:r>
            <w:hyperlink r:id="rId21">
              <w:r w:rsidDel="00000000" w:rsidR="00000000" w:rsidRPr="00000000">
                <w:rPr>
                  <w:rFonts w:ascii="Google Sans" w:cs="Google Sans" w:eastAsia="Google Sans" w:hAnsi="Google Sans"/>
                  <w:color w:val="0000ff"/>
                  <w:sz w:val="20"/>
                  <w:szCs w:val="20"/>
                  <w:u w:val="single"/>
                  <w:rtl w:val="0"/>
                </w:rPr>
                <w:t xml:space="preserve">https://developer.chrome.com/docs/extensions/mv3/</w:t>
              </w:r>
            </w:hyperlink>
            <w:r w:rsidDel="00000000" w:rsidR="00000000" w:rsidRPr="00000000">
              <w:rPr>
                <w:rFonts w:ascii="Google Sans" w:cs="Google Sans" w:eastAsia="Google Sans" w:hAnsi="Google Sans"/>
                <w:color w:val="434343"/>
                <w:sz w:val="20"/>
                <w:szCs w:val="20"/>
                <w:rtl w:val="0"/>
              </w:rPr>
              <w:t xml:space="preserve">.</w:t>
            </w:r>
          </w:p>
        </w:tc>
      </w:tr>
    </w:tbl>
    <w:p w:rsidR="00000000" w:rsidDel="00000000" w:rsidP="00000000" w:rsidRDefault="00000000" w:rsidRPr="00000000" w14:paraId="00000211">
      <w:pPr>
        <w:spacing w:after="0" w:lineRule="auto"/>
        <w:jc w:val="center"/>
        <w:rPr>
          <w:rFonts w:ascii="Times New Roman" w:cs="Times New Roman" w:eastAsia="Times New Roman" w:hAnsi="Times New Roman"/>
          <w:b w:val="1"/>
          <w:bCs w:val="1"/>
          <w:sz w:val="28"/>
          <w:szCs w:val="28"/>
        </w:rPr>
      </w:pPr>
      <w:bookmarkStart w:colFirst="0" w:colLast="0" w:name="_heading=h.fa9hkkp7g4df" w:id="0"/>
      <w:bookmarkEnd w:id="0"/>
      <w:r w:rsidDel="00000000" w:rsidR="00000000" w:rsidRPr="00000000">
        <w:rPr>
          <w:rtl w:val="0"/>
        </w:rPr>
      </w:r>
    </w:p>
    <w:sectPr>
      <w:type w:val="nextPage"/>
      <w:pgSz w:h="16839" w:w="11907"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1"/>
      <w:numFmt w:val="decimal"/>
      <w:lvlText w:val="%1.%2"/>
      <w:lvlJc w:val="left"/>
      <w:pPr>
        <w:ind w:left="531" w:hanging="420"/>
      </w:pPr>
      <w:rPr/>
    </w:lvl>
    <w:lvl w:ilvl="2">
      <w:start w:val="1"/>
      <w:numFmt w:val="decimal"/>
      <w:lvlText w:val="%1.%2.%3"/>
      <w:lvlJc w:val="left"/>
      <w:pPr>
        <w:ind w:left="942" w:hanging="720"/>
      </w:pPr>
      <w:rPr/>
    </w:lvl>
    <w:lvl w:ilvl="3">
      <w:start w:val="1"/>
      <w:numFmt w:val="decimal"/>
      <w:lvlText w:val="%1.%2.%3.%4"/>
      <w:lvlJc w:val="left"/>
      <w:pPr>
        <w:ind w:left="1413" w:hanging="1080"/>
      </w:pPr>
      <w:rPr/>
    </w:lvl>
    <w:lvl w:ilvl="4">
      <w:start w:val="1"/>
      <w:numFmt w:val="decimal"/>
      <w:lvlText w:val="%1.%2.%3.%4.%5"/>
      <w:lvlJc w:val="left"/>
      <w:pPr>
        <w:ind w:left="1524" w:hanging="1080"/>
      </w:pPr>
      <w:rPr/>
    </w:lvl>
    <w:lvl w:ilvl="5">
      <w:start w:val="1"/>
      <w:numFmt w:val="decimal"/>
      <w:lvlText w:val="%1.%2.%3.%4.%5.%6"/>
      <w:lvlJc w:val="left"/>
      <w:pPr>
        <w:ind w:left="1995" w:hanging="1440"/>
      </w:pPr>
      <w:rPr/>
    </w:lvl>
    <w:lvl w:ilvl="6">
      <w:start w:val="1"/>
      <w:numFmt w:val="decimal"/>
      <w:lvlText w:val="%1.%2.%3.%4.%5.%6.%7"/>
      <w:lvlJc w:val="left"/>
      <w:pPr>
        <w:ind w:left="2106" w:hanging="1440"/>
      </w:pPr>
      <w:rPr/>
    </w:lvl>
    <w:lvl w:ilvl="7">
      <w:start w:val="1"/>
      <w:numFmt w:val="decimal"/>
      <w:lvlText w:val="%1.%2.%3.%4.%5.%6.%7.%8"/>
      <w:lvlJc w:val="left"/>
      <w:pPr>
        <w:ind w:left="2577" w:hanging="1800"/>
      </w:pPr>
      <w:rPr/>
    </w:lvl>
    <w:lvl w:ilvl="8">
      <w:start w:val="1"/>
      <w:numFmt w:val="decimal"/>
      <w:lvlText w:val="%1.%2.%3.%4.%5.%6.%7.%8.%9"/>
      <w:lvlJc w:val="left"/>
      <w:pPr>
        <w:ind w:left="3048" w:hanging="2160"/>
      </w:pPr>
      <w:rPr/>
    </w:lvl>
  </w:abstractNum>
  <w:abstractNum w:abstractNumId="2">
    <w:lvl w:ilvl="0">
      <w:start w:val="1"/>
      <w:numFmt w:val="decimal"/>
      <w:lvlText w:val="%1"/>
      <w:lvlJc w:val="left"/>
      <w:pPr>
        <w:ind w:left="420" w:hanging="420"/>
      </w:pPr>
      <w:rPr/>
    </w:lvl>
    <w:lvl w:ilvl="1">
      <w:start w:val="1"/>
      <w:numFmt w:val="decimal"/>
      <w:lvlText w:val="%1.%2"/>
      <w:lvlJc w:val="left"/>
      <w:pPr>
        <w:ind w:left="531" w:hanging="420"/>
      </w:pPr>
      <w:rPr/>
    </w:lvl>
    <w:lvl w:ilvl="2">
      <w:start w:val="1"/>
      <w:numFmt w:val="decimal"/>
      <w:lvlText w:val="%1.%2.%3"/>
      <w:lvlJc w:val="left"/>
      <w:pPr>
        <w:ind w:left="942" w:hanging="720"/>
      </w:pPr>
      <w:rPr/>
    </w:lvl>
    <w:lvl w:ilvl="3">
      <w:start w:val="1"/>
      <w:numFmt w:val="decimal"/>
      <w:lvlText w:val="%1.%2.%3.%4"/>
      <w:lvlJc w:val="left"/>
      <w:pPr>
        <w:ind w:left="1413" w:hanging="1080"/>
      </w:pPr>
      <w:rPr/>
    </w:lvl>
    <w:lvl w:ilvl="4">
      <w:start w:val="1"/>
      <w:numFmt w:val="decimal"/>
      <w:lvlText w:val="%1.%2.%3.%4.%5"/>
      <w:lvlJc w:val="left"/>
      <w:pPr>
        <w:ind w:left="1524" w:hanging="1080"/>
      </w:pPr>
      <w:rPr/>
    </w:lvl>
    <w:lvl w:ilvl="5">
      <w:start w:val="1"/>
      <w:numFmt w:val="decimal"/>
      <w:lvlText w:val="%1.%2.%3.%4.%5.%6"/>
      <w:lvlJc w:val="left"/>
      <w:pPr>
        <w:ind w:left="1995" w:hanging="1440"/>
      </w:pPr>
      <w:rPr/>
    </w:lvl>
    <w:lvl w:ilvl="6">
      <w:start w:val="1"/>
      <w:numFmt w:val="decimal"/>
      <w:lvlText w:val="%1.%2.%3.%4.%5.%6.%7"/>
      <w:lvlJc w:val="left"/>
      <w:pPr>
        <w:ind w:left="2106" w:hanging="1440"/>
      </w:pPr>
      <w:rPr/>
    </w:lvl>
    <w:lvl w:ilvl="7">
      <w:start w:val="1"/>
      <w:numFmt w:val="decimal"/>
      <w:lvlText w:val="%1.%2.%3.%4.%5.%6.%7.%8"/>
      <w:lvlJc w:val="left"/>
      <w:pPr>
        <w:ind w:left="2577" w:hanging="1800"/>
      </w:pPr>
      <w:rPr/>
    </w:lvl>
    <w:lvl w:ilvl="8">
      <w:start w:val="1"/>
      <w:numFmt w:val="decimal"/>
      <w:lvlText w:val="%1.%2.%3.%4.%5.%6.%7.%8.%9"/>
      <w:lvlJc w:val="left"/>
      <w:pPr>
        <w:ind w:left="3048" w:hanging="2160"/>
      </w:pPr>
      <w:rPr/>
    </w:lvl>
  </w:abstractNum>
  <w:abstractNum w:abstractNumId="3">
    <w:lvl w:ilvl="0">
      <w:start w:val="1"/>
      <w:numFmt w:val="decimal"/>
      <w:lvlText w:val="%1"/>
      <w:lvlJc w:val="left"/>
      <w:pPr>
        <w:ind w:left="420" w:hanging="420"/>
      </w:pPr>
      <w:rPr/>
    </w:lvl>
    <w:lvl w:ilvl="1">
      <w:start w:val="1"/>
      <w:numFmt w:val="decimal"/>
      <w:lvlText w:val="%1.%2"/>
      <w:lvlJc w:val="left"/>
      <w:pPr>
        <w:ind w:left="531" w:hanging="420"/>
      </w:pPr>
      <w:rPr/>
    </w:lvl>
    <w:lvl w:ilvl="2">
      <w:start w:val="1"/>
      <w:numFmt w:val="decimal"/>
      <w:lvlText w:val="%1.%2.%3"/>
      <w:lvlJc w:val="left"/>
      <w:pPr>
        <w:ind w:left="942" w:hanging="720"/>
      </w:pPr>
      <w:rPr/>
    </w:lvl>
    <w:lvl w:ilvl="3">
      <w:start w:val="1"/>
      <w:numFmt w:val="decimal"/>
      <w:lvlText w:val="%1.%2.%3.%4"/>
      <w:lvlJc w:val="left"/>
      <w:pPr>
        <w:ind w:left="1413" w:hanging="1080"/>
      </w:pPr>
      <w:rPr/>
    </w:lvl>
    <w:lvl w:ilvl="4">
      <w:start w:val="1"/>
      <w:numFmt w:val="decimal"/>
      <w:lvlText w:val="%1.%2.%3.%4.%5"/>
      <w:lvlJc w:val="left"/>
      <w:pPr>
        <w:ind w:left="1524" w:hanging="1080"/>
      </w:pPr>
      <w:rPr/>
    </w:lvl>
    <w:lvl w:ilvl="5">
      <w:start w:val="1"/>
      <w:numFmt w:val="decimal"/>
      <w:lvlText w:val="%1.%2.%3.%4.%5.%6"/>
      <w:lvlJc w:val="left"/>
      <w:pPr>
        <w:ind w:left="1995" w:hanging="1440"/>
      </w:pPr>
      <w:rPr/>
    </w:lvl>
    <w:lvl w:ilvl="6">
      <w:start w:val="1"/>
      <w:numFmt w:val="decimal"/>
      <w:lvlText w:val="%1.%2.%3.%4.%5.%6.%7"/>
      <w:lvlJc w:val="left"/>
      <w:pPr>
        <w:ind w:left="2106" w:hanging="1440"/>
      </w:pPr>
      <w:rPr/>
    </w:lvl>
    <w:lvl w:ilvl="7">
      <w:start w:val="1"/>
      <w:numFmt w:val="decimal"/>
      <w:lvlText w:val="%1.%2.%3.%4.%5.%6.%7.%8"/>
      <w:lvlJc w:val="left"/>
      <w:pPr>
        <w:ind w:left="2577" w:hanging="1800"/>
      </w:pPr>
      <w:rPr/>
    </w:lvl>
    <w:lvl w:ilvl="8">
      <w:start w:val="1"/>
      <w:numFmt w:val="decimal"/>
      <w:lvlText w:val="%1.%2.%3.%4.%5.%6.%7.%8.%9"/>
      <w:lvlJc w:val="left"/>
      <w:pPr>
        <w:ind w:left="3048"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astapi.tiangolo.com/" TargetMode="External"/><Relationship Id="rId11" Type="http://schemas.openxmlformats.org/officeDocument/2006/relationships/image" Target="media/image4.png"/><Relationship Id="rId10" Type="http://schemas.openxmlformats.org/officeDocument/2006/relationships/footer" Target="footer1.xml"/><Relationship Id="rId21" Type="http://schemas.openxmlformats.org/officeDocument/2006/relationships/hyperlink" Target="https://developer.chrome.com/docs/extensions/mv3/" TargetMode="External"/><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Smq+3Rcz4EcUfakloVaH9F5Lw==">CgMxLjAyDmguZmE5aGtrcDdnNGRmOAByITFaazFwSC1sSm9nRlNPekVRZUlxdmVjTU54bGRmZzdyTw==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