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67FA" w14:textId="77777777" w:rsidR="0062734B" w:rsidRDefault="0062734B" w:rsidP="0062734B">
      <w:pPr>
        <w:spacing w:after="40"/>
        <w:jc w:val="both"/>
        <w:rPr>
          <w:rFonts w:ascii="Cambria" w:hAnsi="Cambria"/>
          <w:b/>
          <w:bCs/>
          <w:sz w:val="36"/>
          <w:szCs w:val="36"/>
        </w:rPr>
      </w:pPr>
      <w:r w:rsidRPr="00FB38D9">
        <w:rPr>
          <w:rFonts w:ascii="Cambria" w:hAnsi="Cambria"/>
          <w:b/>
          <w:bCs/>
          <w:noProof/>
          <w:sz w:val="36"/>
          <w:szCs w:val="36"/>
        </w:rPr>
        <w:drawing>
          <wp:anchor distT="0" distB="0" distL="114300" distR="114300" simplePos="0" relativeHeight="251662336" behindDoc="0" locked="0" layoutInCell="1" allowOverlap="1" wp14:anchorId="745283CE" wp14:editId="1C977571">
            <wp:simplePos x="0" y="0"/>
            <wp:positionH relativeFrom="margin">
              <wp:posOffset>1591213</wp:posOffset>
            </wp:positionH>
            <wp:positionV relativeFrom="paragraph">
              <wp:posOffset>98</wp:posOffset>
            </wp:positionV>
            <wp:extent cx="2663825" cy="1027430"/>
            <wp:effectExtent l="0" t="0" r="3175" b="1270"/>
            <wp:wrapSquare wrapText="bothSides"/>
            <wp:docPr id="7258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03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3825" cy="1027430"/>
                    </a:xfrm>
                    <a:prstGeom prst="rect">
                      <a:avLst/>
                    </a:prstGeom>
                  </pic:spPr>
                </pic:pic>
              </a:graphicData>
            </a:graphic>
            <wp14:sizeRelH relativeFrom="margin">
              <wp14:pctWidth>0</wp14:pctWidth>
            </wp14:sizeRelH>
            <wp14:sizeRelV relativeFrom="margin">
              <wp14:pctHeight>0</wp14:pctHeight>
            </wp14:sizeRelV>
          </wp:anchor>
        </w:drawing>
      </w:r>
    </w:p>
    <w:p w14:paraId="547FBAFC" w14:textId="77777777" w:rsidR="0062734B" w:rsidRDefault="0062734B" w:rsidP="0062734B">
      <w:pPr>
        <w:spacing w:after="40"/>
        <w:jc w:val="center"/>
        <w:rPr>
          <w:rFonts w:ascii="Cambria" w:hAnsi="Cambria"/>
          <w:b/>
          <w:bCs/>
          <w:sz w:val="36"/>
          <w:szCs w:val="36"/>
        </w:rPr>
      </w:pPr>
    </w:p>
    <w:p w14:paraId="4335353B" w14:textId="77777777" w:rsidR="0062734B" w:rsidRDefault="0062734B" w:rsidP="0062734B">
      <w:pPr>
        <w:spacing w:after="40"/>
        <w:jc w:val="both"/>
        <w:rPr>
          <w:rFonts w:ascii="Cambria" w:hAnsi="Cambria"/>
          <w:b/>
          <w:bCs/>
          <w:sz w:val="36"/>
          <w:szCs w:val="36"/>
        </w:rPr>
      </w:pPr>
    </w:p>
    <w:p w14:paraId="6B47F08C" w14:textId="77777777" w:rsidR="0062734B" w:rsidRDefault="0062734B" w:rsidP="0062734B">
      <w:pPr>
        <w:rPr>
          <w:rFonts w:ascii="Cambria" w:hAnsi="Cambria"/>
          <w:b/>
          <w:bCs/>
          <w:sz w:val="32"/>
          <w:szCs w:val="32"/>
        </w:rPr>
      </w:pPr>
    </w:p>
    <w:p w14:paraId="41E41C14" w14:textId="77777777" w:rsidR="0062734B" w:rsidRDefault="0062734B" w:rsidP="0062734B">
      <w:pPr>
        <w:jc w:val="center"/>
        <w:rPr>
          <w:rFonts w:ascii="Cambria" w:hAnsi="Cambria"/>
          <w:b/>
          <w:bCs/>
          <w:sz w:val="32"/>
          <w:szCs w:val="32"/>
        </w:rPr>
      </w:pPr>
      <w:r w:rsidRPr="00064413">
        <w:rPr>
          <w:rFonts w:ascii="Cambria" w:hAnsi="Cambria"/>
          <w:b/>
          <w:bCs/>
          <w:sz w:val="32"/>
          <w:szCs w:val="32"/>
        </w:rPr>
        <w:t>PRT661 – DATA SCIENCE PRACTICE</w:t>
      </w:r>
    </w:p>
    <w:p w14:paraId="6715F06C" w14:textId="77777777" w:rsidR="0062734B" w:rsidRPr="00064413" w:rsidRDefault="0062734B" w:rsidP="0062734B">
      <w:pPr>
        <w:jc w:val="center"/>
        <w:rPr>
          <w:rFonts w:ascii="Cambria" w:hAnsi="Cambria"/>
          <w:b/>
          <w:bCs/>
          <w:sz w:val="32"/>
          <w:szCs w:val="32"/>
        </w:rPr>
      </w:pPr>
    </w:p>
    <w:p w14:paraId="4FB5522C" w14:textId="7F5D5FD1" w:rsidR="0062734B" w:rsidRDefault="0062734B" w:rsidP="0062734B">
      <w:pPr>
        <w:jc w:val="center"/>
        <w:rPr>
          <w:rFonts w:ascii="Cambria" w:hAnsi="Cambria"/>
          <w:b/>
          <w:bCs/>
          <w:sz w:val="32"/>
          <w:szCs w:val="32"/>
        </w:rPr>
      </w:pPr>
      <w:r w:rsidRPr="00064413">
        <w:rPr>
          <w:rFonts w:ascii="Cambria" w:hAnsi="Cambria"/>
          <w:b/>
          <w:bCs/>
          <w:sz w:val="32"/>
          <w:szCs w:val="32"/>
        </w:rPr>
        <w:t>Assessment 1</w:t>
      </w:r>
      <w:r w:rsidR="003A177E">
        <w:rPr>
          <w:rFonts w:ascii="Cambria" w:hAnsi="Cambria"/>
          <w:b/>
          <w:bCs/>
          <w:sz w:val="32"/>
          <w:szCs w:val="32"/>
        </w:rPr>
        <w:t xml:space="preserve">: </w:t>
      </w:r>
      <w:r w:rsidRPr="00064413">
        <w:rPr>
          <w:rFonts w:ascii="Cambria" w:hAnsi="Cambria"/>
          <w:b/>
          <w:bCs/>
          <w:sz w:val="32"/>
          <w:szCs w:val="32"/>
        </w:rPr>
        <w:t>Group Project Proposal and Design Plan</w:t>
      </w:r>
    </w:p>
    <w:p w14:paraId="00431683" w14:textId="77777777" w:rsidR="0062734B" w:rsidRPr="00064413" w:rsidRDefault="0062734B" w:rsidP="0062734B">
      <w:pPr>
        <w:jc w:val="center"/>
        <w:rPr>
          <w:rFonts w:ascii="Cambria" w:hAnsi="Cambria"/>
          <w:b/>
          <w:bCs/>
          <w:sz w:val="32"/>
          <w:szCs w:val="32"/>
        </w:rPr>
      </w:pPr>
    </w:p>
    <w:p w14:paraId="7A1E543F" w14:textId="77777777" w:rsidR="0062734B" w:rsidRDefault="0062734B" w:rsidP="0062734B">
      <w:pPr>
        <w:jc w:val="center"/>
        <w:rPr>
          <w:rFonts w:ascii="Cambria" w:hAnsi="Cambria"/>
          <w:b/>
          <w:bCs/>
          <w:sz w:val="32"/>
          <w:szCs w:val="32"/>
        </w:rPr>
      </w:pPr>
      <w:r w:rsidRPr="00064413">
        <w:rPr>
          <w:rFonts w:ascii="Cambria" w:hAnsi="Cambria"/>
          <w:b/>
          <w:bCs/>
          <w:sz w:val="32"/>
          <w:szCs w:val="32"/>
        </w:rPr>
        <w:t>AUSTRALIAN ELECTRICITY DEMAND FORECASTING</w:t>
      </w:r>
    </w:p>
    <w:p w14:paraId="7892F529" w14:textId="77777777" w:rsidR="0062734B" w:rsidRPr="00064413" w:rsidRDefault="0062734B" w:rsidP="0062734B">
      <w:pPr>
        <w:jc w:val="center"/>
        <w:rPr>
          <w:rFonts w:ascii="Cambria" w:hAnsi="Cambria"/>
          <w:b/>
          <w:bCs/>
          <w:sz w:val="32"/>
          <w:szCs w:val="32"/>
        </w:rPr>
      </w:pPr>
    </w:p>
    <w:p w14:paraId="38D424E6" w14:textId="5402FAD6" w:rsidR="0062734B" w:rsidRDefault="0062734B" w:rsidP="0062734B">
      <w:pPr>
        <w:jc w:val="center"/>
        <w:rPr>
          <w:rFonts w:ascii="Cambria" w:hAnsi="Cambria"/>
          <w:b/>
          <w:bCs/>
          <w:sz w:val="32"/>
          <w:szCs w:val="32"/>
        </w:rPr>
      </w:pPr>
      <w:r w:rsidRPr="00064413">
        <w:rPr>
          <w:rFonts w:ascii="Cambria" w:hAnsi="Cambria"/>
          <w:b/>
          <w:bCs/>
          <w:sz w:val="32"/>
          <w:szCs w:val="32"/>
        </w:rPr>
        <w:t>USING MACHINE LEARNING AND TIME</w:t>
      </w:r>
      <w:r w:rsidR="00D93989">
        <w:rPr>
          <w:rFonts w:ascii="Cambria" w:hAnsi="Cambria"/>
          <w:b/>
          <w:bCs/>
          <w:sz w:val="32"/>
          <w:szCs w:val="32"/>
        </w:rPr>
        <w:t xml:space="preserve"> </w:t>
      </w:r>
      <w:r w:rsidRPr="00064413">
        <w:rPr>
          <w:rFonts w:ascii="Cambria" w:hAnsi="Cambria"/>
          <w:b/>
          <w:bCs/>
          <w:sz w:val="32"/>
          <w:szCs w:val="32"/>
        </w:rPr>
        <w:t>SERIES ANALYTICS</w:t>
      </w:r>
    </w:p>
    <w:p w14:paraId="3D9860E6" w14:textId="77777777" w:rsidR="0062734B" w:rsidRPr="00064413" w:rsidRDefault="0062734B" w:rsidP="0062734B">
      <w:pPr>
        <w:jc w:val="center"/>
        <w:rPr>
          <w:rFonts w:ascii="Cambria" w:hAnsi="Cambria"/>
          <w:b/>
          <w:bCs/>
          <w:sz w:val="32"/>
          <w:szCs w:val="32"/>
        </w:rPr>
      </w:pPr>
    </w:p>
    <w:p w14:paraId="19CA2D20" w14:textId="3A5A7932" w:rsidR="0062734B" w:rsidRPr="00064413" w:rsidRDefault="0062734B" w:rsidP="0062734B">
      <w:pPr>
        <w:jc w:val="center"/>
        <w:rPr>
          <w:rFonts w:ascii="Cambria" w:hAnsi="Cambria"/>
          <w:b/>
          <w:bCs/>
          <w:sz w:val="32"/>
          <w:szCs w:val="32"/>
        </w:rPr>
      </w:pPr>
      <w:r w:rsidRPr="00064413">
        <w:rPr>
          <w:rFonts w:ascii="Cambria" w:hAnsi="Cambria"/>
          <w:b/>
          <w:bCs/>
          <w:sz w:val="32"/>
          <w:szCs w:val="32"/>
        </w:rPr>
        <w:t>Theme 2</w:t>
      </w:r>
      <w:r w:rsidR="00A124A4">
        <w:rPr>
          <w:rFonts w:ascii="Cambria" w:hAnsi="Cambria"/>
          <w:b/>
          <w:bCs/>
          <w:sz w:val="32"/>
          <w:szCs w:val="32"/>
        </w:rPr>
        <w:t xml:space="preserve">: </w:t>
      </w:r>
      <w:r w:rsidRPr="00064413">
        <w:rPr>
          <w:rFonts w:ascii="Cambria" w:hAnsi="Cambria"/>
          <w:b/>
          <w:bCs/>
          <w:sz w:val="32"/>
          <w:szCs w:val="32"/>
        </w:rPr>
        <w:t>Predictive Analytics and Forecasting</w:t>
      </w:r>
    </w:p>
    <w:p w14:paraId="7C31E8BB" w14:textId="77777777" w:rsidR="0062734B" w:rsidRPr="00303402" w:rsidRDefault="0062734B" w:rsidP="0062734B">
      <w:pPr>
        <w:jc w:val="both"/>
        <w:rPr>
          <w:b/>
          <w:sz w:val="23"/>
          <w:szCs w:val="23"/>
        </w:rPr>
      </w:pPr>
    </w:p>
    <w:p w14:paraId="21BA5269" w14:textId="77777777" w:rsidR="0062734B" w:rsidRPr="00303402" w:rsidRDefault="0062734B" w:rsidP="0062734B">
      <w:pPr>
        <w:jc w:val="both"/>
        <w:rPr>
          <w:b/>
          <w:sz w:val="23"/>
          <w:szCs w:val="23"/>
        </w:rPr>
      </w:pPr>
      <w:r w:rsidRPr="00303402">
        <w:rPr>
          <w:noProof/>
          <w:sz w:val="23"/>
          <w:szCs w:val="23"/>
        </w:rPr>
        <mc:AlternateContent>
          <mc:Choice Requires="wps">
            <w:drawing>
              <wp:anchor distT="0" distB="0" distL="114300" distR="114300" simplePos="0" relativeHeight="251661312" behindDoc="0" locked="0" layoutInCell="1" allowOverlap="1" wp14:anchorId="79813069" wp14:editId="6C2B2D78">
                <wp:simplePos x="0" y="0"/>
                <wp:positionH relativeFrom="margin">
                  <wp:posOffset>2894275</wp:posOffset>
                </wp:positionH>
                <wp:positionV relativeFrom="paragraph">
                  <wp:posOffset>106763</wp:posOffset>
                </wp:positionV>
                <wp:extent cx="39756" cy="2091193"/>
                <wp:effectExtent l="0" t="0" r="36830" b="23495"/>
                <wp:wrapNone/>
                <wp:docPr id="1857794566" name="Straight Connector 4"/>
                <wp:cNvGraphicFramePr/>
                <a:graphic xmlns:a="http://schemas.openxmlformats.org/drawingml/2006/main">
                  <a:graphicData uri="http://schemas.microsoft.com/office/word/2010/wordprocessingShape">
                    <wps:wsp>
                      <wps:cNvCnPr/>
                      <wps:spPr>
                        <a:xfrm>
                          <a:off x="0" y="0"/>
                          <a:ext cx="39756" cy="20911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49B63F"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27.9pt,8.4pt" to="231.05pt,1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" strokecolor="black [3200]" strokeweight="1.5pt">
                <v:stroke joinstyle="miter"/>
                <w10:wrap anchorx="margin"/>
              </v:line>
            </w:pict>
          </mc:Fallback>
        </mc:AlternateContent>
      </w:r>
    </w:p>
    <w:p w14:paraId="03F83F05" w14:textId="77777777" w:rsidR="0062734B" w:rsidRPr="00303402" w:rsidRDefault="0062734B" w:rsidP="0062734B">
      <w:pPr>
        <w:jc w:val="both"/>
        <w:rPr>
          <w:b/>
          <w:sz w:val="23"/>
          <w:szCs w:val="23"/>
        </w:rPr>
      </w:pPr>
      <w:r w:rsidRPr="00303402">
        <w:rPr>
          <w:noProof/>
          <w:sz w:val="23"/>
          <w:szCs w:val="23"/>
        </w:rPr>
        <mc:AlternateContent>
          <mc:Choice Requires="wps">
            <w:drawing>
              <wp:anchor distT="0" distB="0" distL="114300" distR="114300" simplePos="0" relativeHeight="251660288" behindDoc="0" locked="0" layoutInCell="1" allowOverlap="1" wp14:anchorId="4F7C4237" wp14:editId="6D0507ED">
                <wp:simplePos x="0" y="0"/>
                <wp:positionH relativeFrom="column">
                  <wp:posOffset>2372995</wp:posOffset>
                </wp:positionH>
                <wp:positionV relativeFrom="paragraph">
                  <wp:posOffset>173962</wp:posOffset>
                </wp:positionV>
                <wp:extent cx="21590" cy="1578610"/>
                <wp:effectExtent l="0" t="0" r="35560" b="21590"/>
                <wp:wrapNone/>
                <wp:docPr id="1247068395" name="Straight Connector 6"/>
                <wp:cNvGraphicFramePr/>
                <a:graphic xmlns:a="http://schemas.openxmlformats.org/drawingml/2006/main">
                  <a:graphicData uri="http://schemas.microsoft.com/office/word/2010/wordprocessingShape">
                    <wps:wsp>
                      <wps:cNvCnPr/>
                      <wps:spPr>
                        <a:xfrm>
                          <a:off x="0" y="0"/>
                          <a:ext cx="21590" cy="15786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89F30D"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5pt,13.7pt" to="188.5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" strokecolor="black [3200]" strokeweight="1.5pt">
                <v:stroke joinstyle="miter"/>
              </v:line>
            </w:pict>
          </mc:Fallback>
        </mc:AlternateContent>
      </w:r>
    </w:p>
    <w:p w14:paraId="6596511F" w14:textId="77777777" w:rsidR="0062734B" w:rsidRPr="00303402" w:rsidRDefault="0062734B" w:rsidP="0062734B">
      <w:pPr>
        <w:jc w:val="both"/>
        <w:rPr>
          <w:b/>
          <w:sz w:val="23"/>
          <w:szCs w:val="23"/>
        </w:rPr>
      </w:pPr>
      <w:r w:rsidRPr="00303402">
        <w:rPr>
          <w:noProof/>
          <w:sz w:val="23"/>
          <w:szCs w:val="23"/>
        </w:rPr>
        <mc:AlternateContent>
          <mc:Choice Requires="wps">
            <w:drawing>
              <wp:anchor distT="0" distB="0" distL="114300" distR="114300" simplePos="0" relativeHeight="251659264" behindDoc="0" locked="0" layoutInCell="1" allowOverlap="1" wp14:anchorId="750E0807" wp14:editId="3656FB57">
                <wp:simplePos x="0" y="0"/>
                <wp:positionH relativeFrom="column">
                  <wp:posOffset>3338085</wp:posOffset>
                </wp:positionH>
                <wp:positionV relativeFrom="paragraph">
                  <wp:posOffset>11098</wp:posOffset>
                </wp:positionV>
                <wp:extent cx="21590" cy="1578610"/>
                <wp:effectExtent l="0" t="0" r="35560" b="21590"/>
                <wp:wrapNone/>
                <wp:docPr id="1232779696" name="Straight Connector 5"/>
                <wp:cNvGraphicFramePr/>
                <a:graphic xmlns:a="http://schemas.openxmlformats.org/drawingml/2006/main">
                  <a:graphicData uri="http://schemas.microsoft.com/office/word/2010/wordprocessingShape">
                    <wps:wsp>
                      <wps:cNvCnPr/>
                      <wps:spPr>
                        <a:xfrm>
                          <a:off x="0" y="0"/>
                          <a:ext cx="21590" cy="15786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809C4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5pt,.85pt" to="264.55pt,1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" strokecolor="black [3200]" strokeweight="1.5pt">
                <v:stroke joinstyle="miter"/>
              </v:line>
            </w:pict>
          </mc:Fallback>
        </mc:AlternateContent>
      </w:r>
    </w:p>
    <w:p w14:paraId="52B2F5D7" w14:textId="77777777" w:rsidR="0062734B" w:rsidRPr="00303402" w:rsidRDefault="0062734B" w:rsidP="0062734B">
      <w:pPr>
        <w:jc w:val="both"/>
        <w:rPr>
          <w:b/>
          <w:sz w:val="23"/>
          <w:szCs w:val="23"/>
        </w:rPr>
      </w:pPr>
    </w:p>
    <w:p w14:paraId="368E224E" w14:textId="77777777" w:rsidR="0062734B" w:rsidRPr="00303402" w:rsidRDefault="0062734B" w:rsidP="0062734B">
      <w:pPr>
        <w:jc w:val="both"/>
        <w:rPr>
          <w:b/>
          <w:sz w:val="23"/>
          <w:szCs w:val="23"/>
        </w:rPr>
      </w:pPr>
    </w:p>
    <w:p w14:paraId="05C6E514" w14:textId="77777777" w:rsidR="0062734B" w:rsidRPr="00303402" w:rsidRDefault="0062734B" w:rsidP="0062734B">
      <w:pPr>
        <w:jc w:val="both"/>
        <w:rPr>
          <w:b/>
          <w:sz w:val="23"/>
          <w:szCs w:val="23"/>
        </w:rPr>
      </w:pPr>
    </w:p>
    <w:p w14:paraId="3A4EE278" w14:textId="77777777" w:rsidR="0062734B" w:rsidRPr="00303402" w:rsidRDefault="0062734B" w:rsidP="0062734B">
      <w:pPr>
        <w:jc w:val="both"/>
        <w:rPr>
          <w:b/>
          <w:sz w:val="23"/>
          <w:szCs w:val="23"/>
        </w:rPr>
      </w:pPr>
    </w:p>
    <w:p w14:paraId="7F52E3E4" w14:textId="77777777" w:rsidR="0062734B" w:rsidRPr="00303402" w:rsidRDefault="0062734B" w:rsidP="0062734B">
      <w:pPr>
        <w:jc w:val="both"/>
        <w:rPr>
          <w:b/>
          <w:sz w:val="23"/>
          <w:szCs w:val="23"/>
        </w:rPr>
      </w:pPr>
    </w:p>
    <w:p w14:paraId="29FD9AEA" w14:textId="77777777" w:rsidR="0062734B" w:rsidRPr="00303402" w:rsidRDefault="0062734B" w:rsidP="0062734B">
      <w:pPr>
        <w:jc w:val="both"/>
        <w:rPr>
          <w:b/>
          <w:sz w:val="23"/>
          <w:szCs w:val="23"/>
        </w:rPr>
      </w:pPr>
    </w:p>
    <w:p w14:paraId="012CCADE" w14:textId="77777777" w:rsidR="0062734B" w:rsidRDefault="0062734B" w:rsidP="0062734B">
      <w:pPr>
        <w:jc w:val="both"/>
        <w:rPr>
          <w:sz w:val="23"/>
          <w:szCs w:val="23"/>
        </w:rPr>
      </w:pPr>
    </w:p>
    <w:p w14:paraId="2E6F618B" w14:textId="77777777" w:rsidR="0062734B" w:rsidRDefault="0062734B" w:rsidP="0062734B">
      <w:pPr>
        <w:jc w:val="both"/>
        <w:rPr>
          <w:sz w:val="23"/>
          <w:szCs w:val="23"/>
        </w:rPr>
      </w:pPr>
    </w:p>
    <w:p w14:paraId="01FDE280" w14:textId="77777777" w:rsidR="0062734B" w:rsidRDefault="0062734B" w:rsidP="0062734B">
      <w:pPr>
        <w:jc w:val="both"/>
        <w:rPr>
          <w:sz w:val="23"/>
          <w:szCs w:val="23"/>
        </w:rPr>
      </w:pPr>
    </w:p>
    <w:p w14:paraId="03E6EEAE" w14:textId="77777777" w:rsidR="0062734B" w:rsidRDefault="0062734B" w:rsidP="0062734B">
      <w:pPr>
        <w:jc w:val="both"/>
        <w:rPr>
          <w:sz w:val="23"/>
          <w:szCs w:val="23"/>
        </w:rPr>
      </w:pPr>
    </w:p>
    <w:p w14:paraId="4D5F3E73" w14:textId="77777777" w:rsidR="0062734B" w:rsidRDefault="0062734B" w:rsidP="0062734B">
      <w:pPr>
        <w:jc w:val="both"/>
        <w:rPr>
          <w:sz w:val="23"/>
          <w:szCs w:val="23"/>
        </w:rPr>
      </w:pPr>
    </w:p>
    <w:p w14:paraId="59EBA190" w14:textId="77777777" w:rsidR="0062734B" w:rsidRPr="00303402" w:rsidRDefault="0062734B" w:rsidP="0062734B">
      <w:pPr>
        <w:jc w:val="both"/>
        <w:rPr>
          <w:sz w:val="23"/>
          <w:szCs w:val="23"/>
        </w:rPr>
      </w:pPr>
    </w:p>
    <w:p w14:paraId="3FA1F7D1" w14:textId="77777777" w:rsidR="0062734B" w:rsidRDefault="0062734B" w:rsidP="0062734B">
      <w:pPr>
        <w:jc w:val="center"/>
        <w:rPr>
          <w:b/>
          <w:bCs/>
          <w:sz w:val="32"/>
          <w:szCs w:val="32"/>
          <w:u w:val="single"/>
        </w:rPr>
      </w:pPr>
      <w:r w:rsidRPr="00303402">
        <w:rPr>
          <w:b/>
          <w:bCs/>
          <w:sz w:val="32"/>
          <w:szCs w:val="32"/>
          <w:u w:val="single"/>
        </w:rPr>
        <w:t>Student IDs Student Names</w:t>
      </w:r>
    </w:p>
    <w:p w14:paraId="43ACD2FC" w14:textId="77777777" w:rsidR="0062734B" w:rsidRPr="00303402" w:rsidRDefault="0062734B" w:rsidP="0062734B">
      <w:pPr>
        <w:jc w:val="both"/>
        <w:rPr>
          <w:b/>
          <w:bCs/>
          <w:sz w:val="32"/>
          <w:szCs w:val="32"/>
          <w:u w:val="single"/>
        </w:rPr>
      </w:pPr>
    </w:p>
    <w:p w14:paraId="5826E104" w14:textId="77777777" w:rsidR="0062734B" w:rsidRDefault="0062734B" w:rsidP="0062734B">
      <w:pPr>
        <w:jc w:val="center"/>
        <w:rPr>
          <w:sz w:val="32"/>
          <w:szCs w:val="32"/>
        </w:rPr>
      </w:pPr>
      <w:r w:rsidRPr="00FB38D9">
        <w:rPr>
          <w:b/>
          <w:bCs/>
          <w:sz w:val="32"/>
          <w:szCs w:val="32"/>
        </w:rPr>
        <w:t>Ashish Shrestha</w:t>
      </w:r>
      <w:r>
        <w:rPr>
          <w:sz w:val="32"/>
          <w:szCs w:val="32"/>
        </w:rPr>
        <w:t xml:space="preserve">: </w:t>
      </w:r>
      <w:r w:rsidRPr="00A85819">
        <w:rPr>
          <w:b/>
          <w:bCs/>
          <w:sz w:val="32"/>
          <w:szCs w:val="32"/>
        </w:rPr>
        <w:t>S388084</w:t>
      </w:r>
    </w:p>
    <w:p w14:paraId="66933DA1" w14:textId="77777777" w:rsidR="0062734B" w:rsidRDefault="0062734B" w:rsidP="0062734B">
      <w:pPr>
        <w:jc w:val="center"/>
        <w:rPr>
          <w:sz w:val="32"/>
          <w:szCs w:val="32"/>
        </w:rPr>
      </w:pPr>
    </w:p>
    <w:p w14:paraId="39B027E6" w14:textId="7FAB9E44" w:rsidR="0062734B" w:rsidRDefault="0062734B" w:rsidP="0062734B">
      <w:pPr>
        <w:jc w:val="center"/>
        <w:rPr>
          <w:b/>
          <w:bCs/>
          <w:sz w:val="32"/>
          <w:szCs w:val="32"/>
        </w:rPr>
      </w:pPr>
      <w:r w:rsidRPr="00064413">
        <w:rPr>
          <w:b/>
          <w:bCs/>
          <w:sz w:val="32"/>
          <w:szCs w:val="32"/>
        </w:rPr>
        <w:t>Bishal Dahal:</w:t>
      </w:r>
      <w:r w:rsidR="00A85819">
        <w:rPr>
          <w:b/>
          <w:bCs/>
          <w:sz w:val="32"/>
          <w:szCs w:val="32"/>
        </w:rPr>
        <w:t xml:space="preserve"> S388095</w:t>
      </w:r>
    </w:p>
    <w:p w14:paraId="35F7774D" w14:textId="77777777" w:rsidR="0062734B" w:rsidRPr="00064413" w:rsidRDefault="0062734B" w:rsidP="0062734B">
      <w:pPr>
        <w:jc w:val="center"/>
        <w:rPr>
          <w:b/>
          <w:bCs/>
          <w:sz w:val="32"/>
          <w:szCs w:val="32"/>
        </w:rPr>
      </w:pPr>
    </w:p>
    <w:p w14:paraId="71A88928" w14:textId="68C3CEAA" w:rsidR="0062734B" w:rsidRDefault="0062734B" w:rsidP="0062734B">
      <w:pPr>
        <w:jc w:val="center"/>
        <w:rPr>
          <w:b/>
          <w:bCs/>
          <w:sz w:val="32"/>
          <w:szCs w:val="32"/>
        </w:rPr>
      </w:pPr>
      <w:r w:rsidRPr="00064413">
        <w:rPr>
          <w:b/>
          <w:bCs/>
          <w:sz w:val="32"/>
          <w:szCs w:val="32"/>
        </w:rPr>
        <w:t>Sudip Lamichhane:</w:t>
      </w:r>
      <w:r w:rsidR="00A85819">
        <w:rPr>
          <w:b/>
          <w:bCs/>
          <w:sz w:val="32"/>
          <w:szCs w:val="32"/>
        </w:rPr>
        <w:t xml:space="preserve"> S388085</w:t>
      </w:r>
    </w:p>
    <w:p w14:paraId="69A2A89B" w14:textId="77777777" w:rsidR="0062734B" w:rsidRPr="00064413" w:rsidRDefault="0062734B" w:rsidP="0062734B">
      <w:pPr>
        <w:jc w:val="center"/>
        <w:rPr>
          <w:b/>
          <w:bCs/>
          <w:sz w:val="32"/>
          <w:szCs w:val="32"/>
        </w:rPr>
      </w:pPr>
    </w:p>
    <w:p w14:paraId="202B43DD" w14:textId="131F899E" w:rsidR="0062734B" w:rsidRPr="00064413" w:rsidRDefault="0062734B" w:rsidP="0062734B">
      <w:pPr>
        <w:jc w:val="center"/>
        <w:rPr>
          <w:b/>
          <w:bCs/>
          <w:sz w:val="32"/>
          <w:szCs w:val="32"/>
        </w:rPr>
      </w:pPr>
      <w:r w:rsidRPr="00064413">
        <w:rPr>
          <w:b/>
          <w:bCs/>
          <w:sz w:val="32"/>
          <w:szCs w:val="32"/>
        </w:rPr>
        <w:t xml:space="preserve">Suraj Raut: </w:t>
      </w:r>
      <w:r w:rsidR="00A85819" w:rsidRPr="00A85819">
        <w:rPr>
          <w:b/>
          <w:bCs/>
          <w:sz w:val="32"/>
          <w:szCs w:val="32"/>
        </w:rPr>
        <w:t>S391201</w:t>
      </w:r>
    </w:p>
    <w:p w14:paraId="36D72AEF" w14:textId="77777777" w:rsidR="0062734B" w:rsidRDefault="0062734B" w:rsidP="0062734B">
      <w:pPr>
        <w:jc w:val="center"/>
        <w:rPr>
          <w:sz w:val="32"/>
          <w:szCs w:val="32"/>
        </w:rPr>
      </w:pPr>
    </w:p>
    <w:p w14:paraId="7796EEC2" w14:textId="304CE524" w:rsidR="0062734B" w:rsidRDefault="0062734B" w:rsidP="0062734B">
      <w:pPr>
        <w:ind w:left="5040"/>
        <w:jc w:val="center"/>
        <w:rPr>
          <w:sz w:val="32"/>
          <w:szCs w:val="32"/>
        </w:rPr>
      </w:pPr>
      <w:r w:rsidRPr="00FB38D9">
        <w:rPr>
          <w:b/>
          <w:bCs/>
          <w:sz w:val="32"/>
          <w:szCs w:val="32"/>
        </w:rPr>
        <w:t>Submission Date</w:t>
      </w:r>
      <w:r>
        <w:rPr>
          <w:sz w:val="32"/>
          <w:szCs w:val="32"/>
        </w:rPr>
        <w:t>: 16/08/2026</w:t>
      </w:r>
    </w:p>
    <w:p w14:paraId="618B27F8" w14:textId="52DE5BD9" w:rsidR="00FD47FB" w:rsidRDefault="00FD47FB">
      <w:pPr>
        <w:spacing w:after="200"/>
        <w:jc w:val="center"/>
      </w:pPr>
    </w:p>
    <w:p w14:paraId="2C80C249" w14:textId="77777777" w:rsidR="00FD47FB" w:rsidRDefault="00000000">
      <w:pPr>
        <w:spacing w:before="200" w:after="100"/>
      </w:pPr>
      <w:r>
        <w:rPr>
          <w:b/>
          <w:bCs/>
          <w:color w:val="1F3864"/>
          <w:sz w:val="26"/>
          <w:szCs w:val="26"/>
        </w:rPr>
        <w:lastRenderedPageBreak/>
        <w:t>1. Project Overview and Objectives</w:t>
      </w:r>
    </w:p>
    <w:p w14:paraId="62AA3838" w14:textId="3EA98311" w:rsidR="00FD47FB" w:rsidRDefault="00000000">
      <w:pPr>
        <w:spacing w:after="120"/>
        <w:jc w:val="both"/>
      </w:pPr>
      <w:r>
        <w:rPr>
          <w:sz w:val="22"/>
          <w:szCs w:val="22"/>
        </w:rPr>
        <w:t>This project designs and operates a continuous electricity</w:t>
      </w:r>
      <w:r w:rsidR="00A124A4">
        <w:rPr>
          <w:sz w:val="22"/>
          <w:szCs w:val="22"/>
        </w:rPr>
        <w:t xml:space="preserve"> </w:t>
      </w:r>
      <w:r>
        <w:rPr>
          <w:sz w:val="22"/>
          <w:szCs w:val="22"/>
        </w:rPr>
        <w:t>demand forecasting and verification platform across seven Australian regions</w:t>
      </w:r>
      <w:r w:rsidR="003A177E">
        <w:rPr>
          <w:sz w:val="22"/>
          <w:szCs w:val="22"/>
        </w:rPr>
        <w:t xml:space="preserve">: </w:t>
      </w:r>
      <w:r>
        <w:rPr>
          <w:sz w:val="22"/>
          <w:szCs w:val="22"/>
        </w:rPr>
        <w:t>five NEM (NSW1, QLD1, SA1, VIC1, TAS1), plus WA (WEM) and Darwin-Katherine (NT)</w:t>
      </w:r>
      <w:r w:rsidR="003A177E">
        <w:rPr>
          <w:sz w:val="22"/>
          <w:szCs w:val="22"/>
        </w:rPr>
        <w:t xml:space="preserve">, </w:t>
      </w:r>
      <w:r>
        <w:rPr>
          <w:sz w:val="22"/>
          <w:szCs w:val="22"/>
        </w:rPr>
        <w:t xml:space="preserve"> producing half</w:t>
      </w:r>
      <w:r w:rsidR="00D93989">
        <w:rPr>
          <w:sz w:val="22"/>
          <w:szCs w:val="22"/>
        </w:rPr>
        <w:t xml:space="preserve"> </w:t>
      </w:r>
      <w:r>
        <w:rPr>
          <w:sz w:val="22"/>
          <w:szCs w:val="22"/>
        </w:rPr>
        <w:t>hourly 2026 forecasts from a moving cutoff and verifying each against actual demand as it arrives, including AEMO's retrospective corrections.</w:t>
      </w:r>
    </w:p>
    <w:p w14:paraId="373BA40C" w14:textId="77777777" w:rsidR="00FD47FB" w:rsidRDefault="00000000">
      <w:pPr>
        <w:spacing w:after="40"/>
        <w:jc w:val="both"/>
      </w:pPr>
      <w:r>
        <w:rPr>
          <w:sz w:val="22"/>
          <w:szCs w:val="22"/>
        </w:rPr>
        <w:t>The project objectives are to:</w:t>
      </w:r>
    </w:p>
    <w:p w14:paraId="061122D3" w14:textId="524AAAFA" w:rsidR="00FD47FB" w:rsidRDefault="00000000">
      <w:pPr>
        <w:pStyle w:val="ListParagraph"/>
        <w:numPr>
          <w:ilvl w:val="0"/>
          <w:numId w:val="2"/>
        </w:numPr>
        <w:spacing w:after="80"/>
        <w:jc w:val="both"/>
      </w:pPr>
      <w:r>
        <w:rPr>
          <w:sz w:val="22"/>
          <w:szCs w:val="22"/>
        </w:rPr>
        <w:t>Acquire and integrate half</w:t>
      </w:r>
      <w:r w:rsidR="00A124A4">
        <w:rPr>
          <w:sz w:val="22"/>
          <w:szCs w:val="22"/>
        </w:rPr>
        <w:t xml:space="preserve"> </w:t>
      </w:r>
      <w:r>
        <w:rPr>
          <w:sz w:val="22"/>
          <w:szCs w:val="22"/>
        </w:rPr>
        <w:t>hourly demand for all seven regions, handling each platform's retrospective corrections</w:t>
      </w:r>
    </w:p>
    <w:p w14:paraId="5A71B08C" w14:textId="2AA0C0ED" w:rsidR="00FD47FB" w:rsidRDefault="00000000">
      <w:pPr>
        <w:pStyle w:val="ListParagraph"/>
        <w:numPr>
          <w:ilvl w:val="0"/>
          <w:numId w:val="2"/>
        </w:numPr>
        <w:spacing w:after="80"/>
        <w:jc w:val="both"/>
      </w:pPr>
      <w:r>
        <w:rPr>
          <w:sz w:val="22"/>
          <w:szCs w:val="22"/>
        </w:rPr>
        <w:t>Engineer per</w:t>
      </w:r>
      <w:r w:rsidR="00A124A4">
        <w:rPr>
          <w:sz w:val="22"/>
          <w:szCs w:val="22"/>
        </w:rPr>
        <w:t xml:space="preserve"> </w:t>
      </w:r>
      <w:r>
        <w:rPr>
          <w:sz w:val="22"/>
          <w:szCs w:val="22"/>
        </w:rPr>
        <w:t>region lag, temporal and weather features supporting 48</w:t>
      </w:r>
      <w:r w:rsidR="00A124A4">
        <w:rPr>
          <w:sz w:val="22"/>
          <w:szCs w:val="22"/>
        </w:rPr>
        <w:t xml:space="preserve"> </w:t>
      </w:r>
      <w:r>
        <w:rPr>
          <w:sz w:val="22"/>
          <w:szCs w:val="22"/>
        </w:rPr>
        <w:t>interval</w:t>
      </w:r>
      <w:r w:rsidR="00A124A4">
        <w:rPr>
          <w:sz w:val="22"/>
          <w:szCs w:val="22"/>
        </w:rPr>
        <w:t xml:space="preserve"> </w:t>
      </w:r>
      <w:r>
        <w:rPr>
          <w:sz w:val="22"/>
          <w:szCs w:val="22"/>
        </w:rPr>
        <w:t>per</w:t>
      </w:r>
      <w:r w:rsidR="00A124A4">
        <w:rPr>
          <w:sz w:val="22"/>
          <w:szCs w:val="22"/>
        </w:rPr>
        <w:t xml:space="preserve"> </w:t>
      </w:r>
      <w:r>
        <w:rPr>
          <w:sz w:val="22"/>
          <w:szCs w:val="22"/>
        </w:rPr>
        <w:t>day forecasting</w:t>
      </w:r>
    </w:p>
    <w:p w14:paraId="568ED807" w14:textId="4B50F9E3" w:rsidR="00FD47FB" w:rsidRDefault="00000000">
      <w:pPr>
        <w:pStyle w:val="ListParagraph"/>
        <w:numPr>
          <w:ilvl w:val="0"/>
          <w:numId w:val="2"/>
        </w:numPr>
        <w:spacing w:after="80"/>
        <w:jc w:val="both"/>
      </w:pPr>
      <w:r>
        <w:rPr>
          <w:sz w:val="22"/>
          <w:szCs w:val="22"/>
        </w:rPr>
        <w:t>Build and continuously verify per</w:t>
      </w:r>
      <w:r w:rsidR="00A124A4">
        <w:rPr>
          <w:sz w:val="22"/>
          <w:szCs w:val="22"/>
        </w:rPr>
        <w:t xml:space="preserve"> </w:t>
      </w:r>
      <w:r>
        <w:rPr>
          <w:sz w:val="22"/>
          <w:szCs w:val="22"/>
        </w:rPr>
        <w:t>region models under a rolling, correction</w:t>
      </w:r>
      <w:r w:rsidR="00D93989">
        <w:rPr>
          <w:sz w:val="22"/>
          <w:szCs w:val="22"/>
        </w:rPr>
        <w:t xml:space="preserve"> </w:t>
      </w:r>
      <w:r>
        <w:rPr>
          <w:sz w:val="22"/>
          <w:szCs w:val="22"/>
        </w:rPr>
        <w:t>aware validation strategy</w:t>
      </w:r>
    </w:p>
    <w:p w14:paraId="41027755" w14:textId="77777777" w:rsidR="00FD47FB" w:rsidRDefault="00000000">
      <w:pPr>
        <w:pStyle w:val="ListParagraph"/>
        <w:numPr>
          <w:ilvl w:val="0"/>
          <w:numId w:val="2"/>
        </w:numPr>
        <w:spacing w:after="80"/>
        <w:jc w:val="both"/>
      </w:pPr>
      <w:r>
        <w:rPr>
          <w:sz w:val="22"/>
          <w:szCs w:val="22"/>
        </w:rPr>
        <w:t>Deliver paired forecasting and verification dashboards communicating predicted demand and model accuracy</w:t>
      </w:r>
    </w:p>
    <w:p w14:paraId="16A8DC36" w14:textId="77777777" w:rsidR="00FD47FB" w:rsidRDefault="00000000">
      <w:pPr>
        <w:spacing w:before="200" w:after="100"/>
      </w:pPr>
      <w:r>
        <w:rPr>
          <w:b/>
          <w:bCs/>
          <w:color w:val="1F3864"/>
          <w:sz w:val="26"/>
          <w:szCs w:val="26"/>
        </w:rPr>
        <w:t>2. Theme 2 Justification</w:t>
      </w:r>
    </w:p>
    <w:p w14:paraId="6714BF68" w14:textId="039B028A" w:rsidR="00FD47FB" w:rsidRDefault="00000000">
      <w:pPr>
        <w:spacing w:after="120"/>
        <w:jc w:val="both"/>
      </w:pPr>
      <w:r>
        <w:rPr>
          <w:sz w:val="22"/>
          <w:szCs w:val="22"/>
        </w:rPr>
        <w:t>Reliable short</w:t>
      </w:r>
      <w:r w:rsidR="00A124A4">
        <w:rPr>
          <w:sz w:val="22"/>
          <w:szCs w:val="22"/>
        </w:rPr>
        <w:t xml:space="preserve"> </w:t>
      </w:r>
      <w:r>
        <w:rPr>
          <w:sz w:val="22"/>
          <w:szCs w:val="22"/>
        </w:rPr>
        <w:t>term forecasts support capacity planning and peak</w:t>
      </w:r>
      <w:r w:rsidR="00A124A4">
        <w:rPr>
          <w:sz w:val="22"/>
          <w:szCs w:val="22"/>
        </w:rPr>
        <w:t xml:space="preserve"> </w:t>
      </w:r>
      <w:r>
        <w:rPr>
          <w:sz w:val="22"/>
          <w:szCs w:val="22"/>
        </w:rPr>
        <w:t>demand preparedness across the NEM; under</w:t>
      </w:r>
      <w:r w:rsidR="00A124A4">
        <w:rPr>
          <w:sz w:val="22"/>
          <w:szCs w:val="22"/>
        </w:rPr>
        <w:t xml:space="preserve"> </w:t>
      </w:r>
      <w:r>
        <w:rPr>
          <w:sz w:val="22"/>
          <w:szCs w:val="22"/>
        </w:rPr>
        <w:t>forecasting risks shortfalls, over</w:t>
      </w:r>
      <w:r w:rsidR="003A177E">
        <w:rPr>
          <w:sz w:val="22"/>
          <w:szCs w:val="22"/>
        </w:rPr>
        <w:t xml:space="preserve"> </w:t>
      </w:r>
      <w:r>
        <w:rPr>
          <w:sz w:val="22"/>
          <w:szCs w:val="22"/>
        </w:rPr>
        <w:t>forecasting wastes resources. This remains genuine Theme 2 work, now extended to continuous multi</w:t>
      </w:r>
      <w:r w:rsidR="00A124A4">
        <w:rPr>
          <w:sz w:val="22"/>
          <w:szCs w:val="22"/>
        </w:rPr>
        <w:t xml:space="preserve"> </w:t>
      </w:r>
      <w:r>
        <w:rPr>
          <w:sz w:val="22"/>
          <w:szCs w:val="22"/>
        </w:rPr>
        <w:t>region forecasting: demand shows region</w:t>
      </w:r>
      <w:r w:rsidR="00A124A4">
        <w:rPr>
          <w:sz w:val="22"/>
          <w:szCs w:val="22"/>
        </w:rPr>
        <w:t xml:space="preserve"> </w:t>
      </w:r>
      <w:r>
        <w:rPr>
          <w:sz w:val="22"/>
          <w:szCs w:val="22"/>
        </w:rPr>
        <w:t>specific weekly and seasonal periodicity (Richardson et al., 2025), supporting lag</w:t>
      </w:r>
      <w:r w:rsidR="00A124A4">
        <w:rPr>
          <w:sz w:val="22"/>
          <w:szCs w:val="22"/>
        </w:rPr>
        <w:t xml:space="preserve"> </w:t>
      </w:r>
      <w:r>
        <w:rPr>
          <w:sz w:val="22"/>
          <w:szCs w:val="22"/>
        </w:rPr>
        <w:t>feature engineering, per</w:t>
      </w:r>
      <w:r w:rsidR="00A124A4">
        <w:rPr>
          <w:sz w:val="22"/>
          <w:szCs w:val="22"/>
        </w:rPr>
        <w:t xml:space="preserve"> </w:t>
      </w:r>
      <w:r>
        <w:rPr>
          <w:sz w:val="22"/>
          <w:szCs w:val="22"/>
        </w:rPr>
        <w:t>region comparison and correction</w:t>
      </w:r>
      <w:r w:rsidR="00A124A4">
        <w:rPr>
          <w:sz w:val="22"/>
          <w:szCs w:val="22"/>
        </w:rPr>
        <w:t xml:space="preserve"> </w:t>
      </w:r>
      <w:r>
        <w:rPr>
          <w:sz w:val="22"/>
          <w:szCs w:val="22"/>
        </w:rPr>
        <w:t>aware validation. Target: Operational Demand (MW) per region, excluding rooftop solar (AEMO, n.d.).</w:t>
      </w:r>
    </w:p>
    <w:p w14:paraId="21FFF70A" w14:textId="77777777" w:rsidR="00FD47FB" w:rsidRDefault="00000000">
      <w:pPr>
        <w:spacing w:before="200" w:after="100"/>
      </w:pPr>
      <w:r>
        <w:rPr>
          <w:b/>
          <w:bCs/>
          <w:color w:val="1F3864"/>
          <w:sz w:val="26"/>
          <w:szCs w:val="26"/>
        </w:rPr>
        <w:t>3. Problem Statement</w:t>
      </w:r>
    </w:p>
    <w:p w14:paraId="73B4F094" w14:textId="0E99E977" w:rsidR="00FD47FB" w:rsidRDefault="00000000">
      <w:pPr>
        <w:spacing w:after="120"/>
        <w:jc w:val="both"/>
      </w:pPr>
      <w:r>
        <w:rPr>
          <w:sz w:val="22"/>
          <w:szCs w:val="22"/>
        </w:rPr>
        <w:t xml:space="preserve">Target variable: </w:t>
      </w:r>
      <w:r>
        <w:rPr>
          <w:b/>
          <w:bCs/>
          <w:sz w:val="22"/>
          <w:szCs w:val="22"/>
        </w:rPr>
        <w:t>half</w:t>
      </w:r>
      <w:r w:rsidR="003A177E">
        <w:rPr>
          <w:b/>
          <w:bCs/>
          <w:sz w:val="22"/>
          <w:szCs w:val="22"/>
        </w:rPr>
        <w:t xml:space="preserve"> </w:t>
      </w:r>
      <w:r>
        <w:rPr>
          <w:b/>
          <w:bCs/>
          <w:sz w:val="22"/>
          <w:szCs w:val="22"/>
        </w:rPr>
        <w:t>hourly Operational Demand (MW)</w:t>
      </w:r>
      <w:r>
        <w:rPr>
          <w:sz w:val="22"/>
          <w:szCs w:val="22"/>
        </w:rPr>
        <w:t xml:space="preserve"> across seven regions defined in Section 1. WA and NT sit outside the NEM on separate operator platforms and are integrated as </w:t>
      </w:r>
      <w:r w:rsidR="003A177E">
        <w:rPr>
          <w:sz w:val="22"/>
          <w:szCs w:val="22"/>
        </w:rPr>
        <w:t>independently handled</w:t>
      </w:r>
      <w:r>
        <w:rPr>
          <w:sz w:val="22"/>
          <w:szCs w:val="22"/>
        </w:rPr>
        <w:t xml:space="preserve"> sources, not assumed identical to the NEM feed (AEMO, n.d.; NTESMO, n.d.).</w:t>
      </w:r>
    </w:p>
    <w:p w14:paraId="7F7E5593" w14:textId="11D450E1" w:rsidR="00FD47FB" w:rsidRDefault="00000000">
      <w:pPr>
        <w:spacing w:after="120"/>
        <w:jc w:val="both"/>
      </w:pPr>
      <w:r>
        <w:rPr>
          <w:sz w:val="22"/>
          <w:szCs w:val="22"/>
        </w:rPr>
        <w:t xml:space="preserve">Forecast horizon: </w:t>
      </w:r>
      <w:r>
        <w:rPr>
          <w:b/>
          <w:bCs/>
          <w:sz w:val="22"/>
          <w:szCs w:val="22"/>
        </w:rPr>
        <w:t>continuous rolling forecast</w:t>
      </w:r>
      <w:r>
        <w:rPr>
          <w:sz w:val="22"/>
          <w:szCs w:val="22"/>
        </w:rPr>
        <w:t xml:space="preserve"> from the current cutoff date to 31 December 2026, at 48 half</w:t>
      </w:r>
      <w:r w:rsidR="00A124A4">
        <w:rPr>
          <w:sz w:val="22"/>
          <w:szCs w:val="22"/>
        </w:rPr>
        <w:t xml:space="preserve"> </w:t>
      </w:r>
      <w:r>
        <w:rPr>
          <w:sz w:val="22"/>
          <w:szCs w:val="22"/>
        </w:rPr>
        <w:t>hourly intervals per day</w:t>
      </w:r>
      <w:r w:rsidR="003A177E">
        <w:rPr>
          <w:sz w:val="22"/>
          <w:szCs w:val="22"/>
        </w:rPr>
        <w:t xml:space="preserve">: </w:t>
      </w:r>
      <w:r>
        <w:rPr>
          <w:sz w:val="22"/>
          <w:szCs w:val="22"/>
        </w:rPr>
        <w:t>17,520 intervals per region across the full (</w:t>
      </w:r>
      <w:r w:rsidR="003A177E">
        <w:rPr>
          <w:sz w:val="22"/>
          <w:szCs w:val="22"/>
        </w:rPr>
        <w:t>non-leap</w:t>
      </w:r>
      <w:r>
        <w:rPr>
          <w:sz w:val="22"/>
          <w:szCs w:val="22"/>
        </w:rPr>
        <w:t>) year.</w:t>
      </w:r>
    </w:p>
    <w:p w14:paraId="2CA5D354" w14:textId="0D6556D2" w:rsidR="00FD47FB" w:rsidRDefault="00000000">
      <w:pPr>
        <w:spacing w:after="120"/>
        <w:jc w:val="both"/>
      </w:pPr>
      <w:r>
        <w:rPr>
          <w:sz w:val="22"/>
          <w:szCs w:val="22"/>
        </w:rPr>
        <w:t xml:space="preserve">Modelling window: </w:t>
      </w:r>
      <w:r>
        <w:rPr>
          <w:b/>
          <w:bCs/>
          <w:sz w:val="22"/>
          <w:szCs w:val="22"/>
        </w:rPr>
        <w:t>1 January 2022 to cutoff</w:t>
      </w:r>
      <w:r>
        <w:rPr>
          <w:sz w:val="22"/>
          <w:szCs w:val="22"/>
        </w:rPr>
        <w:t>, prioritising recent years consistent with post</w:t>
      </w:r>
      <w:r w:rsidR="003A177E">
        <w:rPr>
          <w:sz w:val="22"/>
          <w:szCs w:val="22"/>
        </w:rPr>
        <w:t xml:space="preserve"> </w:t>
      </w:r>
      <w:r>
        <w:rPr>
          <w:sz w:val="22"/>
          <w:szCs w:val="22"/>
        </w:rPr>
        <w:t>2022 electrification and distributed</w:t>
      </w:r>
      <w:r w:rsidR="003A177E">
        <w:rPr>
          <w:sz w:val="22"/>
          <w:szCs w:val="22"/>
        </w:rPr>
        <w:t xml:space="preserve"> </w:t>
      </w:r>
      <w:r>
        <w:rPr>
          <w:sz w:val="22"/>
          <w:szCs w:val="22"/>
        </w:rPr>
        <w:t>energy</w:t>
      </w:r>
      <w:r w:rsidR="003A177E">
        <w:rPr>
          <w:sz w:val="22"/>
          <w:szCs w:val="22"/>
        </w:rPr>
        <w:t xml:space="preserve"> </w:t>
      </w:r>
      <w:r>
        <w:rPr>
          <w:sz w:val="22"/>
          <w:szCs w:val="22"/>
        </w:rPr>
        <w:t>resource trends.</w:t>
      </w:r>
    </w:p>
    <w:p w14:paraId="70A8F8C8" w14:textId="77777777" w:rsidR="00FD47FB" w:rsidRDefault="00000000">
      <w:pPr>
        <w:spacing w:before="200" w:after="100"/>
      </w:pPr>
      <w:r>
        <w:rPr>
          <w:b/>
          <w:bCs/>
          <w:color w:val="1F3864"/>
          <w:sz w:val="26"/>
          <w:szCs w:val="26"/>
        </w:rPr>
        <w:t>4. Data Sources and Data Strategy</w:t>
      </w:r>
    </w:p>
    <w:p w14:paraId="1D5D047F" w14:textId="25EC6EBF" w:rsidR="00FD47FB" w:rsidRDefault="00000000">
      <w:pPr>
        <w:spacing w:after="120"/>
        <w:jc w:val="both"/>
      </w:pPr>
      <w:r>
        <w:rPr>
          <w:sz w:val="22"/>
          <w:szCs w:val="22"/>
        </w:rPr>
        <w:t>Primary: AEMO half</w:t>
      </w:r>
      <w:r w:rsidR="00A124A4">
        <w:rPr>
          <w:sz w:val="22"/>
          <w:szCs w:val="22"/>
        </w:rPr>
        <w:t xml:space="preserve"> </w:t>
      </w:r>
      <w:r>
        <w:rPr>
          <w:sz w:val="22"/>
          <w:szCs w:val="22"/>
        </w:rPr>
        <w:t>hourly Actual Operational Demand, all five NEM regions. AEMO also publishes five</w:t>
      </w:r>
      <w:r w:rsidR="003A177E">
        <w:rPr>
          <w:sz w:val="22"/>
          <w:szCs w:val="22"/>
        </w:rPr>
        <w:t xml:space="preserve"> </w:t>
      </w:r>
      <w:r>
        <w:rPr>
          <w:sz w:val="22"/>
          <w:szCs w:val="22"/>
        </w:rPr>
        <w:t>minute values (linearly interpolated from the half</w:t>
      </w:r>
      <w:r w:rsidR="00A124A4">
        <w:rPr>
          <w:sz w:val="22"/>
          <w:szCs w:val="22"/>
        </w:rPr>
        <w:t xml:space="preserve"> </w:t>
      </w:r>
      <w:r>
        <w:rPr>
          <w:sz w:val="22"/>
          <w:szCs w:val="22"/>
        </w:rPr>
        <w:t>hourly figures) and daily aggregates from the same table. AEMO issues dedicated Update files when a retroactive correction is required, commonly due to SCADA data</w:t>
      </w:r>
      <w:r w:rsidR="003A177E">
        <w:rPr>
          <w:sz w:val="22"/>
          <w:szCs w:val="22"/>
        </w:rPr>
        <w:t xml:space="preserve"> </w:t>
      </w:r>
      <w:r>
        <w:rPr>
          <w:sz w:val="22"/>
          <w:szCs w:val="22"/>
        </w:rPr>
        <w:t>quality issues, and this update data overrides the original real</w:t>
      </w:r>
      <w:r w:rsidR="00A124A4">
        <w:rPr>
          <w:sz w:val="22"/>
          <w:szCs w:val="22"/>
        </w:rPr>
        <w:t xml:space="preserve"> </w:t>
      </w:r>
      <w:r>
        <w:rPr>
          <w:sz w:val="22"/>
          <w:szCs w:val="22"/>
        </w:rPr>
        <w:t>time</w:t>
      </w:r>
      <w:r w:rsidR="003A177E">
        <w:rPr>
          <w:sz w:val="22"/>
          <w:szCs w:val="22"/>
        </w:rPr>
        <w:t xml:space="preserve"> </w:t>
      </w:r>
      <w:r>
        <w:rPr>
          <w:sz w:val="22"/>
          <w:szCs w:val="22"/>
        </w:rPr>
        <w:t>published record (AEMO, n.d.). The data strategy therefore models every actual</w:t>
      </w:r>
      <w:r w:rsidR="003A177E">
        <w:rPr>
          <w:sz w:val="22"/>
          <w:szCs w:val="22"/>
        </w:rPr>
        <w:t xml:space="preserve"> </w:t>
      </w:r>
      <w:r>
        <w:rPr>
          <w:sz w:val="22"/>
          <w:szCs w:val="22"/>
        </w:rPr>
        <w:t>demand record with two states: provisional (first published) and canonical (post</w:t>
      </w:r>
      <w:r w:rsidR="003A177E">
        <w:rPr>
          <w:sz w:val="22"/>
          <w:szCs w:val="22"/>
        </w:rPr>
        <w:t xml:space="preserve"> </w:t>
      </w:r>
      <w:r>
        <w:rPr>
          <w:sz w:val="22"/>
          <w:szCs w:val="22"/>
        </w:rPr>
        <w:t>correction). WA adds AEMO WEM half</w:t>
      </w:r>
      <w:r w:rsidR="00A124A4">
        <w:rPr>
          <w:sz w:val="22"/>
          <w:szCs w:val="22"/>
        </w:rPr>
        <w:t xml:space="preserve"> </w:t>
      </w:r>
      <w:r>
        <w:rPr>
          <w:sz w:val="22"/>
          <w:szCs w:val="22"/>
        </w:rPr>
        <w:t>hourly demand; Darwin-Katherine adds NTESMO demand, without NEM correction files (NTESMO, n.d.).</w:t>
      </w:r>
    </w:p>
    <w:p w14:paraId="14824F16" w14:textId="0AEE5029" w:rsidR="00FD47FB" w:rsidRDefault="00000000">
      <w:pPr>
        <w:spacing w:after="120"/>
        <w:jc w:val="both"/>
      </w:pPr>
      <w:r>
        <w:rPr>
          <w:sz w:val="22"/>
          <w:szCs w:val="22"/>
        </w:rPr>
        <w:t>Secondary: BOM Climate Data Online temperature per region, converted to Heating/Cooling Degree Days (BOM, n.d.).</w:t>
      </w:r>
    </w:p>
    <w:p w14:paraId="6620B563" w14:textId="1055B93A" w:rsidR="00FD47FB" w:rsidRDefault="00000000">
      <w:pPr>
        <w:spacing w:after="120"/>
        <w:jc w:val="both"/>
      </w:pPr>
      <w:r>
        <w:rPr>
          <w:sz w:val="22"/>
          <w:szCs w:val="22"/>
        </w:rPr>
        <w:t>Table 1 sets out the proposed per</w:t>
      </w:r>
      <w:r w:rsidR="00A124A4">
        <w:rPr>
          <w:sz w:val="22"/>
          <w:szCs w:val="22"/>
        </w:rPr>
        <w:t xml:space="preserve"> </w:t>
      </w:r>
      <w:r>
        <w:rPr>
          <w:sz w:val="22"/>
          <w:szCs w:val="22"/>
        </w:rPr>
        <w:t>region feature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3900"/>
      </w:tblGrid>
      <w:tr w:rsidR="00FD47FB" w14:paraId="76551A21" w14:textId="77777777">
        <w:trPr>
          <w:tblHeader/>
        </w:trPr>
        <w:tc>
          <w:tcPr>
            <w:tcW w:w="3000" w:type="dxa"/>
            <w:shd w:val="clear" w:color="auto" w:fill="1F3864"/>
            <w:tcMar>
              <w:top w:w="60" w:type="dxa"/>
              <w:left w:w="100" w:type="dxa"/>
              <w:bottom w:w="60" w:type="dxa"/>
              <w:right w:w="100" w:type="dxa"/>
            </w:tcMar>
            <w:vAlign w:val="center"/>
          </w:tcPr>
          <w:p w14:paraId="0FDB923A" w14:textId="77777777" w:rsidR="00FD47FB" w:rsidRDefault="00000000">
            <w:r>
              <w:rPr>
                <w:b/>
                <w:bCs/>
                <w:color w:val="FFFFFF"/>
                <w:sz w:val="22"/>
                <w:szCs w:val="22"/>
              </w:rPr>
              <w:t>Variable</w:t>
            </w:r>
          </w:p>
        </w:tc>
        <w:tc>
          <w:tcPr>
            <w:tcW w:w="2100" w:type="dxa"/>
            <w:shd w:val="clear" w:color="auto" w:fill="1F3864"/>
            <w:tcMar>
              <w:top w:w="60" w:type="dxa"/>
              <w:left w:w="100" w:type="dxa"/>
              <w:bottom w:w="60" w:type="dxa"/>
              <w:right w:w="100" w:type="dxa"/>
            </w:tcMar>
            <w:vAlign w:val="center"/>
          </w:tcPr>
          <w:p w14:paraId="758566D3" w14:textId="77777777" w:rsidR="00FD47FB" w:rsidRDefault="00000000">
            <w:r>
              <w:rPr>
                <w:b/>
                <w:bCs/>
                <w:color w:val="FFFFFF"/>
                <w:sz w:val="22"/>
                <w:szCs w:val="22"/>
              </w:rPr>
              <w:t>Source</w:t>
            </w:r>
          </w:p>
        </w:tc>
        <w:tc>
          <w:tcPr>
            <w:tcW w:w="3900" w:type="dxa"/>
            <w:shd w:val="clear" w:color="auto" w:fill="1F3864"/>
            <w:tcMar>
              <w:top w:w="60" w:type="dxa"/>
              <w:left w:w="100" w:type="dxa"/>
              <w:bottom w:w="60" w:type="dxa"/>
              <w:right w:w="100" w:type="dxa"/>
            </w:tcMar>
            <w:vAlign w:val="center"/>
          </w:tcPr>
          <w:p w14:paraId="19C6AFDB" w14:textId="77777777" w:rsidR="00FD47FB" w:rsidRDefault="00000000">
            <w:r>
              <w:rPr>
                <w:b/>
                <w:bCs/>
                <w:color w:val="FFFFFF"/>
                <w:sz w:val="22"/>
                <w:szCs w:val="22"/>
              </w:rPr>
              <w:t>Justification</w:t>
            </w:r>
          </w:p>
        </w:tc>
      </w:tr>
      <w:tr w:rsidR="00FD47FB" w14:paraId="6C3CEF28" w14:textId="77777777">
        <w:tc>
          <w:tcPr>
            <w:tcW w:w="3000" w:type="dxa"/>
            <w:tcMar>
              <w:top w:w="60" w:type="dxa"/>
              <w:left w:w="100" w:type="dxa"/>
              <w:bottom w:w="60" w:type="dxa"/>
              <w:right w:w="100" w:type="dxa"/>
            </w:tcMar>
            <w:vAlign w:val="center"/>
          </w:tcPr>
          <w:p w14:paraId="39D85F52" w14:textId="027D54A3" w:rsidR="00FD47FB" w:rsidRDefault="00000000">
            <w:r>
              <w:rPr>
                <w:color w:val="000000"/>
                <w:sz w:val="22"/>
                <w:szCs w:val="22"/>
              </w:rPr>
              <w:t>Operational Demand (lag: interval</w:t>
            </w:r>
            <w:r w:rsidR="003A177E">
              <w:rPr>
                <w:color w:val="000000"/>
                <w:sz w:val="22"/>
                <w:szCs w:val="22"/>
              </w:rPr>
              <w:t xml:space="preserve"> </w:t>
            </w:r>
            <w:r>
              <w:rPr>
                <w:color w:val="000000"/>
                <w:sz w:val="22"/>
                <w:szCs w:val="22"/>
              </w:rPr>
              <w:t>1, day</w:t>
            </w:r>
            <w:r w:rsidR="003A177E">
              <w:rPr>
                <w:color w:val="000000"/>
                <w:sz w:val="22"/>
                <w:szCs w:val="22"/>
              </w:rPr>
              <w:t xml:space="preserve"> </w:t>
            </w:r>
            <w:r>
              <w:rPr>
                <w:color w:val="000000"/>
                <w:sz w:val="22"/>
                <w:szCs w:val="22"/>
              </w:rPr>
              <w:t>1, week</w:t>
            </w:r>
            <w:r w:rsidR="003A177E">
              <w:rPr>
                <w:color w:val="000000"/>
                <w:sz w:val="22"/>
                <w:szCs w:val="22"/>
              </w:rPr>
              <w:t xml:space="preserve"> </w:t>
            </w:r>
            <w:r>
              <w:rPr>
                <w:color w:val="000000"/>
                <w:sz w:val="22"/>
                <w:szCs w:val="22"/>
              </w:rPr>
              <w:t>1)</w:t>
            </w:r>
          </w:p>
        </w:tc>
        <w:tc>
          <w:tcPr>
            <w:tcW w:w="2100" w:type="dxa"/>
            <w:tcMar>
              <w:top w:w="60" w:type="dxa"/>
              <w:left w:w="100" w:type="dxa"/>
              <w:bottom w:w="60" w:type="dxa"/>
              <w:right w:w="100" w:type="dxa"/>
            </w:tcMar>
            <w:vAlign w:val="center"/>
          </w:tcPr>
          <w:p w14:paraId="3CCDA607" w14:textId="77777777" w:rsidR="00FD47FB" w:rsidRDefault="00000000">
            <w:r>
              <w:rPr>
                <w:color w:val="000000"/>
                <w:sz w:val="22"/>
                <w:szCs w:val="22"/>
              </w:rPr>
              <w:t>AEMO, per region</w:t>
            </w:r>
          </w:p>
        </w:tc>
        <w:tc>
          <w:tcPr>
            <w:tcW w:w="3900" w:type="dxa"/>
            <w:tcMar>
              <w:top w:w="60" w:type="dxa"/>
              <w:left w:w="100" w:type="dxa"/>
              <w:bottom w:w="60" w:type="dxa"/>
              <w:right w:w="100" w:type="dxa"/>
            </w:tcMar>
            <w:vAlign w:val="center"/>
          </w:tcPr>
          <w:p w14:paraId="38674132" w14:textId="77777777" w:rsidR="00FD47FB" w:rsidRDefault="00000000">
            <w:r>
              <w:rPr>
                <w:color w:val="000000"/>
                <w:sz w:val="22"/>
                <w:szCs w:val="22"/>
              </w:rPr>
              <w:t>Captures persistence and periodicity</w:t>
            </w:r>
          </w:p>
        </w:tc>
      </w:tr>
      <w:tr w:rsidR="00FD47FB" w14:paraId="384CFC9B" w14:textId="77777777">
        <w:tc>
          <w:tcPr>
            <w:tcW w:w="3000" w:type="dxa"/>
            <w:tcMar>
              <w:top w:w="60" w:type="dxa"/>
              <w:left w:w="100" w:type="dxa"/>
              <w:bottom w:w="60" w:type="dxa"/>
              <w:right w:w="100" w:type="dxa"/>
            </w:tcMar>
            <w:vAlign w:val="center"/>
          </w:tcPr>
          <w:p w14:paraId="78AFC31F" w14:textId="048511CF" w:rsidR="00FD47FB" w:rsidRDefault="00000000">
            <w:r>
              <w:rPr>
                <w:color w:val="000000"/>
                <w:sz w:val="22"/>
                <w:szCs w:val="22"/>
              </w:rPr>
              <w:lastRenderedPageBreak/>
              <w:t>Half</w:t>
            </w:r>
            <w:r w:rsidR="00A124A4">
              <w:rPr>
                <w:color w:val="000000"/>
                <w:sz w:val="22"/>
                <w:szCs w:val="22"/>
              </w:rPr>
              <w:t xml:space="preserve"> </w:t>
            </w:r>
            <w:r>
              <w:rPr>
                <w:color w:val="000000"/>
                <w:sz w:val="22"/>
                <w:szCs w:val="22"/>
              </w:rPr>
              <w:t>hour</w:t>
            </w:r>
            <w:r w:rsidR="003A177E">
              <w:rPr>
                <w:color w:val="000000"/>
                <w:sz w:val="22"/>
                <w:szCs w:val="22"/>
              </w:rPr>
              <w:t xml:space="preserve"> </w:t>
            </w:r>
            <w:r>
              <w:rPr>
                <w:color w:val="000000"/>
                <w:sz w:val="22"/>
                <w:szCs w:val="22"/>
              </w:rPr>
              <w:t>of</w:t>
            </w:r>
            <w:r w:rsidR="003A177E">
              <w:rPr>
                <w:color w:val="000000"/>
                <w:sz w:val="22"/>
                <w:szCs w:val="22"/>
              </w:rPr>
              <w:t xml:space="preserve"> </w:t>
            </w:r>
            <w:r>
              <w:rPr>
                <w:color w:val="000000"/>
                <w:sz w:val="22"/>
                <w:szCs w:val="22"/>
              </w:rPr>
              <w:t>day, DOW, month, season</w:t>
            </w:r>
          </w:p>
        </w:tc>
        <w:tc>
          <w:tcPr>
            <w:tcW w:w="2100" w:type="dxa"/>
            <w:tcMar>
              <w:top w:w="60" w:type="dxa"/>
              <w:left w:w="100" w:type="dxa"/>
              <w:bottom w:w="60" w:type="dxa"/>
              <w:right w:w="100" w:type="dxa"/>
            </w:tcMar>
            <w:vAlign w:val="center"/>
          </w:tcPr>
          <w:p w14:paraId="09DD6431" w14:textId="77777777" w:rsidR="00FD47FB" w:rsidRDefault="00000000">
            <w:r>
              <w:rPr>
                <w:color w:val="000000"/>
                <w:sz w:val="22"/>
                <w:szCs w:val="22"/>
              </w:rPr>
              <w:t>Derived</w:t>
            </w:r>
          </w:p>
        </w:tc>
        <w:tc>
          <w:tcPr>
            <w:tcW w:w="3900" w:type="dxa"/>
            <w:tcMar>
              <w:top w:w="60" w:type="dxa"/>
              <w:left w:w="100" w:type="dxa"/>
              <w:bottom w:w="60" w:type="dxa"/>
              <w:right w:w="100" w:type="dxa"/>
            </w:tcMar>
            <w:vAlign w:val="center"/>
          </w:tcPr>
          <w:p w14:paraId="0D595CE2" w14:textId="77777777" w:rsidR="00FD47FB" w:rsidRDefault="00000000">
            <w:r>
              <w:rPr>
                <w:color w:val="000000"/>
                <w:sz w:val="22"/>
                <w:szCs w:val="22"/>
              </w:rPr>
              <w:t>Captures diurnal/weekly/seasonal cycles</w:t>
            </w:r>
          </w:p>
        </w:tc>
      </w:tr>
      <w:tr w:rsidR="00FD47FB" w14:paraId="178AF0BB" w14:textId="77777777">
        <w:tc>
          <w:tcPr>
            <w:tcW w:w="3000" w:type="dxa"/>
            <w:tcMar>
              <w:top w:w="60" w:type="dxa"/>
              <w:left w:w="100" w:type="dxa"/>
              <w:bottom w:w="60" w:type="dxa"/>
              <w:right w:w="100" w:type="dxa"/>
            </w:tcMar>
            <w:vAlign w:val="center"/>
          </w:tcPr>
          <w:p w14:paraId="7C838A1E" w14:textId="77777777" w:rsidR="00FD47FB" w:rsidRDefault="00000000">
            <w:r>
              <w:rPr>
                <w:color w:val="000000"/>
                <w:sz w:val="22"/>
                <w:szCs w:val="22"/>
              </w:rPr>
              <w:t>Temperature (HDD/CDD)</w:t>
            </w:r>
          </w:p>
        </w:tc>
        <w:tc>
          <w:tcPr>
            <w:tcW w:w="2100" w:type="dxa"/>
            <w:tcMar>
              <w:top w:w="60" w:type="dxa"/>
              <w:left w:w="100" w:type="dxa"/>
              <w:bottom w:w="60" w:type="dxa"/>
              <w:right w:w="100" w:type="dxa"/>
            </w:tcMar>
            <w:vAlign w:val="center"/>
          </w:tcPr>
          <w:p w14:paraId="5D56897F" w14:textId="77777777" w:rsidR="00FD47FB" w:rsidRDefault="00000000">
            <w:r>
              <w:rPr>
                <w:color w:val="000000"/>
                <w:sz w:val="22"/>
                <w:szCs w:val="22"/>
              </w:rPr>
              <w:t>BOM, per region</w:t>
            </w:r>
          </w:p>
        </w:tc>
        <w:tc>
          <w:tcPr>
            <w:tcW w:w="3900" w:type="dxa"/>
            <w:tcMar>
              <w:top w:w="60" w:type="dxa"/>
              <w:left w:w="100" w:type="dxa"/>
              <w:bottom w:w="60" w:type="dxa"/>
              <w:right w:w="100" w:type="dxa"/>
            </w:tcMar>
            <w:vAlign w:val="center"/>
          </w:tcPr>
          <w:p w14:paraId="5BE5BCDA" w14:textId="77777777" w:rsidR="00FD47FB" w:rsidRDefault="00000000">
            <w:r>
              <w:rPr>
                <w:color w:val="000000"/>
                <w:sz w:val="22"/>
                <w:szCs w:val="22"/>
              </w:rPr>
              <w:t>Established heating/cooling driver (Richardson et al., 2025)</w:t>
            </w:r>
          </w:p>
        </w:tc>
      </w:tr>
      <w:tr w:rsidR="00FD47FB" w14:paraId="24277322" w14:textId="77777777">
        <w:tc>
          <w:tcPr>
            <w:tcW w:w="3000" w:type="dxa"/>
            <w:tcMar>
              <w:top w:w="60" w:type="dxa"/>
              <w:left w:w="100" w:type="dxa"/>
              <w:bottom w:w="60" w:type="dxa"/>
              <w:right w:w="100" w:type="dxa"/>
            </w:tcMar>
            <w:vAlign w:val="center"/>
          </w:tcPr>
          <w:p w14:paraId="4842013D" w14:textId="77777777" w:rsidR="00FD47FB" w:rsidRDefault="00000000">
            <w:r>
              <w:rPr>
                <w:color w:val="000000"/>
                <w:sz w:val="22"/>
                <w:szCs w:val="22"/>
              </w:rPr>
              <w:t>Public holiday flag</w:t>
            </w:r>
          </w:p>
        </w:tc>
        <w:tc>
          <w:tcPr>
            <w:tcW w:w="2100" w:type="dxa"/>
            <w:tcMar>
              <w:top w:w="60" w:type="dxa"/>
              <w:left w:w="100" w:type="dxa"/>
              <w:bottom w:w="60" w:type="dxa"/>
              <w:right w:w="100" w:type="dxa"/>
            </w:tcMar>
            <w:vAlign w:val="center"/>
          </w:tcPr>
          <w:p w14:paraId="273649B1" w14:textId="77777777" w:rsidR="00FD47FB" w:rsidRDefault="00000000">
            <w:r>
              <w:rPr>
                <w:color w:val="000000"/>
                <w:sz w:val="22"/>
                <w:szCs w:val="22"/>
              </w:rPr>
              <w:t>Derived, per region</w:t>
            </w:r>
          </w:p>
        </w:tc>
        <w:tc>
          <w:tcPr>
            <w:tcW w:w="3900" w:type="dxa"/>
            <w:tcMar>
              <w:top w:w="60" w:type="dxa"/>
              <w:left w:w="100" w:type="dxa"/>
              <w:bottom w:w="60" w:type="dxa"/>
              <w:right w:w="100" w:type="dxa"/>
            </w:tcMar>
            <w:vAlign w:val="center"/>
          </w:tcPr>
          <w:p w14:paraId="68B5DE8B" w14:textId="77777777" w:rsidR="00FD47FB" w:rsidRDefault="00000000">
            <w:r>
              <w:rPr>
                <w:color w:val="000000"/>
                <w:sz w:val="22"/>
                <w:szCs w:val="22"/>
              </w:rPr>
              <w:t>Demand deviates from routine patterns</w:t>
            </w:r>
          </w:p>
        </w:tc>
      </w:tr>
    </w:tbl>
    <w:p w14:paraId="1878A3C4" w14:textId="5AA4A944" w:rsidR="00FD47FB" w:rsidRDefault="00000000">
      <w:pPr>
        <w:spacing w:before="40" w:after="160"/>
        <w:jc w:val="center"/>
      </w:pPr>
      <w:r>
        <w:rPr>
          <w:i/>
          <w:iCs/>
          <w:color w:val="404040"/>
          <w:sz w:val="22"/>
          <w:szCs w:val="22"/>
        </w:rPr>
        <w:t>Table 1. Proposed pe</w:t>
      </w:r>
      <w:r w:rsidR="003A177E">
        <w:rPr>
          <w:i/>
          <w:iCs/>
          <w:color w:val="404040"/>
          <w:sz w:val="22"/>
          <w:szCs w:val="22"/>
        </w:rPr>
        <w:t xml:space="preserve">r </w:t>
      </w:r>
      <w:r>
        <w:rPr>
          <w:i/>
          <w:iCs/>
          <w:color w:val="404040"/>
          <w:sz w:val="22"/>
          <w:szCs w:val="22"/>
        </w:rPr>
        <w:t>region dataset variables.</w:t>
      </w:r>
    </w:p>
    <w:p w14:paraId="672F4375" w14:textId="77777777" w:rsidR="00FD47FB" w:rsidRDefault="00000000">
      <w:pPr>
        <w:spacing w:before="200" w:after="100"/>
      </w:pPr>
      <w:r>
        <w:rPr>
          <w:b/>
          <w:bCs/>
          <w:color w:val="1F3864"/>
          <w:sz w:val="26"/>
          <w:szCs w:val="26"/>
        </w:rPr>
        <w:t>5. System Architecture</w:t>
      </w:r>
    </w:p>
    <w:p w14:paraId="1B3BD49F" w14:textId="3D56C51B" w:rsidR="00FD47FB" w:rsidRDefault="00000000">
      <w:pPr>
        <w:spacing w:after="120"/>
        <w:jc w:val="both"/>
      </w:pPr>
      <w:r>
        <w:rPr>
          <w:sz w:val="22"/>
          <w:szCs w:val="22"/>
        </w:rPr>
        <w:t>Figure 1 shows the eight</w:t>
      </w:r>
      <w:r w:rsidR="003A177E">
        <w:rPr>
          <w:sz w:val="22"/>
          <w:szCs w:val="22"/>
        </w:rPr>
        <w:t xml:space="preserve"> </w:t>
      </w:r>
      <w:r>
        <w:rPr>
          <w:sz w:val="22"/>
          <w:szCs w:val="22"/>
        </w:rPr>
        <w:t>layer platform: sources feed continuous ingestion, including a correction</w:t>
      </w:r>
      <w:r w:rsidR="003A177E">
        <w:rPr>
          <w:sz w:val="22"/>
          <w:szCs w:val="22"/>
        </w:rPr>
        <w:t xml:space="preserve"> </w:t>
      </w:r>
      <w:r>
        <w:rPr>
          <w:sz w:val="22"/>
          <w:szCs w:val="22"/>
        </w:rPr>
        <w:t>file listener; raw storage preserves lineage; a Data Quality &amp; Correction layer reconciles provisional against canonical records; curated features feed independent per</w:t>
      </w:r>
      <w:r w:rsidR="003A177E">
        <w:rPr>
          <w:sz w:val="22"/>
          <w:szCs w:val="22"/>
        </w:rPr>
        <w:t xml:space="preserve"> </w:t>
      </w:r>
      <w:r>
        <w:rPr>
          <w:sz w:val="22"/>
          <w:szCs w:val="22"/>
        </w:rPr>
        <w:t>region models; forecasts freeze in a repository kept separate from canonical actuals; and a Verification &amp; Presentation layer compares the two, monitors performance, and serves both dashboards. Unlike a one</w:t>
      </w:r>
      <w:r w:rsidR="003A177E">
        <w:rPr>
          <w:sz w:val="22"/>
          <w:szCs w:val="22"/>
        </w:rPr>
        <w:t xml:space="preserve"> </w:t>
      </w:r>
      <w:r>
        <w:rPr>
          <w:sz w:val="22"/>
          <w:szCs w:val="22"/>
        </w:rPr>
        <w:t>way pipeline, the architecture closes a feedback loop: verification findings feed back into the Forecasting Engine (dashed arrow), letting the system run continuously rather than as a single trained</w:t>
      </w:r>
      <w:r w:rsidR="003A177E">
        <w:rPr>
          <w:sz w:val="22"/>
          <w:szCs w:val="22"/>
        </w:rPr>
        <w:t xml:space="preserve"> </w:t>
      </w:r>
      <w:r>
        <w:rPr>
          <w:sz w:val="22"/>
          <w:szCs w:val="22"/>
        </w:rPr>
        <w:t>and</w:t>
      </w:r>
      <w:r w:rsidR="003A177E">
        <w:rPr>
          <w:sz w:val="22"/>
          <w:szCs w:val="22"/>
        </w:rPr>
        <w:t xml:space="preserve"> </w:t>
      </w:r>
      <w:r>
        <w:rPr>
          <w:sz w:val="22"/>
          <w:szCs w:val="22"/>
        </w:rPr>
        <w:t>forgotten model.</w:t>
      </w:r>
    </w:p>
    <w:p w14:paraId="61588790" w14:textId="77777777" w:rsidR="00FD47FB" w:rsidRDefault="00000000">
      <w:pPr>
        <w:spacing w:before="100" w:after="40"/>
        <w:jc w:val="center"/>
      </w:pPr>
      <w:r>
        <w:rPr>
          <w:noProof/>
        </w:rPr>
        <w:drawing>
          <wp:inline distT="0" distB="0" distL="0" distR="0" wp14:anchorId="127234AB" wp14:editId="2C4910A4">
            <wp:extent cx="4538133" cy="5538061"/>
            <wp:effectExtent l="0" t="0" r="0" b="5715"/>
            <wp:docPr id="504959856" name="Picture 50495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44679" cy="5546049"/>
                    </a:xfrm>
                    <a:prstGeom prst="rect">
                      <a:avLst/>
                    </a:prstGeom>
                  </pic:spPr>
                </pic:pic>
              </a:graphicData>
            </a:graphic>
          </wp:inline>
        </w:drawing>
      </w:r>
    </w:p>
    <w:p w14:paraId="1C559B2C" w14:textId="77777777" w:rsidR="00FD47FB" w:rsidRDefault="00000000">
      <w:pPr>
        <w:spacing w:before="40" w:after="160"/>
        <w:jc w:val="center"/>
      </w:pPr>
      <w:r>
        <w:rPr>
          <w:i/>
          <w:iCs/>
          <w:color w:val="404040"/>
          <w:sz w:val="22"/>
          <w:szCs w:val="22"/>
        </w:rPr>
        <w:t>Figure 1. Proposed platform architecture, with verification feedback loop.</w:t>
      </w:r>
    </w:p>
    <w:p w14:paraId="1B2EA421" w14:textId="77777777" w:rsidR="00FD47FB" w:rsidRDefault="00000000">
      <w:pPr>
        <w:spacing w:before="200" w:after="100"/>
      </w:pPr>
      <w:r>
        <w:rPr>
          <w:b/>
          <w:bCs/>
          <w:color w:val="1F3864"/>
          <w:sz w:val="26"/>
          <w:szCs w:val="26"/>
        </w:rPr>
        <w:lastRenderedPageBreak/>
        <w:t>6. Continuous Verification and the Rolling Boundary</w:t>
      </w:r>
    </w:p>
    <w:p w14:paraId="675B41DB" w14:textId="4A4CC98E" w:rsidR="00FD47FB" w:rsidRDefault="00000000">
      <w:pPr>
        <w:spacing w:after="120"/>
        <w:jc w:val="both"/>
      </w:pPr>
      <w:r>
        <w:rPr>
          <w:sz w:val="22"/>
          <w:szCs w:val="22"/>
        </w:rPr>
        <w:t>Figure 2 illustrates the cycle: at any cutoff, the platform holds actual demand and frozen forecasts through the cutoff (validated historical) and forecast</w:t>
      </w:r>
      <w:r w:rsidR="003A177E">
        <w:rPr>
          <w:sz w:val="22"/>
          <w:szCs w:val="22"/>
        </w:rPr>
        <w:t xml:space="preserve"> </w:t>
      </w:r>
      <w:r>
        <w:rPr>
          <w:sz w:val="22"/>
          <w:szCs w:val="22"/>
        </w:rPr>
        <w:t>only values beyond it (future forecast); the boundary advances daily as actuals arrive. Each forecast is generated once, frozen, and verified against that original value</w:t>
      </w:r>
      <w:r w:rsidR="003A177E">
        <w:rPr>
          <w:sz w:val="22"/>
          <w:szCs w:val="22"/>
        </w:rPr>
        <w:t xml:space="preserve"> </w:t>
      </w:r>
      <w:r>
        <w:rPr>
          <w:sz w:val="22"/>
          <w:szCs w:val="22"/>
        </w:rPr>
        <w:t xml:space="preserve"> </w:t>
      </w:r>
      <w:r w:rsidR="003A177E">
        <w:rPr>
          <w:sz w:val="22"/>
          <w:szCs w:val="22"/>
        </w:rPr>
        <w:t>which</w:t>
      </w:r>
      <w:r>
        <w:rPr>
          <w:sz w:val="22"/>
          <w:szCs w:val="22"/>
        </w:rPr>
        <w:t xml:space="preserve"> prevent</w:t>
      </w:r>
      <w:r w:rsidR="003A177E">
        <w:rPr>
          <w:sz w:val="22"/>
          <w:szCs w:val="22"/>
        </w:rPr>
        <w:t>s</w:t>
      </w:r>
      <w:r>
        <w:rPr>
          <w:sz w:val="22"/>
          <w:szCs w:val="22"/>
        </w:rPr>
        <w:t xml:space="preserve"> future information leaking into historical evaluation (Hewamalage, Ackermann, &amp; Bergmeir, 2022).</w:t>
      </w:r>
    </w:p>
    <w:p w14:paraId="32FA4D6B" w14:textId="67A59C2B" w:rsidR="00FD47FB" w:rsidRDefault="00000000">
      <w:pPr>
        <w:spacing w:after="120"/>
        <w:jc w:val="both"/>
      </w:pPr>
      <w:r>
        <w:rPr>
          <w:sz w:val="22"/>
          <w:szCs w:val="22"/>
        </w:rPr>
        <w:t>If AEMO later issues a retrospective correction, the Verification Engine recalculates that day's error against the corrected actual and flags the metric as recalculated, rather than silently overwriting the first</w:t>
      </w:r>
      <w:r w:rsidR="003A177E">
        <w:rPr>
          <w:sz w:val="22"/>
          <w:szCs w:val="22"/>
        </w:rPr>
        <w:t xml:space="preserve"> </w:t>
      </w:r>
      <w:r>
        <w:rPr>
          <w:sz w:val="22"/>
          <w:szCs w:val="22"/>
        </w:rPr>
        <w:t>pass result operationalising AEMO's own correction mechanism (Section 4).</w:t>
      </w:r>
    </w:p>
    <w:p w14:paraId="4778DA10" w14:textId="77777777" w:rsidR="00FD47FB" w:rsidRDefault="00000000">
      <w:pPr>
        <w:spacing w:before="100" w:after="40"/>
        <w:jc w:val="center"/>
      </w:pPr>
      <w:r>
        <w:rPr>
          <w:noProof/>
        </w:rPr>
        <w:drawing>
          <wp:inline distT="0" distB="0" distL="0" distR="0" wp14:anchorId="4053FB8C" wp14:editId="70E60618">
            <wp:extent cx="4210050" cy="2895600"/>
            <wp:effectExtent l="0" t="0" r="0" b="0"/>
            <wp:docPr id="883598105" name="Picture 88359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2895600"/>
                    </a:xfrm>
                    <a:prstGeom prst="rect">
                      <a:avLst/>
                    </a:prstGeom>
                  </pic:spPr>
                </pic:pic>
              </a:graphicData>
            </a:graphic>
          </wp:inline>
        </w:drawing>
      </w:r>
    </w:p>
    <w:p w14:paraId="025269A3" w14:textId="2386D179" w:rsidR="00FD47FB" w:rsidRDefault="00000000">
      <w:pPr>
        <w:spacing w:before="40" w:after="160"/>
        <w:jc w:val="center"/>
      </w:pPr>
      <w:r>
        <w:rPr>
          <w:i/>
          <w:iCs/>
          <w:color w:val="404040"/>
          <w:sz w:val="22"/>
          <w:szCs w:val="22"/>
        </w:rPr>
        <w:t>Figure 2. Continuous verification cycle and correction</w:t>
      </w:r>
      <w:r w:rsidR="00D93989">
        <w:rPr>
          <w:i/>
          <w:iCs/>
          <w:color w:val="404040"/>
          <w:sz w:val="22"/>
          <w:szCs w:val="22"/>
        </w:rPr>
        <w:t xml:space="preserve"> </w:t>
      </w:r>
      <w:r>
        <w:rPr>
          <w:i/>
          <w:iCs/>
          <w:color w:val="404040"/>
          <w:sz w:val="22"/>
          <w:szCs w:val="22"/>
        </w:rPr>
        <w:t>aware recalculation.</w:t>
      </w:r>
    </w:p>
    <w:p w14:paraId="2EAB532E" w14:textId="77777777" w:rsidR="00FD47FB" w:rsidRDefault="00000000">
      <w:pPr>
        <w:spacing w:before="200" w:after="100"/>
      </w:pPr>
      <w:r>
        <w:rPr>
          <w:b/>
          <w:bCs/>
          <w:color w:val="1F3864"/>
          <w:sz w:val="26"/>
          <w:szCs w:val="26"/>
        </w:rPr>
        <w:t>7. Forecasting Methodology</w:t>
      </w:r>
    </w:p>
    <w:p w14:paraId="468C7135" w14:textId="6799D106" w:rsidR="003A177E" w:rsidRPr="003A177E" w:rsidRDefault="003A177E" w:rsidP="003A177E">
      <w:pPr>
        <w:spacing w:before="200" w:after="100"/>
        <w:jc w:val="both"/>
        <w:rPr>
          <w:sz w:val="22"/>
          <w:szCs w:val="22"/>
        </w:rPr>
      </w:pPr>
      <w:r w:rsidRPr="003A177E">
        <w:rPr>
          <w:sz w:val="22"/>
          <w:szCs w:val="22"/>
        </w:rPr>
        <w:t>Independent per</w:t>
      </w:r>
      <w:r w:rsidR="00A124A4">
        <w:rPr>
          <w:sz w:val="22"/>
          <w:szCs w:val="22"/>
        </w:rPr>
        <w:t xml:space="preserve"> </w:t>
      </w:r>
      <w:r w:rsidRPr="003A177E">
        <w:rPr>
          <w:sz w:val="22"/>
          <w:szCs w:val="22"/>
        </w:rPr>
        <w:t>region models are the primary approach: the regions differ materially in climate, population, industry mix and scale, making region</w:t>
      </w:r>
      <w:r w:rsidR="00A124A4">
        <w:rPr>
          <w:sz w:val="22"/>
          <w:szCs w:val="22"/>
        </w:rPr>
        <w:t xml:space="preserve"> </w:t>
      </w:r>
      <w:r w:rsidRPr="003A177E">
        <w:rPr>
          <w:sz w:val="22"/>
          <w:szCs w:val="22"/>
        </w:rPr>
        <w:t>specific modelling more defensible than one shared model (Richardson et al., 2025). A three</w:t>
      </w:r>
      <w:r w:rsidR="00D93989">
        <w:rPr>
          <w:sz w:val="22"/>
          <w:szCs w:val="22"/>
        </w:rPr>
        <w:t xml:space="preserve"> </w:t>
      </w:r>
      <w:r w:rsidRPr="003A177E">
        <w:rPr>
          <w:sz w:val="22"/>
          <w:szCs w:val="22"/>
        </w:rPr>
        <w:t>tier comparison runs per region: seasonal</w:t>
      </w:r>
      <w:r w:rsidR="00A124A4">
        <w:rPr>
          <w:sz w:val="22"/>
          <w:szCs w:val="22"/>
        </w:rPr>
        <w:t xml:space="preserve"> </w:t>
      </w:r>
      <w:r w:rsidRPr="003A177E">
        <w:rPr>
          <w:sz w:val="22"/>
          <w:szCs w:val="22"/>
        </w:rPr>
        <w:t>naive baseline, statistical SARIMA, and machine</w:t>
      </w:r>
      <w:r w:rsidR="00A124A4">
        <w:rPr>
          <w:sz w:val="22"/>
          <w:szCs w:val="22"/>
        </w:rPr>
        <w:t xml:space="preserve"> </w:t>
      </w:r>
      <w:r w:rsidRPr="003A177E">
        <w:rPr>
          <w:sz w:val="22"/>
          <w:szCs w:val="22"/>
        </w:rPr>
        <w:t>learning models (Random Forest, Gradient Boosting); deep learning stays a stretch extension given group capacity (Akhtar et al., 2023; Alsmadi et al., 2025). An optional hierarchical reconciliation step, checking regional forecasts sum to an independently forecast NEM total, is well</w:t>
      </w:r>
      <w:r w:rsidR="00A124A4">
        <w:rPr>
          <w:sz w:val="22"/>
          <w:szCs w:val="22"/>
        </w:rPr>
        <w:t xml:space="preserve"> </w:t>
      </w:r>
      <w:r w:rsidRPr="003A177E">
        <w:rPr>
          <w:sz w:val="22"/>
          <w:szCs w:val="22"/>
        </w:rPr>
        <w:t>established but scoped as a stretch.</w:t>
      </w:r>
    </w:p>
    <w:p w14:paraId="71DD7E16" w14:textId="342CD77D" w:rsidR="003A177E" w:rsidRDefault="003A177E" w:rsidP="003A177E">
      <w:pPr>
        <w:spacing w:before="200" w:after="100"/>
        <w:jc w:val="both"/>
        <w:rPr>
          <w:sz w:val="22"/>
          <w:szCs w:val="22"/>
        </w:rPr>
      </w:pPr>
      <w:r w:rsidRPr="003A177E">
        <w:rPr>
          <w:sz w:val="22"/>
          <w:szCs w:val="22"/>
        </w:rPr>
        <w:t>Validation remains strictly chronological walk</w:t>
      </w:r>
      <w:r w:rsidR="00A124A4">
        <w:rPr>
          <w:sz w:val="22"/>
          <w:szCs w:val="22"/>
        </w:rPr>
        <w:t xml:space="preserve"> </w:t>
      </w:r>
      <w:r w:rsidRPr="003A177E">
        <w:rPr>
          <w:sz w:val="22"/>
          <w:szCs w:val="22"/>
        </w:rPr>
        <w:t>forward, applied per region; metrics are MAE, RMSE, MAPE and bias, the last to catch systematic under</w:t>
      </w:r>
      <w:r w:rsidR="00A124A4">
        <w:rPr>
          <w:sz w:val="22"/>
          <w:szCs w:val="22"/>
        </w:rPr>
        <w:t xml:space="preserve"> </w:t>
      </w:r>
      <w:r w:rsidRPr="003A177E">
        <w:rPr>
          <w:sz w:val="22"/>
          <w:szCs w:val="22"/>
        </w:rPr>
        <w:t>or over</w:t>
      </w:r>
      <w:r w:rsidR="00A124A4">
        <w:rPr>
          <w:sz w:val="22"/>
          <w:szCs w:val="22"/>
        </w:rPr>
        <w:t xml:space="preserve"> </w:t>
      </w:r>
      <w:r w:rsidRPr="003A177E">
        <w:rPr>
          <w:sz w:val="22"/>
          <w:szCs w:val="22"/>
        </w:rPr>
        <w:t>forecasting (Hyndman &amp; Athanasopoulos, 2021).</w:t>
      </w:r>
    </w:p>
    <w:p w14:paraId="1FF5BCDB" w14:textId="5F5C455A" w:rsidR="00FD47FB" w:rsidRDefault="00000000">
      <w:pPr>
        <w:spacing w:before="200" w:after="100"/>
      </w:pPr>
      <w:r>
        <w:rPr>
          <w:b/>
          <w:bCs/>
          <w:color w:val="1F3864"/>
          <w:sz w:val="26"/>
          <w:szCs w:val="26"/>
        </w:rPr>
        <w:t>8. Dashboard Architecture</w:t>
      </w:r>
    </w:p>
    <w:p w14:paraId="315AD60E" w14:textId="7BB0A372" w:rsidR="00FD47FB" w:rsidRDefault="003A177E">
      <w:pPr>
        <w:spacing w:after="120"/>
        <w:jc w:val="both"/>
      </w:pPr>
      <w:r w:rsidRPr="003A177E">
        <w:rPr>
          <w:sz w:val="22"/>
          <w:szCs w:val="22"/>
        </w:rPr>
        <w:t>Figure 3 shows the two</w:t>
      </w:r>
      <w:r w:rsidR="00A124A4">
        <w:rPr>
          <w:sz w:val="22"/>
          <w:szCs w:val="22"/>
        </w:rPr>
        <w:t xml:space="preserve"> </w:t>
      </w:r>
      <w:r w:rsidRPr="003A177E">
        <w:rPr>
          <w:sz w:val="22"/>
          <w:szCs w:val="22"/>
        </w:rPr>
        <w:t>dashboard design, sharing one data layer. Dashboard A (Forecasting &amp; Demand Intelligence) answers "what will happen": region selector, annual/daily/half</w:t>
      </w:r>
      <w:r w:rsidR="00A124A4">
        <w:rPr>
          <w:sz w:val="22"/>
          <w:szCs w:val="22"/>
        </w:rPr>
        <w:t xml:space="preserve"> </w:t>
      </w:r>
      <w:r w:rsidRPr="003A177E">
        <w:rPr>
          <w:sz w:val="22"/>
          <w:szCs w:val="22"/>
        </w:rPr>
        <w:t>hourly views, forecasts clearly distinguished from actuals. Dashboard B (Verification &amp; Model Performance) answers "how well did we predict": MAE/RMSE/MAPE/bias, actual</w:t>
      </w:r>
      <w:r w:rsidR="00A124A4">
        <w:rPr>
          <w:sz w:val="22"/>
          <w:szCs w:val="22"/>
        </w:rPr>
        <w:t xml:space="preserve"> </w:t>
      </w:r>
      <w:r w:rsidRPr="003A177E">
        <w:rPr>
          <w:sz w:val="22"/>
          <w:szCs w:val="22"/>
        </w:rPr>
        <w:t>vs</w:t>
      </w:r>
      <w:r w:rsidR="00A124A4">
        <w:rPr>
          <w:sz w:val="22"/>
          <w:szCs w:val="22"/>
        </w:rPr>
        <w:t xml:space="preserve"> </w:t>
      </w:r>
      <w:r w:rsidRPr="003A177E">
        <w:rPr>
          <w:sz w:val="22"/>
          <w:szCs w:val="22"/>
        </w:rPr>
        <w:t>predicted and error</w:t>
      </w:r>
      <w:r w:rsidR="00A124A4">
        <w:rPr>
          <w:sz w:val="22"/>
          <w:szCs w:val="22"/>
        </w:rPr>
        <w:t xml:space="preserve"> </w:t>
      </w:r>
      <w:r w:rsidRPr="003A177E">
        <w:rPr>
          <w:sz w:val="22"/>
          <w:szCs w:val="22"/>
        </w:rPr>
        <w:t>over</w:t>
      </w:r>
      <w:r w:rsidR="00A124A4">
        <w:rPr>
          <w:sz w:val="22"/>
          <w:szCs w:val="22"/>
        </w:rPr>
        <w:t xml:space="preserve"> </w:t>
      </w:r>
      <w:r w:rsidRPr="003A177E">
        <w:rPr>
          <w:sz w:val="22"/>
          <w:szCs w:val="22"/>
        </w:rPr>
        <w:t>time charts, regional comparison. No accuracy or demand figures are populated until real models are trained; both are illustrative layouts only.</w:t>
      </w:r>
    </w:p>
    <w:p w14:paraId="04D2AF48" w14:textId="77777777" w:rsidR="00FD47FB" w:rsidRDefault="00000000">
      <w:pPr>
        <w:spacing w:before="100" w:after="40"/>
        <w:jc w:val="center"/>
      </w:pPr>
      <w:r>
        <w:rPr>
          <w:noProof/>
        </w:rPr>
        <w:lastRenderedPageBreak/>
        <w:drawing>
          <wp:inline distT="0" distB="0" distL="0" distR="0" wp14:anchorId="4384B790" wp14:editId="2D371974">
            <wp:extent cx="5702990" cy="3352517"/>
            <wp:effectExtent l="0" t="0" r="0" b="635"/>
            <wp:docPr id="80008216" name="Picture 8000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2143" cy="3363776"/>
                    </a:xfrm>
                    <a:prstGeom prst="rect">
                      <a:avLst/>
                    </a:prstGeom>
                  </pic:spPr>
                </pic:pic>
              </a:graphicData>
            </a:graphic>
          </wp:inline>
        </w:drawing>
      </w:r>
    </w:p>
    <w:p w14:paraId="219B089E" w14:textId="32A1BFED" w:rsidR="00FD47FB" w:rsidRDefault="00000000">
      <w:pPr>
        <w:spacing w:before="40" w:after="160"/>
        <w:jc w:val="center"/>
      </w:pPr>
      <w:r>
        <w:rPr>
          <w:i/>
          <w:iCs/>
          <w:color w:val="404040"/>
          <w:sz w:val="22"/>
          <w:szCs w:val="22"/>
        </w:rPr>
        <w:t>Figure 3. Illustrative dua</w:t>
      </w:r>
      <w:r w:rsidR="00D93989">
        <w:rPr>
          <w:i/>
          <w:iCs/>
          <w:color w:val="404040"/>
          <w:sz w:val="22"/>
          <w:szCs w:val="22"/>
        </w:rPr>
        <w:t xml:space="preserve">l </w:t>
      </w:r>
      <w:r>
        <w:rPr>
          <w:i/>
          <w:iCs/>
          <w:color w:val="404040"/>
          <w:sz w:val="22"/>
          <w:szCs w:val="22"/>
        </w:rPr>
        <w:t>dashboard concept</w:t>
      </w:r>
    </w:p>
    <w:p w14:paraId="53A6565C" w14:textId="77777777" w:rsidR="00FD47FB" w:rsidRDefault="00000000">
      <w:pPr>
        <w:spacing w:before="200" w:after="100"/>
      </w:pPr>
      <w:r>
        <w:rPr>
          <w:b/>
          <w:bCs/>
          <w:color w:val="1F3864"/>
          <w:sz w:val="26"/>
          <w:szCs w:val="26"/>
        </w:rPr>
        <w:t>9. Team Structure and Task Allocation</w:t>
      </w:r>
    </w:p>
    <w:p w14:paraId="2F4BF3C5" w14:textId="77777777" w:rsidR="00FD47FB" w:rsidRDefault="00000000">
      <w:pPr>
        <w:spacing w:after="120"/>
        <w:jc w:val="both"/>
      </w:pPr>
      <w:r>
        <w:rPr>
          <w:sz w:val="22"/>
          <w:szCs w:val="22"/>
        </w:rPr>
        <w:t>Table 2 sets out the proposed workload allocation; all members contribute to integration and final validation regardless of role.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990"/>
        <w:gridCol w:w="5076"/>
      </w:tblGrid>
      <w:tr w:rsidR="00FD47FB" w14:paraId="3BF8F78A" w14:textId="77777777">
        <w:trPr>
          <w:tblHeader/>
        </w:trPr>
        <w:tc>
          <w:tcPr>
            <w:tcW w:w="900" w:type="dxa"/>
            <w:shd w:val="clear" w:color="auto" w:fill="1F3864"/>
            <w:tcMar>
              <w:top w:w="60" w:type="dxa"/>
              <w:left w:w="100" w:type="dxa"/>
              <w:bottom w:w="60" w:type="dxa"/>
              <w:right w:w="100" w:type="dxa"/>
            </w:tcMar>
            <w:vAlign w:val="center"/>
          </w:tcPr>
          <w:p w14:paraId="0FD39912" w14:textId="77777777" w:rsidR="00FD47FB" w:rsidRDefault="00000000">
            <w:r>
              <w:rPr>
                <w:b/>
                <w:bCs/>
                <w:color w:val="FFFFFF"/>
                <w:sz w:val="22"/>
                <w:szCs w:val="22"/>
              </w:rPr>
              <w:t>Student</w:t>
            </w:r>
          </w:p>
        </w:tc>
        <w:tc>
          <w:tcPr>
            <w:tcW w:w="3000" w:type="dxa"/>
            <w:shd w:val="clear" w:color="auto" w:fill="1F3864"/>
            <w:tcMar>
              <w:top w:w="60" w:type="dxa"/>
              <w:left w:w="100" w:type="dxa"/>
              <w:bottom w:w="60" w:type="dxa"/>
              <w:right w:w="100" w:type="dxa"/>
            </w:tcMar>
            <w:vAlign w:val="center"/>
          </w:tcPr>
          <w:p w14:paraId="43A40C79" w14:textId="77777777" w:rsidR="00FD47FB" w:rsidRDefault="00000000">
            <w:r>
              <w:rPr>
                <w:b/>
                <w:bCs/>
                <w:color w:val="FFFFFF"/>
                <w:sz w:val="22"/>
                <w:szCs w:val="22"/>
              </w:rPr>
              <w:t>Primary Role</w:t>
            </w:r>
          </w:p>
        </w:tc>
        <w:tc>
          <w:tcPr>
            <w:tcW w:w="5100" w:type="dxa"/>
            <w:shd w:val="clear" w:color="auto" w:fill="1F3864"/>
            <w:tcMar>
              <w:top w:w="60" w:type="dxa"/>
              <w:left w:w="100" w:type="dxa"/>
              <w:bottom w:w="60" w:type="dxa"/>
              <w:right w:w="100" w:type="dxa"/>
            </w:tcMar>
            <w:vAlign w:val="center"/>
          </w:tcPr>
          <w:p w14:paraId="077F5BFF" w14:textId="77777777" w:rsidR="00FD47FB" w:rsidRDefault="00000000">
            <w:r>
              <w:rPr>
                <w:b/>
                <w:bCs/>
                <w:color w:val="FFFFFF"/>
                <w:sz w:val="22"/>
                <w:szCs w:val="22"/>
              </w:rPr>
              <w:t>Key Deliverable</w:t>
            </w:r>
          </w:p>
        </w:tc>
      </w:tr>
      <w:tr w:rsidR="00FD47FB" w14:paraId="21C0AFA0" w14:textId="77777777">
        <w:tc>
          <w:tcPr>
            <w:tcW w:w="900" w:type="dxa"/>
            <w:tcMar>
              <w:top w:w="60" w:type="dxa"/>
              <w:left w:w="100" w:type="dxa"/>
              <w:bottom w:w="60" w:type="dxa"/>
              <w:right w:w="100" w:type="dxa"/>
            </w:tcMar>
            <w:vAlign w:val="center"/>
          </w:tcPr>
          <w:p w14:paraId="593D41EC" w14:textId="02E9FE75" w:rsidR="00FD47FB" w:rsidRDefault="00314DD9">
            <w:r>
              <w:t>Sudip</w:t>
            </w:r>
          </w:p>
        </w:tc>
        <w:tc>
          <w:tcPr>
            <w:tcW w:w="3000" w:type="dxa"/>
            <w:tcMar>
              <w:top w:w="60" w:type="dxa"/>
              <w:left w:w="100" w:type="dxa"/>
              <w:bottom w:w="60" w:type="dxa"/>
              <w:right w:w="100" w:type="dxa"/>
            </w:tcMar>
            <w:vAlign w:val="center"/>
          </w:tcPr>
          <w:p w14:paraId="1E16DDF1" w14:textId="20F462F9" w:rsidR="00FD47FB" w:rsidRDefault="00000000">
            <w:r>
              <w:rPr>
                <w:color w:val="000000"/>
                <w:sz w:val="22"/>
                <w:szCs w:val="22"/>
              </w:rPr>
              <w:t>Data Acquisition &amp; Correction</w:t>
            </w:r>
            <w:r w:rsidR="003A177E">
              <w:rPr>
                <w:color w:val="000000"/>
                <w:sz w:val="22"/>
                <w:szCs w:val="22"/>
              </w:rPr>
              <w:t xml:space="preserve"> </w:t>
            </w:r>
            <w:r>
              <w:rPr>
                <w:color w:val="000000"/>
                <w:sz w:val="22"/>
                <w:szCs w:val="22"/>
              </w:rPr>
              <w:t>Handling Lead</w:t>
            </w:r>
          </w:p>
        </w:tc>
        <w:tc>
          <w:tcPr>
            <w:tcW w:w="5100" w:type="dxa"/>
            <w:tcMar>
              <w:top w:w="60" w:type="dxa"/>
              <w:left w:w="100" w:type="dxa"/>
              <w:bottom w:w="60" w:type="dxa"/>
              <w:right w:w="100" w:type="dxa"/>
            </w:tcMar>
            <w:vAlign w:val="center"/>
          </w:tcPr>
          <w:p w14:paraId="6E4D2CE8" w14:textId="54F0ED30" w:rsidR="00FD47FB" w:rsidRDefault="00000000">
            <w:r>
              <w:rPr>
                <w:color w:val="000000"/>
                <w:sz w:val="22"/>
                <w:szCs w:val="22"/>
              </w:rPr>
              <w:t>Verified seven</w:t>
            </w:r>
            <w:r w:rsidR="00D93989">
              <w:rPr>
                <w:color w:val="000000"/>
                <w:sz w:val="22"/>
                <w:szCs w:val="22"/>
              </w:rPr>
              <w:t xml:space="preserve"> </w:t>
            </w:r>
            <w:r>
              <w:rPr>
                <w:color w:val="000000"/>
                <w:sz w:val="22"/>
                <w:szCs w:val="22"/>
              </w:rPr>
              <w:t>region dataset, correction</w:t>
            </w:r>
            <w:r w:rsidR="003A177E">
              <w:rPr>
                <w:color w:val="000000"/>
                <w:sz w:val="22"/>
                <w:szCs w:val="22"/>
              </w:rPr>
              <w:t xml:space="preserve"> </w:t>
            </w:r>
            <w:r>
              <w:rPr>
                <w:color w:val="000000"/>
                <w:sz w:val="22"/>
                <w:szCs w:val="22"/>
              </w:rPr>
              <w:t>handling logic</w:t>
            </w:r>
          </w:p>
        </w:tc>
      </w:tr>
      <w:tr w:rsidR="00FD47FB" w14:paraId="5CE46E0E" w14:textId="77777777">
        <w:tc>
          <w:tcPr>
            <w:tcW w:w="900" w:type="dxa"/>
            <w:tcMar>
              <w:top w:w="60" w:type="dxa"/>
              <w:left w:w="100" w:type="dxa"/>
              <w:bottom w:w="60" w:type="dxa"/>
              <w:right w:w="100" w:type="dxa"/>
            </w:tcMar>
            <w:vAlign w:val="center"/>
          </w:tcPr>
          <w:p w14:paraId="781E63F7" w14:textId="26ABF283" w:rsidR="00FD47FB" w:rsidRDefault="00314DD9">
            <w:r>
              <w:t>Suraj</w:t>
            </w:r>
          </w:p>
        </w:tc>
        <w:tc>
          <w:tcPr>
            <w:tcW w:w="3000" w:type="dxa"/>
            <w:tcMar>
              <w:top w:w="60" w:type="dxa"/>
              <w:left w:w="100" w:type="dxa"/>
              <w:bottom w:w="60" w:type="dxa"/>
              <w:right w:w="100" w:type="dxa"/>
            </w:tcMar>
            <w:vAlign w:val="center"/>
          </w:tcPr>
          <w:p w14:paraId="40EDE893" w14:textId="77777777" w:rsidR="00FD47FB" w:rsidRDefault="00000000">
            <w:r>
              <w:rPr>
                <w:color w:val="000000"/>
                <w:sz w:val="22"/>
                <w:szCs w:val="22"/>
              </w:rPr>
              <w:t>Data Engineering Lead</w:t>
            </w:r>
          </w:p>
        </w:tc>
        <w:tc>
          <w:tcPr>
            <w:tcW w:w="5100" w:type="dxa"/>
            <w:tcMar>
              <w:top w:w="60" w:type="dxa"/>
              <w:left w:w="100" w:type="dxa"/>
              <w:bottom w:w="60" w:type="dxa"/>
              <w:right w:w="100" w:type="dxa"/>
            </w:tcMar>
            <w:vAlign w:val="center"/>
          </w:tcPr>
          <w:p w14:paraId="02003456" w14:textId="2D133322" w:rsidR="00FD47FB" w:rsidRDefault="00000000">
            <w:r>
              <w:rPr>
                <w:color w:val="000000"/>
                <w:sz w:val="22"/>
                <w:szCs w:val="22"/>
              </w:rPr>
              <w:t>Cleaned, aligned, feature</w:t>
            </w:r>
            <w:r w:rsidR="00A124A4">
              <w:rPr>
                <w:color w:val="000000"/>
                <w:sz w:val="22"/>
                <w:szCs w:val="22"/>
              </w:rPr>
              <w:t xml:space="preserve"> </w:t>
            </w:r>
            <w:r>
              <w:rPr>
                <w:color w:val="000000"/>
                <w:sz w:val="22"/>
                <w:szCs w:val="22"/>
              </w:rPr>
              <w:t>engineered per</w:t>
            </w:r>
            <w:r w:rsidR="003A177E">
              <w:rPr>
                <w:color w:val="000000"/>
                <w:sz w:val="22"/>
                <w:szCs w:val="22"/>
              </w:rPr>
              <w:t xml:space="preserve"> </w:t>
            </w:r>
            <w:r>
              <w:rPr>
                <w:color w:val="000000"/>
                <w:sz w:val="22"/>
                <w:szCs w:val="22"/>
              </w:rPr>
              <w:t>region pipeline</w:t>
            </w:r>
          </w:p>
        </w:tc>
      </w:tr>
      <w:tr w:rsidR="00FD47FB" w14:paraId="357F55FE" w14:textId="77777777">
        <w:tc>
          <w:tcPr>
            <w:tcW w:w="900" w:type="dxa"/>
            <w:tcMar>
              <w:top w:w="60" w:type="dxa"/>
              <w:left w:w="100" w:type="dxa"/>
              <w:bottom w:w="60" w:type="dxa"/>
              <w:right w:w="100" w:type="dxa"/>
            </w:tcMar>
            <w:vAlign w:val="center"/>
          </w:tcPr>
          <w:p w14:paraId="425EEC60" w14:textId="359C8DC7" w:rsidR="00FD47FB" w:rsidRDefault="00314DD9">
            <w:r>
              <w:t>Ashish</w:t>
            </w:r>
          </w:p>
        </w:tc>
        <w:tc>
          <w:tcPr>
            <w:tcW w:w="3000" w:type="dxa"/>
            <w:tcMar>
              <w:top w:w="60" w:type="dxa"/>
              <w:left w:w="100" w:type="dxa"/>
              <w:bottom w:w="60" w:type="dxa"/>
              <w:right w:w="100" w:type="dxa"/>
            </w:tcMar>
            <w:vAlign w:val="center"/>
          </w:tcPr>
          <w:p w14:paraId="4E9EEED3" w14:textId="77777777" w:rsidR="00FD47FB" w:rsidRDefault="00000000">
            <w:r>
              <w:rPr>
                <w:color w:val="000000"/>
                <w:sz w:val="22"/>
                <w:szCs w:val="22"/>
              </w:rPr>
              <w:t>Forecasting Lead</w:t>
            </w:r>
          </w:p>
        </w:tc>
        <w:tc>
          <w:tcPr>
            <w:tcW w:w="5100" w:type="dxa"/>
            <w:tcMar>
              <w:top w:w="60" w:type="dxa"/>
              <w:left w:w="100" w:type="dxa"/>
              <w:bottom w:w="60" w:type="dxa"/>
              <w:right w:w="100" w:type="dxa"/>
            </w:tcMar>
            <w:vAlign w:val="center"/>
          </w:tcPr>
          <w:p w14:paraId="423CE739" w14:textId="0F793840" w:rsidR="00FD47FB" w:rsidRDefault="00000000">
            <w:r>
              <w:rPr>
                <w:color w:val="000000"/>
                <w:sz w:val="22"/>
                <w:szCs w:val="22"/>
              </w:rPr>
              <w:t>Per</w:t>
            </w:r>
            <w:r w:rsidR="00A124A4">
              <w:rPr>
                <w:color w:val="000000"/>
                <w:sz w:val="22"/>
                <w:szCs w:val="22"/>
              </w:rPr>
              <w:t xml:space="preserve"> </w:t>
            </w:r>
            <w:r>
              <w:rPr>
                <w:color w:val="000000"/>
                <w:sz w:val="22"/>
                <w:szCs w:val="22"/>
              </w:rPr>
              <w:t>region baseline, statistical and ML models</w:t>
            </w:r>
          </w:p>
        </w:tc>
      </w:tr>
      <w:tr w:rsidR="00FD47FB" w14:paraId="17D0CDAD" w14:textId="77777777">
        <w:tc>
          <w:tcPr>
            <w:tcW w:w="900" w:type="dxa"/>
            <w:tcMar>
              <w:top w:w="60" w:type="dxa"/>
              <w:left w:w="100" w:type="dxa"/>
              <w:bottom w:w="60" w:type="dxa"/>
              <w:right w:w="100" w:type="dxa"/>
            </w:tcMar>
            <w:vAlign w:val="center"/>
          </w:tcPr>
          <w:p w14:paraId="7112B468" w14:textId="71F267D1" w:rsidR="00FD47FB" w:rsidRDefault="00314DD9">
            <w:r>
              <w:t>Bishal</w:t>
            </w:r>
          </w:p>
        </w:tc>
        <w:tc>
          <w:tcPr>
            <w:tcW w:w="3000" w:type="dxa"/>
            <w:tcMar>
              <w:top w:w="60" w:type="dxa"/>
              <w:left w:w="100" w:type="dxa"/>
              <w:bottom w:w="60" w:type="dxa"/>
              <w:right w:w="100" w:type="dxa"/>
            </w:tcMar>
            <w:vAlign w:val="center"/>
          </w:tcPr>
          <w:p w14:paraId="759FF064" w14:textId="77777777" w:rsidR="00FD47FB" w:rsidRDefault="00000000">
            <w:r>
              <w:rPr>
                <w:color w:val="000000"/>
                <w:sz w:val="22"/>
                <w:szCs w:val="22"/>
              </w:rPr>
              <w:t>Verification &amp; Dashboard Lead</w:t>
            </w:r>
          </w:p>
        </w:tc>
        <w:tc>
          <w:tcPr>
            <w:tcW w:w="5100" w:type="dxa"/>
            <w:tcMar>
              <w:top w:w="60" w:type="dxa"/>
              <w:left w:w="100" w:type="dxa"/>
              <w:bottom w:w="60" w:type="dxa"/>
              <w:right w:w="100" w:type="dxa"/>
            </w:tcMar>
            <w:vAlign w:val="center"/>
          </w:tcPr>
          <w:p w14:paraId="13D61ADA" w14:textId="4E8C04CF" w:rsidR="00FD47FB" w:rsidRDefault="00000000">
            <w:r>
              <w:rPr>
                <w:color w:val="000000"/>
                <w:sz w:val="22"/>
                <w:szCs w:val="22"/>
              </w:rPr>
              <w:t>Verification engine, both dashboard mock</w:t>
            </w:r>
            <w:r w:rsidR="00D93989">
              <w:rPr>
                <w:color w:val="000000"/>
                <w:sz w:val="22"/>
                <w:szCs w:val="22"/>
              </w:rPr>
              <w:t xml:space="preserve"> </w:t>
            </w:r>
            <w:r>
              <w:rPr>
                <w:color w:val="000000"/>
                <w:sz w:val="22"/>
                <w:szCs w:val="22"/>
              </w:rPr>
              <w:t>ups</w:t>
            </w:r>
          </w:p>
        </w:tc>
      </w:tr>
      <w:tr w:rsidR="00FD47FB" w14:paraId="1822385D" w14:textId="77777777">
        <w:tc>
          <w:tcPr>
            <w:tcW w:w="900" w:type="dxa"/>
            <w:tcMar>
              <w:top w:w="60" w:type="dxa"/>
              <w:left w:w="100" w:type="dxa"/>
              <w:bottom w:w="60" w:type="dxa"/>
              <w:right w:w="100" w:type="dxa"/>
            </w:tcMar>
            <w:vAlign w:val="center"/>
          </w:tcPr>
          <w:p w14:paraId="406F2D54" w14:textId="2054E7FE" w:rsidR="00FD47FB" w:rsidRDefault="00314DD9">
            <w:r>
              <w:t>Group</w:t>
            </w:r>
          </w:p>
        </w:tc>
        <w:tc>
          <w:tcPr>
            <w:tcW w:w="3000" w:type="dxa"/>
            <w:tcMar>
              <w:top w:w="60" w:type="dxa"/>
              <w:left w:w="100" w:type="dxa"/>
              <w:bottom w:w="60" w:type="dxa"/>
              <w:right w:w="100" w:type="dxa"/>
            </w:tcMar>
            <w:vAlign w:val="center"/>
          </w:tcPr>
          <w:p w14:paraId="042AD44C" w14:textId="77777777" w:rsidR="00FD47FB" w:rsidRDefault="00000000">
            <w:r>
              <w:rPr>
                <w:color w:val="000000"/>
                <w:sz w:val="22"/>
                <w:szCs w:val="22"/>
              </w:rPr>
              <w:t>Architecture &amp; Automation Lead</w:t>
            </w:r>
          </w:p>
        </w:tc>
        <w:tc>
          <w:tcPr>
            <w:tcW w:w="5100" w:type="dxa"/>
            <w:tcMar>
              <w:top w:w="60" w:type="dxa"/>
              <w:left w:w="100" w:type="dxa"/>
              <w:bottom w:w="60" w:type="dxa"/>
              <w:right w:w="100" w:type="dxa"/>
            </w:tcMar>
            <w:vAlign w:val="center"/>
          </w:tcPr>
          <w:p w14:paraId="7A1F26D8" w14:textId="77777777" w:rsidR="00FD47FB" w:rsidRDefault="00000000">
            <w:r>
              <w:rPr>
                <w:color w:val="000000"/>
                <w:sz w:val="22"/>
                <w:szCs w:val="22"/>
              </w:rPr>
              <w:t>System diagrams, GitHub, workflow automation</w:t>
            </w:r>
          </w:p>
        </w:tc>
      </w:tr>
    </w:tbl>
    <w:p w14:paraId="73D9000E" w14:textId="77777777" w:rsidR="00FD47FB" w:rsidRDefault="00000000">
      <w:pPr>
        <w:spacing w:before="40" w:after="160"/>
        <w:jc w:val="center"/>
      </w:pPr>
      <w:r>
        <w:rPr>
          <w:i/>
          <w:iCs/>
          <w:color w:val="404040"/>
          <w:sz w:val="22"/>
          <w:szCs w:val="22"/>
        </w:rPr>
        <w:t>Table 2. Proposed team responsibility matrix.</w:t>
      </w:r>
    </w:p>
    <w:p w14:paraId="66E402BC" w14:textId="77777777" w:rsidR="00FD47FB" w:rsidRDefault="00000000">
      <w:pPr>
        <w:spacing w:before="200" w:after="100"/>
      </w:pPr>
      <w:r>
        <w:rPr>
          <w:b/>
          <w:bCs/>
          <w:color w:val="1F3864"/>
          <w:sz w:val="26"/>
          <w:szCs w:val="26"/>
        </w:rPr>
        <w:t>10. Initial Risk Analysis</w:t>
      </w:r>
    </w:p>
    <w:p w14:paraId="5449C4A1" w14:textId="77777777" w:rsidR="00FD47FB" w:rsidRDefault="00000000">
      <w:pPr>
        <w:spacing w:after="120"/>
        <w:jc w:val="both"/>
      </w:pPr>
      <w:r>
        <w:rPr>
          <w:sz w:val="22"/>
          <w:szCs w:val="22"/>
        </w:rPr>
        <w:t>Table 3 lists the principal risks introduced by this expanded scope.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1215"/>
        <w:gridCol w:w="998"/>
        <w:gridCol w:w="3965"/>
      </w:tblGrid>
      <w:tr w:rsidR="00FD47FB" w14:paraId="017E37CC" w14:textId="77777777">
        <w:trPr>
          <w:tblHeader/>
        </w:trPr>
        <w:tc>
          <w:tcPr>
            <w:tcW w:w="2900" w:type="dxa"/>
            <w:shd w:val="clear" w:color="auto" w:fill="1F3864"/>
            <w:tcMar>
              <w:top w:w="60" w:type="dxa"/>
              <w:left w:w="100" w:type="dxa"/>
              <w:bottom w:w="60" w:type="dxa"/>
              <w:right w:w="100" w:type="dxa"/>
            </w:tcMar>
            <w:vAlign w:val="center"/>
          </w:tcPr>
          <w:p w14:paraId="2D0948A1" w14:textId="77777777" w:rsidR="00FD47FB" w:rsidRDefault="00000000">
            <w:r>
              <w:rPr>
                <w:b/>
                <w:bCs/>
                <w:color w:val="FFFFFF"/>
                <w:sz w:val="22"/>
                <w:szCs w:val="22"/>
              </w:rPr>
              <w:t>Risk</w:t>
            </w:r>
          </w:p>
        </w:tc>
        <w:tc>
          <w:tcPr>
            <w:tcW w:w="1000" w:type="dxa"/>
            <w:shd w:val="clear" w:color="auto" w:fill="1F3864"/>
            <w:tcMar>
              <w:top w:w="60" w:type="dxa"/>
              <w:left w:w="100" w:type="dxa"/>
              <w:bottom w:w="60" w:type="dxa"/>
              <w:right w:w="100" w:type="dxa"/>
            </w:tcMar>
            <w:vAlign w:val="center"/>
          </w:tcPr>
          <w:p w14:paraId="583410CB" w14:textId="77777777" w:rsidR="00FD47FB" w:rsidRDefault="00000000">
            <w:r>
              <w:rPr>
                <w:b/>
                <w:bCs/>
                <w:color w:val="FFFFFF"/>
                <w:sz w:val="22"/>
                <w:szCs w:val="22"/>
              </w:rPr>
              <w:t>Likelihood</w:t>
            </w:r>
          </w:p>
        </w:tc>
        <w:tc>
          <w:tcPr>
            <w:tcW w:w="1000" w:type="dxa"/>
            <w:shd w:val="clear" w:color="auto" w:fill="1F3864"/>
            <w:tcMar>
              <w:top w:w="60" w:type="dxa"/>
              <w:left w:w="100" w:type="dxa"/>
              <w:bottom w:w="60" w:type="dxa"/>
              <w:right w:w="100" w:type="dxa"/>
            </w:tcMar>
            <w:vAlign w:val="center"/>
          </w:tcPr>
          <w:p w14:paraId="60752073" w14:textId="77777777" w:rsidR="00FD47FB" w:rsidRDefault="00000000">
            <w:r>
              <w:rPr>
                <w:b/>
                <w:bCs/>
                <w:color w:val="FFFFFF"/>
                <w:sz w:val="22"/>
                <w:szCs w:val="22"/>
              </w:rPr>
              <w:t>Impact</w:t>
            </w:r>
          </w:p>
        </w:tc>
        <w:tc>
          <w:tcPr>
            <w:tcW w:w="4100" w:type="dxa"/>
            <w:shd w:val="clear" w:color="auto" w:fill="1F3864"/>
            <w:tcMar>
              <w:top w:w="60" w:type="dxa"/>
              <w:left w:w="100" w:type="dxa"/>
              <w:bottom w:w="60" w:type="dxa"/>
              <w:right w:w="100" w:type="dxa"/>
            </w:tcMar>
            <w:vAlign w:val="center"/>
          </w:tcPr>
          <w:p w14:paraId="086ABA6A" w14:textId="77777777" w:rsidR="00FD47FB" w:rsidRDefault="00000000">
            <w:r>
              <w:rPr>
                <w:b/>
                <w:bCs/>
                <w:color w:val="FFFFFF"/>
                <w:sz w:val="22"/>
                <w:szCs w:val="22"/>
              </w:rPr>
              <w:t>Mitigation</w:t>
            </w:r>
          </w:p>
        </w:tc>
      </w:tr>
      <w:tr w:rsidR="00FD47FB" w14:paraId="222A77D6" w14:textId="77777777">
        <w:tc>
          <w:tcPr>
            <w:tcW w:w="2900" w:type="dxa"/>
            <w:tcMar>
              <w:top w:w="60" w:type="dxa"/>
              <w:left w:w="100" w:type="dxa"/>
              <w:bottom w:w="60" w:type="dxa"/>
              <w:right w:w="100" w:type="dxa"/>
            </w:tcMar>
            <w:vAlign w:val="center"/>
          </w:tcPr>
          <w:p w14:paraId="622F44EE" w14:textId="2C4441E9" w:rsidR="00FD47FB" w:rsidRDefault="00000000">
            <w:r>
              <w:rPr>
                <w:color w:val="000000"/>
                <w:sz w:val="22"/>
                <w:szCs w:val="22"/>
              </w:rPr>
              <w:t>Seven</w:t>
            </w:r>
            <w:r w:rsidR="00A124A4">
              <w:rPr>
                <w:color w:val="000000"/>
                <w:sz w:val="22"/>
                <w:szCs w:val="22"/>
              </w:rPr>
              <w:t xml:space="preserve"> </w:t>
            </w:r>
            <w:r>
              <w:rPr>
                <w:color w:val="000000"/>
                <w:sz w:val="22"/>
                <w:szCs w:val="22"/>
              </w:rPr>
              <w:t>region half</w:t>
            </w:r>
            <w:r w:rsidR="00A124A4">
              <w:rPr>
                <w:color w:val="000000"/>
                <w:sz w:val="22"/>
                <w:szCs w:val="22"/>
              </w:rPr>
              <w:t xml:space="preserve"> </w:t>
            </w:r>
            <w:r>
              <w:rPr>
                <w:color w:val="000000"/>
                <w:sz w:val="22"/>
                <w:szCs w:val="22"/>
              </w:rPr>
              <w:t>hourly volume (~48× prior scope)</w:t>
            </w:r>
          </w:p>
        </w:tc>
        <w:tc>
          <w:tcPr>
            <w:tcW w:w="1000" w:type="dxa"/>
            <w:tcMar>
              <w:top w:w="60" w:type="dxa"/>
              <w:left w:w="100" w:type="dxa"/>
              <w:bottom w:w="60" w:type="dxa"/>
              <w:right w:w="100" w:type="dxa"/>
            </w:tcMar>
            <w:vAlign w:val="center"/>
          </w:tcPr>
          <w:p w14:paraId="4A7444AA" w14:textId="77777777" w:rsidR="00FD47FB" w:rsidRDefault="00000000">
            <w:r>
              <w:rPr>
                <w:color w:val="000000"/>
                <w:sz w:val="22"/>
                <w:szCs w:val="22"/>
              </w:rPr>
              <w:t>Medium</w:t>
            </w:r>
          </w:p>
        </w:tc>
        <w:tc>
          <w:tcPr>
            <w:tcW w:w="1000" w:type="dxa"/>
            <w:tcMar>
              <w:top w:w="60" w:type="dxa"/>
              <w:left w:w="100" w:type="dxa"/>
              <w:bottom w:w="60" w:type="dxa"/>
              <w:right w:w="100" w:type="dxa"/>
            </w:tcMar>
            <w:vAlign w:val="center"/>
          </w:tcPr>
          <w:p w14:paraId="697B09C4" w14:textId="77777777" w:rsidR="00FD47FB" w:rsidRDefault="00000000">
            <w:r>
              <w:rPr>
                <w:color w:val="000000"/>
                <w:sz w:val="22"/>
                <w:szCs w:val="22"/>
              </w:rPr>
              <w:t>Medium</w:t>
            </w:r>
          </w:p>
        </w:tc>
        <w:tc>
          <w:tcPr>
            <w:tcW w:w="4100" w:type="dxa"/>
            <w:tcMar>
              <w:top w:w="60" w:type="dxa"/>
              <w:left w:w="100" w:type="dxa"/>
              <w:bottom w:w="60" w:type="dxa"/>
              <w:right w:w="100" w:type="dxa"/>
            </w:tcMar>
            <w:vAlign w:val="center"/>
          </w:tcPr>
          <w:p w14:paraId="3032A681" w14:textId="77777777" w:rsidR="00FD47FB" w:rsidRDefault="00000000">
            <w:r>
              <w:rPr>
                <w:color w:val="000000"/>
                <w:sz w:val="22"/>
                <w:szCs w:val="22"/>
              </w:rPr>
              <w:t>Prove pipeline on one region first, then scale</w:t>
            </w:r>
          </w:p>
        </w:tc>
      </w:tr>
      <w:tr w:rsidR="00FD47FB" w14:paraId="46A69ABA" w14:textId="77777777">
        <w:tc>
          <w:tcPr>
            <w:tcW w:w="2900" w:type="dxa"/>
            <w:tcMar>
              <w:top w:w="60" w:type="dxa"/>
              <w:left w:w="100" w:type="dxa"/>
              <w:bottom w:w="60" w:type="dxa"/>
              <w:right w:w="100" w:type="dxa"/>
            </w:tcMar>
            <w:vAlign w:val="center"/>
          </w:tcPr>
          <w:p w14:paraId="5243FF78" w14:textId="77777777" w:rsidR="00FD47FB" w:rsidRDefault="00000000">
            <w:r>
              <w:rPr>
                <w:color w:val="000000"/>
                <w:sz w:val="22"/>
                <w:szCs w:val="22"/>
              </w:rPr>
              <w:t>AEMO correction files missed or mishandled</w:t>
            </w:r>
          </w:p>
        </w:tc>
        <w:tc>
          <w:tcPr>
            <w:tcW w:w="1000" w:type="dxa"/>
            <w:tcMar>
              <w:top w:w="60" w:type="dxa"/>
              <w:left w:w="100" w:type="dxa"/>
              <w:bottom w:w="60" w:type="dxa"/>
              <w:right w:w="100" w:type="dxa"/>
            </w:tcMar>
            <w:vAlign w:val="center"/>
          </w:tcPr>
          <w:p w14:paraId="15AC7750" w14:textId="77777777" w:rsidR="00FD47FB" w:rsidRDefault="00000000">
            <w:r>
              <w:rPr>
                <w:color w:val="000000"/>
                <w:sz w:val="22"/>
                <w:szCs w:val="22"/>
              </w:rPr>
              <w:t>Medium</w:t>
            </w:r>
          </w:p>
        </w:tc>
        <w:tc>
          <w:tcPr>
            <w:tcW w:w="1000" w:type="dxa"/>
            <w:tcMar>
              <w:top w:w="60" w:type="dxa"/>
              <w:left w:w="100" w:type="dxa"/>
              <w:bottom w:w="60" w:type="dxa"/>
              <w:right w:w="100" w:type="dxa"/>
            </w:tcMar>
            <w:vAlign w:val="center"/>
          </w:tcPr>
          <w:p w14:paraId="1469EDF0" w14:textId="77777777" w:rsidR="00FD47FB" w:rsidRDefault="00000000">
            <w:r>
              <w:rPr>
                <w:color w:val="000000"/>
                <w:sz w:val="22"/>
                <w:szCs w:val="22"/>
              </w:rPr>
              <w:t>High</w:t>
            </w:r>
          </w:p>
        </w:tc>
        <w:tc>
          <w:tcPr>
            <w:tcW w:w="4100" w:type="dxa"/>
            <w:tcMar>
              <w:top w:w="60" w:type="dxa"/>
              <w:left w:w="100" w:type="dxa"/>
              <w:bottom w:w="60" w:type="dxa"/>
              <w:right w:w="100" w:type="dxa"/>
            </w:tcMar>
            <w:vAlign w:val="center"/>
          </w:tcPr>
          <w:p w14:paraId="3ED9DAAB" w14:textId="77777777" w:rsidR="00FD47FB" w:rsidRDefault="00000000">
            <w:r>
              <w:rPr>
                <w:color w:val="000000"/>
                <w:sz w:val="22"/>
                <w:szCs w:val="22"/>
              </w:rPr>
              <w:t>Dedicated listener; test against known correction cases</w:t>
            </w:r>
          </w:p>
        </w:tc>
      </w:tr>
      <w:tr w:rsidR="00FD47FB" w14:paraId="78FD7F7A" w14:textId="77777777">
        <w:tc>
          <w:tcPr>
            <w:tcW w:w="2900" w:type="dxa"/>
            <w:tcMar>
              <w:top w:w="60" w:type="dxa"/>
              <w:left w:w="100" w:type="dxa"/>
              <w:bottom w:w="60" w:type="dxa"/>
              <w:right w:w="100" w:type="dxa"/>
            </w:tcMar>
            <w:vAlign w:val="center"/>
          </w:tcPr>
          <w:p w14:paraId="008AABCA" w14:textId="25324E2A" w:rsidR="00FD47FB" w:rsidRDefault="00000000">
            <w:r>
              <w:rPr>
                <w:color w:val="000000"/>
                <w:sz w:val="22"/>
                <w:szCs w:val="22"/>
              </w:rPr>
              <w:t>Per</w:t>
            </w:r>
            <w:r w:rsidR="00A124A4">
              <w:rPr>
                <w:color w:val="000000"/>
                <w:sz w:val="22"/>
                <w:szCs w:val="22"/>
              </w:rPr>
              <w:t xml:space="preserve"> </w:t>
            </w:r>
            <w:r>
              <w:rPr>
                <w:color w:val="000000"/>
                <w:sz w:val="22"/>
                <w:szCs w:val="22"/>
              </w:rPr>
              <w:t>region model accuracy diverges</w:t>
            </w:r>
          </w:p>
        </w:tc>
        <w:tc>
          <w:tcPr>
            <w:tcW w:w="1000" w:type="dxa"/>
            <w:tcMar>
              <w:top w:w="60" w:type="dxa"/>
              <w:left w:w="100" w:type="dxa"/>
              <w:bottom w:w="60" w:type="dxa"/>
              <w:right w:w="100" w:type="dxa"/>
            </w:tcMar>
            <w:vAlign w:val="center"/>
          </w:tcPr>
          <w:p w14:paraId="62ED0C2B" w14:textId="77777777" w:rsidR="00FD47FB" w:rsidRDefault="00000000">
            <w:r>
              <w:rPr>
                <w:color w:val="000000"/>
                <w:sz w:val="22"/>
                <w:szCs w:val="22"/>
              </w:rPr>
              <w:t>Medium</w:t>
            </w:r>
          </w:p>
        </w:tc>
        <w:tc>
          <w:tcPr>
            <w:tcW w:w="1000" w:type="dxa"/>
            <w:tcMar>
              <w:top w:w="60" w:type="dxa"/>
              <w:left w:w="100" w:type="dxa"/>
              <w:bottom w:w="60" w:type="dxa"/>
              <w:right w:w="100" w:type="dxa"/>
            </w:tcMar>
            <w:vAlign w:val="center"/>
          </w:tcPr>
          <w:p w14:paraId="3AF8B8C5" w14:textId="77777777" w:rsidR="00FD47FB" w:rsidRDefault="00000000">
            <w:r>
              <w:rPr>
                <w:color w:val="000000"/>
                <w:sz w:val="22"/>
                <w:szCs w:val="22"/>
              </w:rPr>
              <w:t>Medium</w:t>
            </w:r>
          </w:p>
        </w:tc>
        <w:tc>
          <w:tcPr>
            <w:tcW w:w="4100" w:type="dxa"/>
            <w:tcMar>
              <w:top w:w="60" w:type="dxa"/>
              <w:left w:w="100" w:type="dxa"/>
              <w:bottom w:w="60" w:type="dxa"/>
              <w:right w:w="100" w:type="dxa"/>
            </w:tcMar>
            <w:vAlign w:val="center"/>
          </w:tcPr>
          <w:p w14:paraId="72D53920" w14:textId="34F74DA5" w:rsidR="00FD47FB" w:rsidRDefault="00000000">
            <w:r>
              <w:rPr>
                <w:color w:val="000000"/>
                <w:sz w:val="22"/>
                <w:szCs w:val="22"/>
              </w:rPr>
              <w:t>Report accuracy per region, not just NEM</w:t>
            </w:r>
            <w:r w:rsidR="00A124A4">
              <w:rPr>
                <w:color w:val="000000"/>
                <w:sz w:val="22"/>
                <w:szCs w:val="22"/>
              </w:rPr>
              <w:t xml:space="preserve"> </w:t>
            </w:r>
            <w:r>
              <w:rPr>
                <w:color w:val="000000"/>
                <w:sz w:val="22"/>
                <w:szCs w:val="22"/>
              </w:rPr>
              <w:t>wide</w:t>
            </w:r>
          </w:p>
        </w:tc>
      </w:tr>
    </w:tbl>
    <w:p w14:paraId="30105917" w14:textId="77777777" w:rsidR="00FD47FB" w:rsidRDefault="00000000">
      <w:pPr>
        <w:spacing w:before="40" w:after="160"/>
        <w:jc w:val="center"/>
      </w:pPr>
      <w:r>
        <w:rPr>
          <w:i/>
          <w:iCs/>
          <w:color w:val="404040"/>
          <w:sz w:val="22"/>
          <w:szCs w:val="22"/>
        </w:rPr>
        <w:lastRenderedPageBreak/>
        <w:t>Table 3. Initial risk register.</w:t>
      </w:r>
    </w:p>
    <w:p w14:paraId="7E36A53D" w14:textId="77777777" w:rsidR="00FD47FB" w:rsidRDefault="00000000">
      <w:pPr>
        <w:spacing w:before="200" w:after="100"/>
      </w:pPr>
      <w:r>
        <w:rPr>
          <w:b/>
          <w:bCs/>
          <w:color w:val="1F3864"/>
          <w:sz w:val="26"/>
          <w:szCs w:val="26"/>
        </w:rPr>
        <w:t>11. Ethics, Privacy and Security</w:t>
      </w:r>
    </w:p>
    <w:p w14:paraId="116E05DB" w14:textId="14E0DD67" w:rsidR="00FD47FB" w:rsidRDefault="003A177E">
      <w:pPr>
        <w:spacing w:after="120"/>
        <w:jc w:val="both"/>
      </w:pPr>
      <w:r w:rsidRPr="003A177E">
        <w:rPr>
          <w:sz w:val="22"/>
          <w:szCs w:val="22"/>
        </w:rPr>
        <w:t xml:space="preserve">Privacy risks are low as the data sets from AEMO and BOM are still aggregated, impersonal, and open license across all five regions (AEMO, n.d.). Security considerations remain unchanged: there are no credentials required, and standard GitHub authentication procedures are in place. In view of the operational costs associated with underestimation of peak demand, the purpose of the verification dashboard is unique in that it makes model constraints evident. The forecasts are provided with explicit uncertainty, as </w:t>
      </w:r>
      <w:r>
        <w:rPr>
          <w:sz w:val="22"/>
          <w:szCs w:val="22"/>
        </w:rPr>
        <w:t xml:space="preserve">decision </w:t>
      </w:r>
      <w:r w:rsidRPr="003A177E">
        <w:rPr>
          <w:sz w:val="22"/>
          <w:szCs w:val="22"/>
        </w:rPr>
        <w:t>support tools, not automatic controls.</w:t>
      </w:r>
    </w:p>
    <w:p w14:paraId="44E35D3A" w14:textId="77777777" w:rsidR="00FD47FB" w:rsidRDefault="00000000">
      <w:pPr>
        <w:spacing w:before="200" w:after="100"/>
      </w:pPr>
      <w:r>
        <w:rPr>
          <w:b/>
          <w:bCs/>
          <w:color w:val="1F3864"/>
          <w:sz w:val="26"/>
          <w:szCs w:val="26"/>
        </w:rPr>
        <w:t>12. Project Feasibility / Conclusion</w:t>
      </w:r>
    </w:p>
    <w:p w14:paraId="617C5C86" w14:textId="3293B85B" w:rsidR="00FD47FB" w:rsidRDefault="003A177E">
      <w:pPr>
        <w:spacing w:after="120"/>
        <w:jc w:val="both"/>
      </w:pPr>
      <w:r w:rsidRPr="003A177E">
        <w:rPr>
          <w:sz w:val="22"/>
          <w:szCs w:val="22"/>
        </w:rPr>
        <w:t>The current scope is technically feasible within the time available to the team, considering that there is a dataset with half</w:t>
      </w:r>
      <w:r w:rsidR="00A124A4">
        <w:rPr>
          <w:sz w:val="22"/>
          <w:szCs w:val="22"/>
        </w:rPr>
        <w:t xml:space="preserve"> </w:t>
      </w:r>
      <w:r w:rsidRPr="003A177E">
        <w:rPr>
          <w:sz w:val="22"/>
          <w:szCs w:val="22"/>
        </w:rPr>
        <w:t>hourly data for five regions, a tested single</w:t>
      </w:r>
      <w:r>
        <w:rPr>
          <w:sz w:val="22"/>
          <w:szCs w:val="22"/>
        </w:rPr>
        <w:t xml:space="preserve"> </w:t>
      </w:r>
      <w:r w:rsidRPr="003A177E">
        <w:rPr>
          <w:sz w:val="22"/>
          <w:szCs w:val="22"/>
        </w:rPr>
        <w:t>region SARIMA baseline model, AEMO’s documented procedure for correcting estimates, and walk forward approach as long as the pipeline is proven in one region first, with hierarchical reconciliation and the second dashboard considered stretch goals.</w:t>
      </w:r>
    </w:p>
    <w:p w14:paraId="4485AB40" w14:textId="77777777" w:rsidR="0062734B" w:rsidRDefault="0062734B">
      <w:pPr>
        <w:rPr>
          <w:i/>
          <w:iCs/>
          <w:sz w:val="22"/>
          <w:szCs w:val="22"/>
        </w:rPr>
      </w:pPr>
      <w:r>
        <w:rPr>
          <w:i/>
          <w:iCs/>
          <w:sz w:val="22"/>
          <w:szCs w:val="22"/>
        </w:rPr>
        <w:br w:type="page"/>
      </w:r>
    </w:p>
    <w:p w14:paraId="5BDE053D" w14:textId="349B4A7F" w:rsidR="00FD47FB" w:rsidRDefault="00000000">
      <w:pPr>
        <w:spacing w:before="200" w:after="100"/>
      </w:pPr>
      <w:r>
        <w:rPr>
          <w:b/>
          <w:bCs/>
          <w:color w:val="1F3864"/>
          <w:sz w:val="26"/>
          <w:szCs w:val="26"/>
        </w:rPr>
        <w:lastRenderedPageBreak/>
        <w:t>13. References</w:t>
      </w:r>
    </w:p>
    <w:p w14:paraId="1978EC45" w14:textId="77777777" w:rsidR="003A177E" w:rsidRPr="003A177E" w:rsidRDefault="003A177E" w:rsidP="003A177E">
      <w:pPr>
        <w:spacing w:after="100"/>
        <w:ind w:left="360" w:hanging="360"/>
        <w:jc w:val="both"/>
      </w:pPr>
      <w:r w:rsidRPr="003A177E">
        <w:t xml:space="preserve">Akhtar, S., Shahzad, S., Zaheer, A., Ullah, H. S., Kilic, H., Gono, R., Jasiński, M., &amp; Leonowicz, Z. (2023). Short-term load forecasting models: A review of challenges, progress, and the road ahead. </w:t>
      </w:r>
      <w:r w:rsidRPr="003A177E">
        <w:rPr>
          <w:i/>
          <w:iCs/>
        </w:rPr>
        <w:t>Energies, 16</w:t>
      </w:r>
      <w:r w:rsidRPr="003A177E">
        <w:t xml:space="preserve">(10), 4060. </w:t>
      </w:r>
      <w:hyperlink r:id="rId11" w:history="1">
        <w:r w:rsidRPr="003A177E">
          <w:rPr>
            <w:rStyle w:val="Hyperlink"/>
          </w:rPr>
          <w:t>https://doi.org/10.3390/en16104060</w:t>
        </w:r>
      </w:hyperlink>
    </w:p>
    <w:p w14:paraId="4F0CD155" w14:textId="77777777" w:rsidR="003A177E" w:rsidRPr="003A177E" w:rsidRDefault="003A177E" w:rsidP="003A177E">
      <w:pPr>
        <w:spacing w:after="100"/>
        <w:ind w:left="360" w:hanging="360"/>
        <w:jc w:val="both"/>
      </w:pPr>
      <w:r w:rsidRPr="003A177E">
        <w:t xml:space="preserve">Alsmadi, L., Lei, G., &amp; Li, L. (2025). Forecasting day-ahead electricity demand in Australia using a CNN-LSTM model with an attention mechanism. </w:t>
      </w:r>
      <w:r w:rsidRPr="003A177E">
        <w:rPr>
          <w:i/>
          <w:iCs/>
        </w:rPr>
        <w:t>Applied Sciences, 15</w:t>
      </w:r>
      <w:r w:rsidRPr="003A177E">
        <w:t xml:space="preserve">(7), 3829. </w:t>
      </w:r>
      <w:hyperlink r:id="rId12" w:history="1">
        <w:r w:rsidRPr="003A177E">
          <w:rPr>
            <w:rStyle w:val="Hyperlink"/>
          </w:rPr>
          <w:t>https://doi.org/10.3390/app15073829</w:t>
        </w:r>
      </w:hyperlink>
    </w:p>
    <w:p w14:paraId="39C7818C" w14:textId="77777777" w:rsidR="003A177E" w:rsidRPr="003A177E" w:rsidRDefault="003A177E" w:rsidP="003A177E">
      <w:pPr>
        <w:spacing w:after="100"/>
        <w:ind w:left="360" w:hanging="360"/>
        <w:jc w:val="both"/>
      </w:pPr>
      <w:r w:rsidRPr="003A177E">
        <w:t xml:space="preserve">Australian Energy Market Operator. (n.d.). </w:t>
      </w:r>
      <w:r w:rsidRPr="003A177E">
        <w:rPr>
          <w:i/>
          <w:iCs/>
        </w:rPr>
        <w:t>About the National Electricity Market (NEM)</w:t>
      </w:r>
      <w:r w:rsidRPr="003A177E">
        <w:t xml:space="preserve">. Retrieved August 16, 2026, from </w:t>
      </w:r>
      <w:hyperlink r:id="rId13" w:history="1">
        <w:r w:rsidRPr="003A177E">
          <w:rPr>
            <w:rStyle w:val="Hyperlink"/>
          </w:rPr>
          <w:t>https://www.aemo.com.au/energy-systems/electricity/national-electricity-market-nem/about-the-national-electricity-market-nem</w:t>
        </w:r>
      </w:hyperlink>
    </w:p>
    <w:p w14:paraId="35C19F44" w14:textId="69B30886" w:rsidR="003A177E" w:rsidRPr="003A177E" w:rsidRDefault="003A177E" w:rsidP="003A177E">
      <w:pPr>
        <w:spacing w:after="100"/>
        <w:ind w:left="360" w:hanging="360"/>
        <w:jc w:val="both"/>
      </w:pPr>
      <w:r w:rsidRPr="003A177E">
        <w:t xml:space="preserve">Australian Energy Market Operator. (n.d.). </w:t>
      </w:r>
      <w:r w:rsidRPr="003A177E">
        <w:rPr>
          <w:i/>
          <w:iCs/>
        </w:rPr>
        <w:t>Operational demand data</w:t>
      </w:r>
      <w:r w:rsidRPr="003A177E">
        <w:t>. Retrieved August 1</w:t>
      </w:r>
      <w:r>
        <w:t>4</w:t>
      </w:r>
      <w:r w:rsidRPr="003A177E">
        <w:t xml:space="preserve">, 2026, from </w:t>
      </w:r>
      <w:hyperlink r:id="rId14" w:history="1">
        <w:r w:rsidRPr="003A177E">
          <w:rPr>
            <w:rStyle w:val="Hyperlink"/>
          </w:rPr>
          <w:t>https://www.aemo.com.au/energy-systems/electricity/national-electricity-market-nem/data-nem/operational-demand-data</w:t>
        </w:r>
      </w:hyperlink>
    </w:p>
    <w:p w14:paraId="6007D183" w14:textId="7E73E080" w:rsidR="003A177E" w:rsidRPr="003A177E" w:rsidRDefault="003A177E" w:rsidP="003A177E">
      <w:pPr>
        <w:spacing w:after="100"/>
        <w:ind w:left="360" w:hanging="360"/>
        <w:jc w:val="both"/>
      </w:pPr>
      <w:r w:rsidRPr="003A177E">
        <w:t xml:space="preserve">Bureau of Meteorology. (n.d.). </w:t>
      </w:r>
      <w:r w:rsidRPr="003A177E">
        <w:rPr>
          <w:i/>
          <w:iCs/>
        </w:rPr>
        <w:t>Climate data online</w:t>
      </w:r>
      <w:r w:rsidRPr="003A177E">
        <w:t>. Retrieved August 1</w:t>
      </w:r>
      <w:r>
        <w:t>3</w:t>
      </w:r>
      <w:r w:rsidRPr="003A177E">
        <w:t xml:space="preserve">, 2026, from </w:t>
      </w:r>
      <w:hyperlink r:id="rId15" w:history="1">
        <w:r w:rsidRPr="003A177E">
          <w:rPr>
            <w:rStyle w:val="Hyperlink"/>
          </w:rPr>
          <w:t>http://www.bom.gov.au/climate/data/</w:t>
        </w:r>
      </w:hyperlink>
    </w:p>
    <w:p w14:paraId="26FD7851" w14:textId="77777777" w:rsidR="003A177E" w:rsidRPr="003A177E" w:rsidRDefault="003A177E" w:rsidP="003A177E">
      <w:pPr>
        <w:spacing w:after="100"/>
        <w:ind w:left="360" w:hanging="360"/>
        <w:jc w:val="both"/>
      </w:pPr>
      <w:r w:rsidRPr="003A177E">
        <w:t xml:space="preserve">Hewamalage, H., Ackermann, K., &amp; Bergmeir, C. (2023). Forecast evaluation for data scientists: Common pitfalls and best practices. </w:t>
      </w:r>
      <w:r w:rsidRPr="003A177E">
        <w:rPr>
          <w:i/>
          <w:iCs/>
        </w:rPr>
        <w:t>Data Mining and Knowledge Discovery, 37</w:t>
      </w:r>
      <w:r w:rsidRPr="003A177E">
        <w:t xml:space="preserve">(2), 788–832. </w:t>
      </w:r>
      <w:hyperlink r:id="rId16" w:history="1">
        <w:r w:rsidRPr="003A177E">
          <w:rPr>
            <w:rStyle w:val="Hyperlink"/>
          </w:rPr>
          <w:t>https://doi.org/10.1007/s10618-022-00894-5</w:t>
        </w:r>
      </w:hyperlink>
    </w:p>
    <w:p w14:paraId="64FD7A37" w14:textId="77777777" w:rsidR="003A177E" w:rsidRPr="003A177E" w:rsidRDefault="003A177E" w:rsidP="003A177E">
      <w:pPr>
        <w:spacing w:after="100"/>
        <w:ind w:left="360" w:hanging="360"/>
        <w:jc w:val="both"/>
      </w:pPr>
      <w:r w:rsidRPr="003A177E">
        <w:t xml:space="preserve">Hyndman, R. J., &amp; Athanasopoulos, G. (2021). </w:t>
      </w:r>
      <w:r w:rsidRPr="003A177E">
        <w:rPr>
          <w:i/>
          <w:iCs/>
        </w:rPr>
        <w:t>Forecasting: Principles and practice</w:t>
      </w:r>
      <w:r w:rsidRPr="003A177E">
        <w:t xml:space="preserve"> (3rd ed.). OTexts.</w:t>
      </w:r>
    </w:p>
    <w:p w14:paraId="6B46720F" w14:textId="77777777" w:rsidR="003A177E" w:rsidRPr="003A177E" w:rsidRDefault="003A177E" w:rsidP="003A177E">
      <w:pPr>
        <w:spacing w:after="100"/>
        <w:ind w:left="360" w:hanging="360"/>
        <w:jc w:val="both"/>
      </w:pPr>
      <w:r w:rsidRPr="003A177E">
        <w:t xml:space="preserve">Northern Territory Electricity System and Market Operator. (n.d.). </w:t>
      </w:r>
      <w:r w:rsidRPr="003A177E">
        <w:rPr>
          <w:i/>
          <w:iCs/>
        </w:rPr>
        <w:t>Darwin-Katherine data</w:t>
      </w:r>
      <w:r w:rsidRPr="003A177E">
        <w:t xml:space="preserve">. Retrieved August 16, 2026, from </w:t>
      </w:r>
      <w:hyperlink r:id="rId17" w:history="1">
        <w:r w:rsidRPr="003A177E">
          <w:rPr>
            <w:rStyle w:val="Hyperlink"/>
          </w:rPr>
          <w:t>https://ntesmo.com.au/data/darwin-katherine</w:t>
        </w:r>
      </w:hyperlink>
    </w:p>
    <w:p w14:paraId="0892A0BD" w14:textId="77777777" w:rsidR="003A177E" w:rsidRPr="003A177E" w:rsidRDefault="003A177E" w:rsidP="003A177E">
      <w:pPr>
        <w:spacing w:after="100"/>
        <w:ind w:left="360" w:hanging="360"/>
        <w:jc w:val="both"/>
      </w:pPr>
      <w:r w:rsidRPr="003A177E">
        <w:t xml:space="preserve">Richardson, D., Hobeichi, S., Sweet, L., Rey-Costa, E., Abramowitz, G., &amp; Pitman, A. J. (2025). Predicting Australian energy demand variability using weather data and machine learning. </w:t>
      </w:r>
      <w:r w:rsidRPr="003A177E">
        <w:rPr>
          <w:i/>
          <w:iCs/>
        </w:rPr>
        <w:t>Environmental Research Letters, 20</w:t>
      </w:r>
      <w:r w:rsidRPr="003A177E">
        <w:t xml:space="preserve">(1), 014028. </w:t>
      </w:r>
      <w:hyperlink r:id="rId18" w:history="1">
        <w:r w:rsidRPr="003A177E">
          <w:rPr>
            <w:rStyle w:val="Hyperlink"/>
          </w:rPr>
          <w:t>https://doi.org/10.1088/1748-9326/ad9b3b</w:t>
        </w:r>
      </w:hyperlink>
    </w:p>
    <w:p w14:paraId="1E8E8F3C" w14:textId="1A050E06" w:rsidR="00FD47FB" w:rsidRDefault="00FD47FB">
      <w:pPr>
        <w:spacing w:after="100"/>
        <w:ind w:left="360" w:hanging="360"/>
        <w:jc w:val="both"/>
      </w:pPr>
    </w:p>
    <w:sectPr w:rsidR="00FD47FB" w:rsidSect="0062734B">
      <w:footerReference w:type="defaul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30EF1" w14:textId="77777777" w:rsidR="00265EEA" w:rsidRDefault="00265EEA">
      <w:r>
        <w:separator/>
      </w:r>
    </w:p>
  </w:endnote>
  <w:endnote w:type="continuationSeparator" w:id="0">
    <w:p w14:paraId="53BE9888" w14:textId="77777777" w:rsidR="00265EEA" w:rsidRDefault="00265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023909"/>
      <w:docPartObj>
        <w:docPartGallery w:val="Page Numbers (Bottom of Page)"/>
        <w:docPartUnique/>
      </w:docPartObj>
    </w:sdtPr>
    <w:sdtContent>
      <w:sdt>
        <w:sdtPr>
          <w:id w:val="-1769616900"/>
          <w:docPartObj>
            <w:docPartGallery w:val="Page Numbers (Top of Page)"/>
            <w:docPartUnique/>
          </w:docPartObj>
        </w:sdtPr>
        <w:sdtContent>
          <w:p w14:paraId="7760B3D6" w14:textId="54D51A53" w:rsidR="0062734B" w:rsidRDefault="0062734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11AB6F" w14:textId="529348E7" w:rsidR="00FD47FB" w:rsidRDefault="00FD47FB" w:rsidP="006273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8E3F" w14:textId="77777777" w:rsidR="00265EEA" w:rsidRDefault="00265EEA">
      <w:r>
        <w:separator/>
      </w:r>
    </w:p>
  </w:footnote>
  <w:footnote w:type="continuationSeparator" w:id="0">
    <w:p w14:paraId="2D816200" w14:textId="77777777" w:rsidR="00265EEA" w:rsidRDefault="00265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BC5"/>
    <w:multiLevelType w:val="hybridMultilevel"/>
    <w:tmpl w:val="BF9AEBF2"/>
    <w:lvl w:ilvl="0" w:tplc="539033FC">
      <w:start w:val="1"/>
      <w:numFmt w:val="bullet"/>
      <w:lvlText w:val="●"/>
      <w:lvlJc w:val="left"/>
      <w:pPr>
        <w:ind w:left="720" w:hanging="360"/>
      </w:pPr>
    </w:lvl>
    <w:lvl w:ilvl="1" w:tplc="BC5A76C0">
      <w:start w:val="1"/>
      <w:numFmt w:val="bullet"/>
      <w:lvlText w:val="○"/>
      <w:lvlJc w:val="left"/>
      <w:pPr>
        <w:ind w:left="1440" w:hanging="360"/>
      </w:pPr>
    </w:lvl>
    <w:lvl w:ilvl="2" w:tplc="25488334">
      <w:start w:val="1"/>
      <w:numFmt w:val="bullet"/>
      <w:lvlText w:val="■"/>
      <w:lvlJc w:val="left"/>
      <w:pPr>
        <w:ind w:left="2160" w:hanging="360"/>
      </w:pPr>
    </w:lvl>
    <w:lvl w:ilvl="3" w:tplc="C5F83B66">
      <w:start w:val="1"/>
      <w:numFmt w:val="bullet"/>
      <w:lvlText w:val="●"/>
      <w:lvlJc w:val="left"/>
      <w:pPr>
        <w:ind w:left="2880" w:hanging="360"/>
      </w:pPr>
    </w:lvl>
    <w:lvl w:ilvl="4" w:tplc="417A66FC">
      <w:start w:val="1"/>
      <w:numFmt w:val="bullet"/>
      <w:lvlText w:val="○"/>
      <w:lvlJc w:val="left"/>
      <w:pPr>
        <w:ind w:left="3600" w:hanging="360"/>
      </w:pPr>
    </w:lvl>
    <w:lvl w:ilvl="5" w:tplc="31B07D28">
      <w:start w:val="1"/>
      <w:numFmt w:val="bullet"/>
      <w:lvlText w:val="■"/>
      <w:lvlJc w:val="left"/>
      <w:pPr>
        <w:ind w:left="4320" w:hanging="360"/>
      </w:pPr>
    </w:lvl>
    <w:lvl w:ilvl="6" w:tplc="C952C838">
      <w:start w:val="1"/>
      <w:numFmt w:val="bullet"/>
      <w:lvlText w:val="●"/>
      <w:lvlJc w:val="left"/>
      <w:pPr>
        <w:ind w:left="5040" w:hanging="360"/>
      </w:pPr>
    </w:lvl>
    <w:lvl w:ilvl="7" w:tplc="9F12F0CC">
      <w:start w:val="1"/>
      <w:numFmt w:val="bullet"/>
      <w:lvlText w:val="●"/>
      <w:lvlJc w:val="left"/>
      <w:pPr>
        <w:ind w:left="5760" w:hanging="360"/>
      </w:pPr>
    </w:lvl>
    <w:lvl w:ilvl="8" w:tplc="5A887AA4">
      <w:start w:val="1"/>
      <w:numFmt w:val="bullet"/>
      <w:lvlText w:val="●"/>
      <w:lvlJc w:val="left"/>
      <w:pPr>
        <w:ind w:left="6480" w:hanging="360"/>
      </w:pPr>
    </w:lvl>
  </w:abstractNum>
  <w:abstractNum w:abstractNumId="1" w15:restartNumberingAfterBreak="0">
    <w:nsid w:val="630505E0"/>
    <w:multiLevelType w:val="hybridMultilevel"/>
    <w:tmpl w:val="43768EA6"/>
    <w:lvl w:ilvl="0" w:tplc="F762114E">
      <w:start w:val="1"/>
      <w:numFmt w:val="bullet"/>
      <w:lvlText w:val="•"/>
      <w:lvlJc w:val="left"/>
      <w:pPr>
        <w:ind w:left="720" w:hanging="360"/>
      </w:pPr>
    </w:lvl>
    <w:lvl w:ilvl="1" w:tplc="1968F0DC">
      <w:numFmt w:val="decimal"/>
      <w:lvlText w:val=""/>
      <w:lvlJc w:val="left"/>
    </w:lvl>
    <w:lvl w:ilvl="2" w:tplc="D8389EB8">
      <w:numFmt w:val="decimal"/>
      <w:lvlText w:val=""/>
      <w:lvlJc w:val="left"/>
    </w:lvl>
    <w:lvl w:ilvl="3" w:tplc="7520D264">
      <w:numFmt w:val="decimal"/>
      <w:lvlText w:val=""/>
      <w:lvlJc w:val="left"/>
    </w:lvl>
    <w:lvl w:ilvl="4" w:tplc="C5ACF65E">
      <w:numFmt w:val="decimal"/>
      <w:lvlText w:val=""/>
      <w:lvlJc w:val="left"/>
    </w:lvl>
    <w:lvl w:ilvl="5" w:tplc="21204C8E">
      <w:numFmt w:val="decimal"/>
      <w:lvlText w:val=""/>
      <w:lvlJc w:val="left"/>
    </w:lvl>
    <w:lvl w:ilvl="6" w:tplc="35E4BDC6">
      <w:numFmt w:val="decimal"/>
      <w:lvlText w:val=""/>
      <w:lvlJc w:val="left"/>
    </w:lvl>
    <w:lvl w:ilvl="7" w:tplc="FF82A484">
      <w:numFmt w:val="decimal"/>
      <w:lvlText w:val=""/>
      <w:lvlJc w:val="left"/>
    </w:lvl>
    <w:lvl w:ilvl="8" w:tplc="E41EF47C">
      <w:numFmt w:val="decimal"/>
      <w:lvlText w:val=""/>
      <w:lvlJc w:val="left"/>
    </w:lvl>
  </w:abstractNum>
  <w:num w:numId="1" w16cid:durableId="153841943">
    <w:abstractNumId w:val="0"/>
    <w:lvlOverride w:ilvl="0">
      <w:startOverride w:val="1"/>
    </w:lvlOverride>
  </w:num>
  <w:num w:numId="2" w16cid:durableId="1211697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7FB"/>
    <w:rsid w:val="00265EEA"/>
    <w:rsid w:val="00314DD9"/>
    <w:rsid w:val="003A177E"/>
    <w:rsid w:val="0047737D"/>
    <w:rsid w:val="0062734B"/>
    <w:rsid w:val="00976B60"/>
    <w:rsid w:val="00A124A4"/>
    <w:rsid w:val="00A85819"/>
    <w:rsid w:val="00AE6805"/>
    <w:rsid w:val="00AF60FF"/>
    <w:rsid w:val="00CF48EF"/>
    <w:rsid w:val="00D93989"/>
    <w:rsid w:val="00DB5D02"/>
    <w:rsid w:val="00E90574"/>
    <w:rsid w:val="00F2762F"/>
    <w:rsid w:val="00FD47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0C190"/>
  <w15:docId w15:val="{998DE636-D27B-4C86-97BF-2A335DB8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734B"/>
    <w:pPr>
      <w:tabs>
        <w:tab w:val="center" w:pos="4513"/>
        <w:tab w:val="right" w:pos="9026"/>
      </w:tabs>
    </w:pPr>
  </w:style>
  <w:style w:type="character" w:customStyle="1" w:styleId="HeaderChar">
    <w:name w:val="Header Char"/>
    <w:basedOn w:val="DefaultParagraphFont"/>
    <w:link w:val="Header"/>
    <w:uiPriority w:val="99"/>
    <w:rsid w:val="0062734B"/>
  </w:style>
  <w:style w:type="paragraph" w:styleId="Footer">
    <w:name w:val="footer"/>
    <w:basedOn w:val="Normal"/>
    <w:link w:val="FooterChar"/>
    <w:uiPriority w:val="99"/>
    <w:unhideWhenUsed/>
    <w:rsid w:val="0062734B"/>
    <w:pPr>
      <w:tabs>
        <w:tab w:val="center" w:pos="4513"/>
        <w:tab w:val="right" w:pos="9026"/>
      </w:tabs>
    </w:pPr>
  </w:style>
  <w:style w:type="character" w:customStyle="1" w:styleId="FooterChar">
    <w:name w:val="Footer Char"/>
    <w:basedOn w:val="DefaultParagraphFont"/>
    <w:link w:val="Footer"/>
    <w:uiPriority w:val="99"/>
    <w:rsid w:val="0062734B"/>
  </w:style>
  <w:style w:type="character" w:styleId="UnresolvedMention">
    <w:name w:val="Unresolved Mention"/>
    <w:basedOn w:val="DefaultParagraphFont"/>
    <w:uiPriority w:val="99"/>
    <w:semiHidden/>
    <w:unhideWhenUsed/>
    <w:rsid w:val="003A1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emo.com.au/energy-systems/electricity/national-electricity-market-nem/about-the-national-electricity-market-nem" TargetMode="External"/><Relationship Id="rId18" Type="http://schemas.openxmlformats.org/officeDocument/2006/relationships/hyperlink" Target="https://doi.org/10.1088/1748-9326/ad9b3b"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3390/app15073829" TargetMode="External"/><Relationship Id="rId17" Type="http://schemas.openxmlformats.org/officeDocument/2006/relationships/hyperlink" Target="https://ntesmo.com.au/data/darwin-katherine" TargetMode="External"/><Relationship Id="rId2" Type="http://schemas.openxmlformats.org/officeDocument/2006/relationships/styles" Target="styles.xml"/><Relationship Id="rId16" Type="http://schemas.openxmlformats.org/officeDocument/2006/relationships/hyperlink" Target="https://doi.org/10.1007/s10618-022-00894-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en16104060" TargetMode="External"/><Relationship Id="rId5" Type="http://schemas.openxmlformats.org/officeDocument/2006/relationships/footnotes" Target="footnotes.xml"/><Relationship Id="rId15" Type="http://schemas.openxmlformats.org/officeDocument/2006/relationships/hyperlink" Target="http://www.bom.gov.au/climate/data/"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emo.com.au/energy-systems/electricity/national-electricity-market-nem/data-nem/operational-deman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Shrestha</cp:lastModifiedBy>
  <cp:revision>4</cp:revision>
  <dcterms:created xsi:type="dcterms:W3CDTF">2026-08-16T06:00:00Z</dcterms:created>
  <dcterms:modified xsi:type="dcterms:W3CDTF">2026-08-16T13:11:00Z</dcterms:modified>
</cp:coreProperties>
</file>