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color w:val="2B8C82"/>
          <w:sz w:val="20"/>
        </w:rPr>
        <w:t>PRT661 – DATA SCIENCE PRACTICE</w:t>
      </w:r>
    </w:p>
    <w:p>
      <w:pPr>
        <w:jc w:val="center"/>
      </w:pPr>
      <w:r>
        <w:rPr>
          <w:b/>
          <w:color w:val="173A63"/>
          <w:sz w:val="48"/>
        </w:rPr>
        <w:t>WP1 Individual Contribution</w:t>
        <w:br/>
        <w:t>and Progress Report</w:t>
      </w:r>
    </w:p>
    <w:p>
      <w:pPr>
        <w:jc w:val="center"/>
      </w:pPr>
      <w:r>
        <w:rPr>
          <w:color w:val="667085"/>
          <w:sz w:val="22"/>
        </w:rPr>
        <w:t>Ashish Shrestha · Forecasting Lead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056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Student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Ashish Shrestha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Student ID</w:t>
            </w:r>
          </w:p>
        </w:tc>
        <w:tc>
          <w:tcPr>
            <w:tcW w:type="dxa" w:w="7056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S388084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Role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Forecasting Lead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Work package</w:t>
            </w:r>
          </w:p>
        </w:tc>
        <w:tc>
          <w:tcPr>
            <w:tcW w:type="dxa" w:w="7056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WP1 – Stage 1 Data Acquisition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Individual code artefact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03_Ashish_Shrestha_Dashboard_Snapshots.py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Integrated pipeline</w:t>
            </w:r>
          </w:p>
        </w:tc>
        <w:tc>
          <w:tcPr>
            <w:tcW w:type="dxa" w:w="7056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01_Data_Acquisition_Final_Integrated.py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Evidence run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Data.zip – current verified acquisition output</w:t>
            </w:r>
          </w:p>
        </w:tc>
      </w:tr>
    </w:tbl>
    <w:p>
      <w:pPr>
        <w:pStyle w:val="Heading1"/>
      </w:pPr>
      <w:r>
        <w:t>1. Contribution overview</w:t>
      </w:r>
    </w:p>
    <w:p>
      <w:r>
        <w:t>My Stage 1 contribution focused on the time-sensitive AEMO dashboard views used later as benchmark/context evidence. I separated dispatch from pre-dispatch, preserved PERIODTYPE and supported optional timestamped snapshots so the project could later compare a forecast with what was actually available at its issue time rather than downloading a newer view retrospectively.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2D6CA2"/>
                <w:sz w:val="20"/>
              </w:rPr>
              <w:t>Contribution boundary</w:t>
              <w:br/>
            </w:r>
            <w:r>
              <w:rPr>
                <w:color w:val="1F2937"/>
                <w:sz w:val="19"/>
              </w:rPr>
              <w:t>This report records the member’s primary source workstream and the functions carried into the integrated pipeline. Shared CLI, directories, source contract, final integration and cross-source decisions are team responsibilities. The individual code module is a role-aligned reconstruction from the final integrated code and WP1 records; it is not presented as an invented historical Git snapshot.</w:t>
            </w:r>
          </w:p>
        </w:tc>
      </w:tr>
    </w:tbl>
    <w:p>
      <w:pPr>
        <w:pStyle w:val="Heading1"/>
      </w:pPr>
      <w:r>
        <w:t>2. From the initial design to the final source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Initial plan / requirement</w:t>
            </w:r>
          </w:p>
        </w:tc>
        <w:tc>
          <w:tcPr>
            <w:tcW w:type="dxa" w:w="5616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How it evolved in Stage 1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Assessment 1 required a rolling, correction-aware verification concept.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acquisition layer implements the practical source prerequisite: preserve dashboard views and, when requested, their retrieval vintages.</w:t>
            </w:r>
          </w:p>
        </w:tc>
      </w:tr>
      <w:tr>
        <w:trPr>
          <w:cantSplit/>
        </w:trPr>
        <w:tc>
          <w:tcPr>
            <w:tcW w:type="dxa" w:w="388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first design used many individual requests.</w:t>
            </w:r>
          </w:p>
        </w:tc>
        <w:tc>
          <w:tcPr>
            <w:tcW w:type="dxa" w:w="5616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final module makes one dashboard request per view and splits the returned multi-region table locally.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“Dispatch = actual” and “pre-dispatch = forecast” was too simplistic.</w:t>
            </w:r>
          </w:p>
        </w:tc>
        <w:tc>
          <w:tcPr>
            <w:tcW w:type="dxa" w:w="56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PERIODTYPE is preserved because the response content itself determines the row meaning.</w:t>
            </w:r>
          </w:p>
        </w:tc>
      </w:tr>
      <w:tr>
        <w:trPr>
          <w:cantSplit/>
        </w:trPr>
        <w:tc>
          <w:tcPr>
            <w:tcW w:type="dxa" w:w="388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Forecast information must not contaminate the observed target.</w:t>
            </w:r>
          </w:p>
        </w:tc>
        <w:tc>
          <w:tcPr>
            <w:tcW w:type="dxa" w:w="5616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dispatch/ and predispatch/ remain separate raw folders and are never merged into historical demand during acquisition.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Heading2"/>
      </w:pPr>
      <w:r>
        <w:t>3.1 Non-technical explanation</w:t>
      </w:r>
    </w:p>
    <w:p>
      <w:pPr>
        <w:pStyle w:val="ListBullet"/>
        <w:spacing w:after="60"/>
      </w:pPr>
      <w:r>
        <w:t>Request the AEMO dashboard Dispatch (5MIN) and Pre-Dispatch (30MIN) views.</w:t>
      </w:r>
    </w:p>
    <w:p>
      <w:pPr>
        <w:pStyle w:val="ListBullet"/>
        <w:spacing w:after="60"/>
      </w:pPr>
      <w:r>
        <w:t>Split each multi-region response into NSW1, QLD1, VIC1, SA1 and TAS1 files.</w:t>
      </w:r>
    </w:p>
    <w:p>
      <w:pPr>
        <w:pStyle w:val="ListBullet"/>
        <w:spacing w:after="60"/>
      </w:pPr>
      <w:r>
        <w:t>Preserve the returned column names/order and PERIODTYPE values.</w:t>
      </w:r>
    </w:p>
    <w:p>
      <w:pPr>
        <w:pStyle w:val="ListBullet"/>
        <w:spacing w:after="60"/>
      </w:pPr>
      <w:r>
        <w:t>Keep each run as a clean current snapshot, with an optional timestamped archive for vintage-sensitive verification.</w:t>
      </w:r>
    </w:p>
    <w:p>
      <w:pPr>
        <w:pStyle w:val="ListBullet"/>
        <w:spacing w:after="60"/>
      </w:pPr>
      <w:r>
        <w:t>Treat the dashboard source as benchmark/context evidence rather than another observed-demand history feed.</w:t>
      </w:r>
    </w:p>
    <w:p>
      <w:pPr>
        <w:pStyle w:val="Heading2"/>
      </w:pPr>
      <w:r>
        <w:t>3.2 Technical code responsibility</w:t>
      </w:r>
    </w:p>
    <w:p>
      <w:r>
        <w:t>The accompanying 03_Ashish_Shrestha_Dashboard_Snapshots.py isolates this workstream from the final integrated acquisition file so the source logic can be read and tested independently before merge.</w:t>
      </w:r>
    </w:p>
    <w:p>
      <w:pPr>
        <w:pStyle w:val="Heading1"/>
      </w:pPr>
      <w:r>
        <w:t>4. Evidence from the current verified acquisition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024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Current verified result</w:t>
            </w:r>
          </w:p>
        </w:tc>
        <w:tc>
          <w:tcPr>
            <w:tcW w:type="dxa" w:w="4032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What it demonstrates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Dispatch files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5 × 576 rows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Every verified row is ACTUAL in the current Data.zip snapshot.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Pre-dispatch files</w:t>
            </w:r>
          </w:p>
        </w:tc>
        <w:tc>
          <w:tcPr>
            <w:tcW w:type="dxa" w:w="3024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5 × 363 rows</w:t>
            </w:r>
          </w:p>
        </w:tc>
        <w:tc>
          <w:tcPr>
            <w:tcW w:type="dxa" w:w="4032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Each current file contains 288 ACTUAL and 75 FORECAST rows.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Folder separation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dispatch/ and predispatch/</w:t>
            </w:r>
          </w:p>
        </w:tc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Prevents endpoint names from being mistaken for target semantics.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Vintage mechanism</w:t>
            </w:r>
          </w:p>
        </w:tc>
        <w:tc>
          <w:tcPr>
            <w:tcW w:type="dxa" w:w="3024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Optional snapshots/ plus forecast provenance principles</w:t>
            </w:r>
          </w:p>
        </w:tc>
        <w:tc>
          <w:tcPr>
            <w:tcW w:type="dxa" w:w="4032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6"/>
              </w:rPr>
              <w:t>Supports later evidence about what information existed at issue time.</w:t>
            </w:r>
          </w:p>
        </w:tc>
      </w:tr>
    </w:tbl>
    <w:p>
      <w:pPr>
        <w:pStyle w:val="Heading1"/>
      </w:pPr>
      <w:r>
        <w:t>5. Collaboration and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With / interface</w:t>
            </w:r>
          </w:p>
        </w:tc>
        <w:tc>
          <w:tcPr>
            <w:tcW w:type="dxa" w:w="6912"/>
            <w:shd w:fill="17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How the work connected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Bishal – verification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Bishal’s independent output review previously exposed empty time-sensitive folders, demonstrating why file existence must be verified, not assumed from logs.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Sudip – WA acquisition</w:t>
            </w:r>
          </w:p>
        </w:tc>
        <w:tc>
          <w:tcPr>
            <w:tcW w:type="dxa" w:w="6912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Source-step isolation prevents a slow WA refresh from blocking dashboard capture.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Suraj – NEM archive</w:t>
            </w:r>
          </w:p>
        </w:tc>
        <w:tc>
          <w:tcPr>
            <w:tcW w:type="dxa" w:w="69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Deep history and live snapshots remain separate source purposes, avoiding unnecessary stitching.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Dan6 integration</w:t>
            </w:r>
          </w:p>
        </w:tc>
        <w:tc>
          <w:tcPr>
            <w:tcW w:type="dxa" w:w="6912"/>
            <w:vAlign w:val="top"/>
            <w:shd w:fill="F6F8FB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color w:val="1F2937"/>
                <w:sz w:val="17"/>
              </w:rPr>
              <w:t>The shared failure boundary keeps an unavailable provider from stopping unrelated source acquisition.</w:t>
            </w:r>
          </w:p>
        </w:tc>
      </w:tr>
    </w:tbl>
    <w:p>
      <w:pPr>
        <w:pStyle w:val="Heading1"/>
      </w:pPr>
      <w:r>
        <w:t>6. Technical decisions and limitations</w:t>
      </w:r>
    </w:p>
    <w:p>
      <w:r>
        <w:t>The final source module is intentionally conservative: it preserves what the provider published, adds provenance only where needed to disambiguate source meaning, and avoids performing later-stage analytical transformations inside acquisition. Where the original proposal could not be implemented reproducibly, the limitation is documented rather than hidden.</w:t>
      </w:r>
    </w:p>
    <w:p>
      <w:pPr>
        <w:pStyle w:val="Heading1"/>
      </w:pPr>
      <w:r>
        <w:t>7. Status at Stage 1 close-out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DF7F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4F7E56"/>
                <w:sz w:val="20"/>
              </w:rPr>
              <w:t>INDIVIDUAL WP1 STATUS: INTEGRATED</w:t>
              <w:br/>
            </w:r>
            <w:r>
              <w:rPr>
                <w:color w:val="1F2937"/>
                <w:sz w:val="19"/>
              </w:rPr>
              <w:t>The assigned acquisition workstream is represented in the final Stage 1 pipeline and its outputs are present in the verified Data.zip. Remaining analytical transformations belong to later stages, not this module.</w:t>
            </w:r>
          </w:p>
        </w:tc>
      </w:tr>
    </w:tbl>
    <w:p>
      <w:pPr>
        <w:pStyle w:val="Heading1"/>
      </w:pPr>
      <w:r>
        <w:t>8. Professional reflection</w:t>
      </w:r>
    </w:p>
    <w:p>
      <w:r>
        <w:t>This workstream made the information-timing problem concrete. The most important output is not a graph; it is the preserved distinction between actual, forecast and retrieval vintage. A forecast source that is merged too early can make a later model appear stronger simply because it has been given information that would not have existed at the forecast origin.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Dan6 – Australian Electricity Demand Forecasting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PRT661 – Data Science Practice | WP1 Ashish Shrestha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CA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8C8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A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