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22"/>
          <w:szCs w:val="22"/>
        </w:rPr>
        <w:t xml:space="preserve">PRT661 – Data Science Practice</w:t>
      </w:r>
    </w:p>
    <w:p>
      <w:pPr>
        <w:spacing w:after="90"/>
      </w:pPr>
      <w:r>
        <w:rPr>
          <w:color w:val="444444"/>
          <w:sz w:val="18"/>
          <w:szCs w:val="18"/>
        </w:rPr>
        <w:t xml:space="preserve">Group 2 · Dan6: Theme 2 · Individual Work and Contribution Summary · WP4 Operational Portal, Automation and Deployment</w:t>
      </w:r>
    </w:p>
    <w:p>
      <w:pPr>
        <w:pBdr>
          <w:bottom w:val="single" w:color="2F5496" w:sz="6"/>
        </w:pBdr>
        <w:spacing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val="clear"/>
            <w:tcMar>
              <w:top w:type="dxa" w:w="32"/>
              <w:left w:type="dxa" w:w="75"/>
              <w:bottom w:type="dxa" w:w="32"/>
              <w:right w:type="dxa" w:w="75"/>
            </w:tcMar>
          </w:tcPr>
          <w:p>
            <w:pPr>
              <w:spacing w:after="15" w:before="15"/>
            </w:pPr>
            <w:r>
              <w:rPr>
                <w:b/>
                <w:bCs/>
                <w:sz w:val="16"/>
                <w:szCs w:val="16"/>
              </w:rPr>
              <w:t xml:space="preserve">Field</w:t>
            </w:r>
          </w:p>
        </w:tc>
        <w:tc>
          <w:tcPr>
            <w:tcW w:type="dxa" w:w="6760"/>
            <w:shd w:fill="DCE6F1" w:val="clear"/>
            <w:tcMar>
              <w:top w:type="dxa" w:w="32"/>
              <w:left w:type="dxa" w:w="75"/>
              <w:bottom w:type="dxa" w:w="32"/>
              <w:right w:type="dxa" w:w="75"/>
            </w:tcMar>
          </w:tcPr>
          <w:p>
            <w:pPr>
              <w:spacing w:after="15" w:before="15"/>
            </w:pPr>
            <w:r>
              <w:rPr>
                <w:b/>
                <w:bCs/>
                <w:sz w:val="16"/>
                <w:szCs w:val="16"/>
              </w:rPr>
              <w:t xml:space="preserve">Detail</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Name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Sudip Lamichhane</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Student ID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S388085</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WP4 role (declared in the portal)</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Data Acquisition &amp; Automation</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Modules owned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pipeline/acquisition_live.py, railway_worker.py, bootstrap.py, aemo_official.py, hourly_job.py, operational_job.py, tools/build_worker_assets.py, deployment documentation</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Work package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WP4 — Operational portal, automation and deployment</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Evidence build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Portal v3.0.0 · pipeline v4.0.0 · model evidence wp4-2026-09-29 (run EnergyForecast_Run_20260929_145931)</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Status</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Portal operating locally and verified by automated tests; deployment configured and documented, not yet demonstrated</w:t>
            </w:r>
          </w:p>
        </w:tc>
      </w:tr>
    </w:tbl>
    <w:p>
      <w:pPr>
        <w:spacing w:after="50" w:before="50"/>
      </w:pPr>
      <w:r>
        <w:rPr>
          <w:b/>
          <w:bCs/>
          <w:i w:val="false"/>
          <w:iCs w:val="false"/>
          <w:sz w:val="19"/>
          <w:szCs w:val="19"/>
        </w:rPr>
        <w:t xml:space="preserve">Scope note. </w:t>
      </w:r>
      <w:r>
        <w:rPr>
          <w:b w:val="false"/>
          <w:bCs w:val="false"/>
          <w:i w:val="false"/>
          <w:iCs w:val="false"/>
          <w:sz w:val="19"/>
          <w:szCs w:val="19"/>
        </w:rPr>
        <w:t xml:space="preserve">This document covers WP4 — the operational portal, automation and deployment work carried out after the WP3 submission. Evidence is the supplied portal source (portal v3.0.0, pipeline v4.0.0), the curated model-evidence pack (wp4-2026-09-29), the v3.0.0 release documents and nine screenshots of the running portal captured 2 October 2026. Module ownership follows the role titles declared in the portal and continuity from WP2 and WP3; it is not derived from commit history, because the supplied repository contains no commits.</w:t>
      </w:r>
    </w:p>
    <w:p>
      <w:pPr>
        <w:pStyle w:val="Heading1"/>
        <w:spacing w:after="90" w:before="210"/>
      </w:pPr>
      <w:r>
        <w:rPr>
          <w:b/>
          <w:bCs/>
          <w:color w:val="1F3864"/>
          <w:sz w:val="26"/>
          <w:szCs w:val="26"/>
        </w:rPr>
        <w:t xml:space="preserve">1. What I was responsible for</w:t>
      </w:r>
    </w:p>
    <w:p>
      <w:pPr>
        <w:spacing w:after="50" w:before="50"/>
      </w:pPr>
      <w:r>
        <w:rPr>
          <w:sz w:val="19"/>
          <w:szCs w:val="19"/>
        </w:rPr>
        <w:t xml:space="preserve">Making the system run without a person. Live acquisition on a schedule, the two scheduled jobs, the worker that runs them, the first-start bootstrap, the AEMO official feed, and the deployment architecture for both Railway and AWS.</w:t>
      </w:r>
    </w:p>
    <w:p>
      <w:pPr>
        <w:pStyle w:val="Heading1"/>
        <w:spacing w:after="90" w:before="210"/>
      </w:pPr>
      <w:r>
        <w:rPr>
          <w:b/>
          <w:bCs/>
          <w:color w:val="1F3864"/>
          <w:sz w:val="26"/>
          <w:szCs w:val="26"/>
        </w:rPr>
        <w:t xml:space="preserve">2. What I built</w:t>
      </w:r>
    </w:p>
    <w:p>
      <w:pPr>
        <w:pStyle w:val="ListParagraph"/>
        <w:numPr>
          <w:ilvl w:val="0"/>
          <w:numId w:val="1"/>
        </w:numPr>
        <w:spacing w:after="25" w:before="25"/>
      </w:pPr>
      <w:r>
        <w:rPr>
          <w:sz w:val="19"/>
          <w:szCs w:val="19"/>
        </w:rPr>
        <w:t xml:space="preserve">Live acquisition: refreshes the current demand tail, retrieves a weather forecast vintage keyed by forecast origin, and stores AEMO’s published operational-demand forecast where available.</w:t>
      </w:r>
    </w:p>
    <w:p>
      <w:pPr>
        <w:pStyle w:val="ListParagraph"/>
        <w:numPr>
          <w:ilvl w:val="0"/>
          <w:numId w:val="1"/>
        </w:numPr>
        <w:spacing w:after="25" w:before="25"/>
      </w:pPr>
      <w:r>
        <w:rPr>
          <w:sz w:val="19"/>
          <w:szCs w:val="19"/>
        </w:rPr>
        <w:t xml:space="preserve">Two scheduled jobs with different weights — a fast 30-minute operational cycle that stores the next-interval forecast users see and scores earlier ones, and an hourly job that refreshes the full four-month outlook.</w:t>
      </w:r>
    </w:p>
    <w:p>
      <w:pPr>
        <w:pStyle w:val="ListParagraph"/>
        <w:numPr>
          <w:ilvl w:val="0"/>
          <w:numId w:val="1"/>
        </w:numPr>
        <w:spacing w:after="25" w:before="25"/>
      </w:pPr>
      <w:r>
        <w:rPr>
          <w:sz w:val="19"/>
          <w:szCs w:val="19"/>
        </w:rPr>
        <w:t xml:space="preserve">The persistent worker: expands the one-time asset archive when the volume is empty, verifies the approved six-region production mapping, initialises the database, seeds historical demand when empty, records model provenance, runs startup jobs, then holds the schedule at minutes 05 and 35 and the hourly refresh at minute 15.</w:t>
      </w:r>
    </w:p>
    <w:p>
      <w:pPr>
        <w:pStyle w:val="ListParagraph"/>
        <w:numPr>
          <w:ilvl w:val="0"/>
          <w:numId w:val="1"/>
        </w:numPr>
        <w:spacing w:after="25" w:before="25"/>
      </w:pPr>
      <w:r>
        <w:rPr>
          <w:sz w:val="19"/>
          <w:szCs w:val="19"/>
        </w:rPr>
        <w:t xml:space="preserve">Run logging for every job into a pipeline_runs table, with completion status and detail, so a failed cycle leaves a record rather than silence.</w:t>
      </w:r>
    </w:p>
    <w:p>
      <w:pPr>
        <w:pStyle w:val="ListParagraph"/>
        <w:numPr>
          <w:ilvl w:val="0"/>
          <w:numId w:val="1"/>
        </w:numPr>
        <w:spacing w:after="25" w:before="25"/>
      </w:pPr>
      <w:r>
        <w:rPr>
          <w:sz w:val="19"/>
          <w:szCs w:val="19"/>
        </w:rPr>
        <w:t xml:space="preserve">The worker asset builder, which packages only the six selected bundles, portable pointers, the Stage 2 runtime snapshot and a provenance manifest — deliberately excluding the raw archive, the local database and non-production bundles.</w:t>
      </w:r>
    </w:p>
    <w:p>
      <w:pPr>
        <w:pStyle w:val="ListParagraph"/>
        <w:numPr>
          <w:ilvl w:val="0"/>
          <w:numId w:val="1"/>
        </w:numPr>
        <w:spacing w:after="25" w:before="25"/>
      </w:pPr>
      <w:r>
        <w:rPr>
          <w:sz w:val="19"/>
          <w:szCs w:val="19"/>
        </w:rPr>
        <w:t xml:space="preserve">Deployment documentation for two targets: a two-service Railway configuration with the full environment contract, and an AWS blueprint mapping the same design onto App Runner, RDS, S3, Secrets Manager and EventBridge.</w:t>
      </w:r>
    </w:p>
    <w:p>
      <w:pPr>
        <w:pStyle w:val="Heading1"/>
        <w:spacing w:after="90" w:before="210"/>
      </w:pPr>
      <w:r>
        <w:rPr>
          <w:b/>
          <w:bCs/>
          <w:color w:val="1F3864"/>
          <w:sz w:val="26"/>
          <w:szCs w:val="26"/>
        </w:rPr>
        <w:t xml:space="preserve">3. Problems I hit and how I solved them</w:t>
      </w:r>
    </w:p>
    <w:p>
      <w:pPr>
        <w:pStyle w:val="Heading2"/>
        <w:spacing w:after="70" w:before="160"/>
      </w:pPr>
      <w:r>
        <w:rPr>
          <w:b/>
          <w:bCs/>
          <w:color w:val="2F5496"/>
          <w:sz w:val="21"/>
          <w:szCs w:val="21"/>
        </w:rPr>
        <w:t xml:space="preserve">3.1 A public web service cannot carry the models</w:t>
      </w:r>
    </w:p>
    <w:p>
      <w:pPr>
        <w:spacing w:after="50" w:before="50"/>
      </w:pPr>
      <w:r>
        <w:rPr>
          <w:b/>
          <w:bCs/>
          <w:i w:val="false"/>
          <w:iCs w:val="false"/>
          <w:sz w:val="19"/>
          <w:szCs w:val="19"/>
        </w:rPr>
        <w:t xml:space="preserve">Problem. </w:t>
      </w:r>
      <w:r>
        <w:rPr>
          <w:b w:val="false"/>
          <w:bCs w:val="false"/>
          <w:i w:val="false"/>
          <w:iCs w:val="false"/>
          <w:sz w:val="19"/>
          <w:szCs w:val="19"/>
        </w:rPr>
        <w:t xml:space="preserve">The obvious deployment is one service that does everything. It fails for two reasons: the model bundles exceed 1.5 GB, which makes the container slow to build and deploy, and a user request would be able to trigger a model execution, so page response time would depend on forecast runtime.</w:t>
      </w:r>
    </w:p>
    <w:p>
      <w:pPr>
        <w:spacing w:after="50" w:before="50"/>
      </w:pPr>
      <w:r>
        <w:rPr>
          <w:b/>
          <w:bCs/>
          <w:i w:val="false"/>
          <w:iCs w:val="false"/>
          <w:sz w:val="19"/>
          <w:szCs w:val="19"/>
        </w:rPr>
        <w:t xml:space="preserve">What I did. </w:t>
      </w:r>
      <w:r>
        <w:rPr>
          <w:b w:val="false"/>
          <w:bCs w:val="false"/>
          <w:i w:val="false"/>
          <w:iCs w:val="false"/>
          <w:sz w:val="19"/>
          <w:szCs w:val="19"/>
        </w:rPr>
        <w:t xml:space="preserve">I split the system into a web service and a worker that share a database and a persistent volume. The web service holds no models and performs no inference; it reads the database and the curated evidence pack. The worker holds the bundles, runs every scheduled job and writes results. I then built the asset packaging so the volume can be populated once from a single archive rather than from the repository.</w:t>
      </w:r>
    </w:p>
    <w:p>
      <w:pPr>
        <w:spacing w:after="50" w:before="50"/>
      </w:pPr>
      <w:r>
        <w:rPr>
          <w:b/>
          <w:bCs/>
          <w:i w:val="false"/>
          <w:iCs w:val="false"/>
          <w:sz w:val="19"/>
          <w:szCs w:val="19"/>
        </w:rPr>
        <w:t xml:space="preserve">Result. </w:t>
      </w:r>
      <w:r>
        <w:rPr>
          <w:b w:val="false"/>
          <w:bCs w:val="false"/>
          <w:i w:val="false"/>
          <w:iCs w:val="false"/>
          <w:sz w:val="19"/>
          <w:szCs w:val="19"/>
        </w:rPr>
        <w:t xml:space="preserve">The public container stays small, forecasting runs on a schedule rather than on demand, and a slow or failed forecast cannot take the site down. The same split maps cleanly onto AWS, which is why the blueprint is a configuration change rather than a redesign.</w:t>
      </w:r>
    </w:p>
    <w:p>
      <w:pPr>
        <w:pStyle w:val="Heading2"/>
        <w:spacing w:after="70" w:before="160"/>
      </w:pPr>
      <w:r>
        <w:rPr>
          <w:b/>
          <w:bCs/>
          <w:color w:val="2F5496"/>
          <w:sz w:val="21"/>
          <w:szCs w:val="21"/>
        </w:rPr>
        <w:t xml:space="preserve">3.2 The schedule had to be split by weight, not run as one job</w:t>
      </w:r>
    </w:p>
    <w:p>
      <w:pPr>
        <w:spacing w:after="50" w:before="50"/>
      </w:pPr>
      <w:r>
        <w:rPr>
          <w:b/>
          <w:bCs/>
          <w:i w:val="false"/>
          <w:iCs w:val="false"/>
          <w:sz w:val="19"/>
          <w:szCs w:val="19"/>
        </w:rPr>
        <w:t xml:space="preserve">Problem. </w:t>
      </w:r>
      <w:r>
        <w:rPr>
          <w:b w:val="false"/>
          <w:bCs w:val="false"/>
          <w:i w:val="false"/>
          <w:iCs w:val="false"/>
          <w:sz w:val="19"/>
          <w:szCs w:val="19"/>
        </w:rPr>
        <w:t xml:space="preserve">A single hourly job doing everything would leave the number users look at most — the next 30-minute forecast — as stale as the heaviest part of the cycle. The four-month recursive outlook is expensive; the next-interval forecast is not.</w:t>
      </w:r>
    </w:p>
    <w:p>
      <w:pPr>
        <w:spacing w:after="50" w:before="50"/>
      </w:pPr>
      <w:r>
        <w:rPr>
          <w:b/>
          <w:bCs/>
          <w:i w:val="false"/>
          <w:iCs w:val="false"/>
          <w:sz w:val="19"/>
          <w:szCs w:val="19"/>
        </w:rPr>
        <w:t xml:space="preserve">What I did. </w:t>
      </w:r>
      <w:r>
        <w:rPr>
          <w:b w:val="false"/>
          <w:bCs w:val="false"/>
          <w:i w:val="false"/>
          <w:iCs w:val="false"/>
          <w:sz w:val="19"/>
          <w:szCs w:val="19"/>
        </w:rPr>
        <w:t xml:space="preserve">I separated them. The operational job runs at minutes 05 and 35 and does only what the live view needs: refresh inputs, store the next-interval forecast, score the ones whose actuals have arrived. The hourly job at minute 15 carries the full outlook refresh and the broader verification.</w:t>
      </w:r>
    </w:p>
    <w:p>
      <w:pPr>
        <w:spacing w:after="50" w:before="50"/>
      </w:pPr>
      <w:r>
        <w:rPr>
          <w:b/>
          <w:bCs/>
          <w:i w:val="false"/>
          <w:iCs w:val="false"/>
          <w:sz w:val="19"/>
          <w:szCs w:val="19"/>
        </w:rPr>
        <w:t xml:space="preserve">Result. </w:t>
      </w:r>
      <w:r>
        <w:rPr>
          <w:b w:val="false"/>
          <w:bCs w:val="false"/>
          <w:i w:val="false"/>
          <w:iCs w:val="false"/>
          <w:sz w:val="19"/>
          <w:szCs w:val="19"/>
        </w:rPr>
        <w:t xml:space="preserve">The live number is never more than about half an hour old while the expensive work runs once an hour. The freshness guard visible in the screenshots is the counterpart to this: when a cycle has not run, the portal says how long ago rather than showing an old number as if it were current.</w:t>
      </w:r>
    </w:p>
    <w:p>
      <w:pPr>
        <w:pStyle w:val="Heading2"/>
        <w:spacing w:after="70" w:before="160"/>
      </w:pPr>
      <w:r>
        <w:rPr>
          <w:b/>
          <w:bCs/>
          <w:color w:val="2F5496"/>
          <w:sz w:val="21"/>
          <w:szCs w:val="21"/>
        </w:rPr>
        <w:t xml:space="preserve">3.3 Correction handling still does not exist, and I am recording that</w:t>
      </w:r>
    </w:p>
    <w:p>
      <w:pPr>
        <w:spacing w:after="50" w:before="50"/>
      </w:pPr>
      <w:r>
        <w:rPr>
          <w:b/>
          <w:bCs/>
          <w:i w:val="false"/>
          <w:iCs w:val="false"/>
          <w:sz w:val="19"/>
          <w:szCs w:val="19"/>
        </w:rPr>
        <w:t xml:space="preserve">Problem. </w:t>
      </w:r>
      <w:r>
        <w:rPr>
          <w:b w:val="false"/>
          <w:bCs w:val="false"/>
          <w:i w:val="false"/>
          <w:iCs w:val="false"/>
          <w:sz w:val="19"/>
          <w:szCs w:val="19"/>
        </w:rPr>
        <w:t xml:space="preserve">My WP3 document reported that the correction-exposure work I built for the modelling draft had not survived integration, and identified the reason: correction handling presumes continuous ingestion, which a batch pipeline does not provide. WP4 removes that blocker — the pipeline now runs continuously — but I did not implement correction handling in this work package.</w:t>
      </w:r>
    </w:p>
    <w:p>
      <w:pPr>
        <w:spacing w:after="50" w:before="50"/>
      </w:pPr>
      <w:r>
        <w:rPr>
          <w:b/>
          <w:bCs/>
          <w:i w:val="false"/>
          <w:iCs w:val="false"/>
          <w:sz w:val="19"/>
          <w:szCs w:val="19"/>
        </w:rPr>
        <w:t xml:space="preserve">What I did. </w:t>
      </w:r>
      <w:r>
        <w:rPr>
          <w:b w:val="false"/>
          <w:bCs w:val="false"/>
          <w:i w:val="false"/>
          <w:iCs w:val="false"/>
          <w:sz w:val="19"/>
          <w:szCs w:val="19"/>
        </w:rPr>
        <w:t xml:space="preserve">Rather than let the gap close over quietly now that the obstacle is gone, I checked the position honestly. No correction listener, provisional state or recalculation flag exists in any pipeline module. The verification engine re-upserts accuracy rows on every run, so a revised actual would in practice be re-scored on the next cycle, but that is a side effect of the upsert, not a designed correction path, and nothing marks a metric as recalculated.</w:t>
      </w:r>
    </w:p>
    <w:p>
      <w:pPr>
        <w:spacing w:after="50" w:before="50"/>
      </w:pPr>
      <w:r>
        <w:rPr>
          <w:b/>
          <w:bCs/>
          <w:i w:val="false"/>
          <w:iCs w:val="false"/>
          <w:sz w:val="19"/>
          <w:szCs w:val="19"/>
        </w:rPr>
        <w:t xml:space="preserve">Result. </w:t>
      </w:r>
      <w:r>
        <w:rPr>
          <w:b w:val="false"/>
          <w:bCs w:val="false"/>
          <w:i w:val="false"/>
          <w:iCs w:val="false"/>
          <w:sz w:val="19"/>
          <w:szCs w:val="19"/>
        </w:rPr>
        <w:t xml:space="preserve">The gap is recorded against Assessment 1 Section 6 and against my own Assessment 1 deliverable, and it is now sixth in the remaining-work order rather than blocked. It is the last unaddressed commitment from the original proposal, and the reason it can be addressed next is the scheduled worker this work package delivered.</w:t>
      </w:r>
    </w:p>
    <w:p>
      <w:pPr>
        <w:pStyle w:val="Heading1"/>
        <w:spacing w:after="90" w:before="210"/>
      </w:pPr>
      <w:r>
        <w:rPr>
          <w:b/>
          <w:bCs/>
          <w:color w:val="1F3864"/>
          <w:sz w:val="26"/>
          <w:szCs w:val="26"/>
        </w:rPr>
        <w:t xml:space="preserve">4. Evidence from the verified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CE6F1" w:val="clear"/>
            <w:tcMar>
              <w:top w:type="dxa" w:w="32"/>
              <w:left w:type="dxa" w:w="75"/>
              <w:bottom w:type="dxa" w:w="32"/>
              <w:right w:type="dxa" w:w="75"/>
            </w:tcMar>
          </w:tcPr>
          <w:p>
            <w:pPr>
              <w:spacing w:after="15" w:before="15"/>
            </w:pPr>
            <w:r>
              <w:rPr>
                <w:b/>
                <w:bCs/>
                <w:sz w:val="16"/>
                <w:szCs w:val="16"/>
              </w:rPr>
              <w:t xml:space="preserve">Measure</w:t>
            </w:r>
          </w:p>
        </w:tc>
        <w:tc>
          <w:tcPr>
            <w:tcW w:type="dxa" w:w="5160"/>
            <w:shd w:fill="DCE6F1" w:val="clear"/>
            <w:tcMar>
              <w:top w:type="dxa" w:w="32"/>
              <w:left w:type="dxa" w:w="75"/>
              <w:bottom w:type="dxa" w:w="32"/>
              <w:right w:type="dxa" w:w="75"/>
            </w:tcMar>
          </w:tcPr>
          <w:p>
            <w:pPr>
              <w:spacing w:after="15" w:before="15"/>
            </w:pPr>
            <w:r>
              <w:rPr>
                <w:b/>
                <w:bCs/>
                <w:sz w:val="16"/>
                <w:szCs w:val="16"/>
              </w:rPr>
              <w:t xml:space="preserve">Value</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Scheduled jobs implemented</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3 — operational (minutes 05 / 35), hourly outlook (minute 15), monthly retrain</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Worker startup sequence</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6 steps — asset expansion, mapping verification, database init, history seeding, provenance recording, initial refresh</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Run logging</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Every job writes status and detail to pipeline_runs</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Weather vintages</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Stored per acquisition cycle, keyed on region and forecast origin</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Asset archive contents</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Six production bundles, portable pointers, Stage 2 runtime snapshot, provenance manifest</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Deployment targets documented</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2 — Railway two-service (primary) and AWS blueprint</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Deployment verification outstanding</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Docker build, PostgreSQL execution and browser checks deferred to the host</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Correction handling</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Not implemented — recorded as an open Assessment 1 commitment</w:t>
            </w:r>
          </w:p>
        </w:tc>
      </w:tr>
    </w:tbl>
    <w:p>
      <w:pPr>
        <w:spacing w:after="130" w:before="40"/>
      </w:pPr>
      <w:r>
        <w:rPr>
          <w:i/>
          <w:iCs/>
          <w:sz w:val="17"/>
          <w:szCs w:val="17"/>
        </w:rPr>
        <w:t xml:space="preserve">Table 2. Measured outcomes.</w:t>
      </w:r>
    </w:p>
    <w:p>
      <w:pPr>
        <w:pStyle w:val="Heading1"/>
        <w:spacing w:after="90" w:before="210"/>
      </w:pPr>
      <w:r>
        <w:rPr>
          <w:b/>
          <w:bCs/>
          <w:color w:val="1F3864"/>
          <w:sz w:val="26"/>
          <w:szCs w:val="26"/>
        </w:rPr>
        <w:t xml:space="preserve">5. Where I depended on the team</w:t>
      </w:r>
    </w:p>
    <w:p>
      <w:pPr>
        <w:pStyle w:val="ListParagraph"/>
        <w:numPr>
          <w:ilvl w:val="0"/>
          <w:numId w:val="1"/>
        </w:numPr>
        <w:spacing w:after="25" w:before="25"/>
      </w:pPr>
      <w:r>
        <w:rPr>
          <w:sz w:val="19"/>
          <w:szCs w:val="19"/>
        </w:rPr>
        <w:t xml:space="preserve">Ashish’s resolver is what the worker verifies at startup; without an authoritative mapping the startup check would have nothing to check against.</w:t>
      </w:r>
    </w:p>
    <w:p>
      <w:pPr>
        <w:pStyle w:val="ListParagraph"/>
        <w:numPr>
          <w:ilvl w:val="0"/>
          <w:numId w:val="1"/>
        </w:numPr>
        <w:spacing w:after="25" w:before="25"/>
      </w:pPr>
      <w:r>
        <w:rPr>
          <w:sz w:val="19"/>
          <w:szCs w:val="19"/>
        </w:rPr>
        <w:t xml:space="preserve">Suraj’s database initialisation and schema are the first thing the worker calls, and the run log depends on his table design.</w:t>
      </w:r>
    </w:p>
    <w:p>
      <w:pPr>
        <w:pStyle w:val="ListParagraph"/>
        <w:numPr>
          <w:ilvl w:val="0"/>
          <w:numId w:val="1"/>
        </w:numPr>
        <w:spacing w:after="25" w:before="25"/>
      </w:pPr>
      <w:r>
        <w:rPr>
          <w:sz w:val="19"/>
          <w:szCs w:val="19"/>
        </w:rPr>
        <w:t xml:space="preserve">Bishal’s freshness guard is the user-visible half of my scheduling work — the schedule is only trustworthy because a missed cycle is announced.</w:t>
      </w:r>
    </w:p>
    <w:p>
      <w:pPr>
        <w:pStyle w:val="Heading1"/>
        <w:spacing w:after="90" w:before="210"/>
      </w:pPr>
      <w:r>
        <w:rPr>
          <w:b/>
          <w:bCs/>
          <w:color w:val="1F3864"/>
          <w:sz w:val="26"/>
          <w:szCs w:val="26"/>
        </w:rPr>
        <w:t xml:space="preserve">6. Where I supported others</w:t>
      </w:r>
    </w:p>
    <w:p>
      <w:pPr>
        <w:pStyle w:val="ListParagraph"/>
        <w:numPr>
          <w:ilvl w:val="0"/>
          <w:numId w:val="1"/>
        </w:numPr>
        <w:spacing w:after="25" w:before="25"/>
      </w:pPr>
      <w:r>
        <w:rPr>
          <w:sz w:val="19"/>
          <w:szCs w:val="19"/>
        </w:rPr>
        <w:t xml:space="preserve">Packaged the worker assets so the other three could run the full system locally from one archive rather than rebuilding Stage 2.</w:t>
      </w:r>
    </w:p>
    <w:p>
      <w:pPr>
        <w:pStyle w:val="ListParagraph"/>
        <w:numPr>
          <w:ilvl w:val="0"/>
          <w:numId w:val="1"/>
        </w:numPr>
        <w:spacing w:after="25" w:before="25"/>
      </w:pPr>
      <w:r>
        <w:rPr>
          <w:sz w:val="19"/>
          <w:szCs w:val="19"/>
        </w:rPr>
        <w:t xml:space="preserve">Wrote the deployment environment contract so the configuration is reviewable before anything is deployed.</w:t>
      </w:r>
    </w:p>
    <w:p>
      <w:pPr>
        <w:pStyle w:val="ListParagraph"/>
        <w:numPr>
          <w:ilvl w:val="0"/>
          <w:numId w:val="1"/>
        </w:numPr>
        <w:spacing w:after="25" w:before="25"/>
      </w:pPr>
      <w:r>
        <w:rPr>
          <w:sz w:val="19"/>
          <w:szCs w:val="19"/>
        </w:rPr>
        <w:t xml:space="preserve">Confirmed the approved production mapping is verified at worker startup as well as in the portal, giving the resolver a second independent check.</w:t>
      </w:r>
    </w:p>
    <w:p>
      <w:pPr>
        <w:pStyle w:val="Heading1"/>
        <w:spacing w:after="90" w:before="210"/>
      </w:pPr>
      <w:r>
        <w:rPr>
          <w:b/>
          <w:bCs/>
          <w:color w:val="1F3864"/>
          <w:sz w:val="26"/>
          <w:szCs w:val="26"/>
        </w:rPr>
        <w:t xml:space="preserve">7.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val="clear"/>
            <w:tcMar>
              <w:top w:type="dxa" w:w="32"/>
              <w:left w:type="dxa" w:w="75"/>
              <w:bottom w:type="dxa" w:w="32"/>
              <w:right w:type="dxa" w:w="75"/>
            </w:tcMar>
          </w:tcPr>
          <w:p>
            <w:pPr>
              <w:spacing w:after="15" w:before="15"/>
            </w:pPr>
            <w:r>
              <w:rPr>
                <w:b/>
                <w:bCs/>
                <w:sz w:val="16"/>
                <w:szCs w:val="16"/>
              </w:rPr>
              <w:t xml:space="preserve">Artefact</w:t>
            </w:r>
          </w:p>
        </w:tc>
        <w:tc>
          <w:tcPr>
            <w:tcW w:type="dxa" w:w="6360"/>
            <w:shd w:fill="DCE6F1" w:val="clear"/>
            <w:tcMar>
              <w:top w:type="dxa" w:w="32"/>
              <w:left w:type="dxa" w:w="75"/>
              <w:bottom w:type="dxa" w:w="32"/>
              <w:right w:type="dxa" w:w="75"/>
            </w:tcMar>
          </w:tcPr>
          <w:p>
            <w:pPr>
              <w:spacing w:after="15" w:before="15"/>
            </w:pPr>
            <w:r>
              <w:rPr>
                <w:b/>
                <w:bCs/>
                <w:sz w:val="16"/>
                <w:szCs w:val="16"/>
              </w:rPr>
              <w:t xml:space="preserve">Location</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Modules</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pipeline/acquisition_live.py; railway_worker.py; bootstrap.py; aemo_official.py; hourly_job.py; operational_job.py</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Tooling</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tools/build_worker_assets.py</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Documentation</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README.md deployment sections; DEPLOYMENT_RAILWAY.md; infra/aws_deployment.md</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Database evidence</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pipeline_runs; weather_forecast; aemo_forecast tables</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Commit</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[insert commit link]</w:t>
            </w:r>
          </w:p>
        </w:tc>
      </w:tr>
    </w:tbl>
    <w:p>
      <w:pPr>
        <w:spacing w:after="50" w:before="50"/>
      </w:pPr>
      <w:r>
        <w:rPr>
          <w:i/>
          <w:iCs/>
          <w:sz w:val="17"/>
          <w:szCs w:val="17"/>
        </w:rPr>
        <w:t xml:space="preserve">Commit and pull-request links must be inserted before submission. The supplied repository contains no commits.</w:t>
      </w:r>
    </w:p>
    <w:p>
      <w:pPr>
        <w:pStyle w:val="Heading1"/>
        <w:spacing w:after="90" w:before="210"/>
      </w:pPr>
      <w:r>
        <w:rPr>
          <w:b/>
          <w:bCs/>
          <w:color w:val="1F3864"/>
          <w:sz w:val="26"/>
          <w:szCs w:val="26"/>
        </w:rPr>
        <w:t xml:space="preserve">8. Professional reflection</w:t>
      </w:r>
    </w:p>
    <w:p>
      <w:pPr>
        <w:spacing w:after="50" w:before="50"/>
      </w:pPr>
      <w:r>
        <w:rPr>
          <w:sz w:val="19"/>
          <w:szCs w:val="19"/>
        </w:rPr>
        <w:t xml:space="preserve">[INSERT 120–150 WORD REFLECTION. Suggested focus: splitting the system into a web service and a worker was the decision that made deployment possible at all, and it came from asking what should happen when a forecast is slow rather than from a diagram. The harder thing to write up is correction handling: the blocker I named in WP3 is gone, the pipeline now runs continuously, and I still did not build it. Recording that honestly, with the reason it now sits sixth rather than blocked, is more use to the group than letting it disappear between two work packages.]</w:t>
      </w:r>
    </w:p>
    <w:sectPr>
      <w:pgSz w:w="11906" w:h="16838"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WP4 Individual Contribution — Sudip Lamichhane</dc:title>
  <dc:creator>Dan6 / Group 2 — PRT661</dc:creator>
  <cp:lastModifiedBy>Un-named</cp:lastModifiedBy>
  <cp:revision>1</cp:revision>
  <dcterms:created xsi:type="dcterms:W3CDTF">2026-10-11T14:14:11.910Z</dcterms:created>
  <dcterms:modified xsi:type="dcterms:W3CDTF">2026-10-11T14:14:11.910Z</dcterms:modified>
</cp:coreProperties>
</file>

<file path=docProps/custom.xml><?xml version="1.0" encoding="utf-8"?>
<Properties xmlns="http://schemas.openxmlformats.org/officeDocument/2006/custom-properties" xmlns:vt="http://schemas.openxmlformats.org/officeDocument/2006/docPropsVTypes"/>
</file>