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Bishal Dahal — WP3 Individual Contribution &amp; Progress Report</w:t>
      </w:r>
    </w:p>
    <w:p>
      <w:pPr>
        <w:jc w:val="left"/>
      </w:pPr>
      <w:r>
        <w:rPr>
          <w:i/>
          <w:color w:val="2F75B5"/>
          <w:sz w:val="22"/>
        </w:rPr>
        <w:t>PRT661 – Data Science Practice | Dan6 Theme 2 | Modelling, Forecasting and Verification</w:t>
      </w:r>
    </w:p>
    <w:tbl>
      <w:tblPr>
        <w:tblStyle w:val="TableGrid"/>
        <w:tblW w:type="auto" w:w="0"/>
        <w:jc w:val="center"/>
        <w:tblLayout w:type="fixed"/>
        <w:tblLook w:firstColumn="1" w:firstRow="1" w:lastColumn="0" w:lastRow="0" w:noHBand="0" w:noVBand="1" w:val="04A0"/>
      </w:tblPr>
      <w:tblGrid>
        <w:gridCol w:w="2531"/>
        <w:gridCol w:w="2531"/>
        <w:gridCol w:w="2531"/>
        <w:gridCol w:w="2531"/>
      </w:tblGrid>
      <w:tr>
        <w:trPr>
          <w:tblHeader w:val="true"/>
        </w:trPr>
        <w:tc>
          <w:tcPr>
            <w:tcW w:type="dxa" w:w="2160"/>
            <w:shd w:fill="17365D"/>
            <w:tcMar>
              <w:top w:w="80" w:type="dxa"/>
              <w:start w:w="80" w:type="dxa"/>
              <w:bottom w:w="80" w:type="dxa"/>
              <w:end w:w="80" w:type="dxa"/>
            </w:tcMar>
            <w:vAlign w:val="center"/>
          </w:tcPr>
          <w:p>
            <w:r>
              <w:rPr>
                <w:b/>
                <w:color w:val="FFFFFF"/>
                <w:sz w:val="17"/>
              </w:rPr>
              <w:t>Student</w:t>
            </w:r>
          </w:p>
        </w:tc>
        <w:tc>
          <w:tcPr>
            <w:tcW w:type="dxa" w:w="1440"/>
            <w:shd w:fill="17365D"/>
            <w:tcMar>
              <w:top w:w="80" w:type="dxa"/>
              <w:start w:w="80" w:type="dxa"/>
              <w:bottom w:w="80" w:type="dxa"/>
              <w:end w:w="80" w:type="dxa"/>
            </w:tcMar>
            <w:vAlign w:val="center"/>
          </w:tcPr>
          <w:p>
            <w:r>
              <w:rPr>
                <w:b/>
                <w:color w:val="FFFFFF"/>
                <w:sz w:val="17"/>
              </w:rPr>
              <w:t>ID</w:t>
            </w:r>
          </w:p>
        </w:tc>
        <w:tc>
          <w:tcPr>
            <w:tcW w:type="dxa" w:w="3312"/>
            <w:shd w:fill="17365D"/>
            <w:tcMar>
              <w:top w:w="80" w:type="dxa"/>
              <w:start w:w="80" w:type="dxa"/>
              <w:bottom w:w="80" w:type="dxa"/>
              <w:end w:w="80" w:type="dxa"/>
            </w:tcMar>
            <w:vAlign w:val="center"/>
          </w:tcPr>
          <w:p>
            <w:r>
              <w:rPr>
                <w:b/>
                <w:color w:val="FFFFFF"/>
                <w:sz w:val="17"/>
              </w:rPr>
              <w:t>WP3 role</w:t>
            </w:r>
          </w:p>
        </w:tc>
        <w:tc>
          <w:tcPr>
            <w:tcW w:type="dxa" w:w="3456"/>
            <w:shd w:fill="17365D"/>
            <w:tcMar>
              <w:top w:w="80" w:type="dxa"/>
              <w:start w:w="80" w:type="dxa"/>
              <w:bottom w:w="80" w:type="dxa"/>
              <w:end w:w="80" w:type="dxa"/>
            </w:tcMar>
            <w:vAlign w:val="center"/>
          </w:tcPr>
          <w:p>
            <w:r>
              <w:rPr>
                <w:b/>
                <w:color w:val="FFFFFF"/>
                <w:sz w:val="17"/>
              </w:rPr>
              <w:t>Workstream</w:t>
            </w:r>
          </w:p>
        </w:tc>
      </w:tr>
      <w:tr>
        <w:tc>
          <w:tcPr>
            <w:tcW w:type="dxa" w:w="2160"/>
            <w:tcMar>
              <w:top w:w="80" w:type="dxa"/>
              <w:start w:w="80" w:type="dxa"/>
              <w:bottom w:w="80" w:type="dxa"/>
              <w:end w:w="80" w:type="dxa"/>
            </w:tcMar>
            <w:vAlign w:val="center"/>
          </w:tcPr>
          <w:p>
            <w:pPr>
              <w:spacing w:after="0"/>
            </w:pPr>
            <w:r>
              <w:rPr>
                <w:sz w:val="17"/>
              </w:rPr>
              <w:t>Bishal Dahal</w:t>
            </w:r>
          </w:p>
        </w:tc>
        <w:tc>
          <w:tcPr>
            <w:tcW w:type="dxa" w:w="1440"/>
            <w:tcMar>
              <w:top w:w="80" w:type="dxa"/>
              <w:start w:w="80" w:type="dxa"/>
              <w:bottom w:w="80" w:type="dxa"/>
              <w:end w:w="80" w:type="dxa"/>
            </w:tcMar>
            <w:vAlign w:val="center"/>
          </w:tcPr>
          <w:p>
            <w:pPr>
              <w:spacing w:after="0"/>
            </w:pPr>
            <w:r>
              <w:rPr>
                <w:sz w:val="17"/>
              </w:rPr>
              <w:t>S388095</w:t>
            </w:r>
          </w:p>
        </w:tc>
        <w:tc>
          <w:tcPr>
            <w:tcW w:type="dxa" w:w="3312"/>
            <w:tcMar>
              <w:top w:w="80" w:type="dxa"/>
              <w:start w:w="80" w:type="dxa"/>
              <w:bottom w:w="80" w:type="dxa"/>
              <w:end w:w="80" w:type="dxa"/>
            </w:tcMar>
            <w:vAlign w:val="center"/>
          </w:tcPr>
          <w:p>
            <w:pPr>
              <w:spacing w:after="0"/>
            </w:pPr>
            <w:r>
              <w:rPr>
                <w:sz w:val="17"/>
              </w:rPr>
              <w:t>Verification &amp; Dashboard Lead</w:t>
            </w:r>
          </w:p>
        </w:tc>
        <w:tc>
          <w:tcPr>
            <w:tcW w:type="dxa" w:w="3456"/>
            <w:tcMar>
              <w:top w:w="80" w:type="dxa"/>
              <w:start w:w="80" w:type="dxa"/>
              <w:bottom w:w="80" w:type="dxa"/>
              <w:end w:w="80" w:type="dxa"/>
            </w:tcMar>
            <w:vAlign w:val="center"/>
          </w:tcPr>
          <w:p>
            <w:pPr>
              <w:spacing w:after="0"/>
            </w:pPr>
            <w:r>
              <w:rPr>
                <w:sz w:val="17"/>
              </w:rPr>
              <w:t>Feature safety · seasonal-naive baselines · metrics · skill against naive · actual verification</w:t>
            </w:r>
          </w:p>
        </w:tc>
      </w:tr>
    </w:tbl>
    <w:p>
      <w:pPr>
        <w:spacing w:after="20"/>
      </w:pPr>
    </w:p>
    <w:tbl>
      <w:tblPr>
        <w:tblW w:type="auto" w:w="0"/>
        <w:jc w:val="center"/>
        <w:tblLayout w:type="autofit"/>
        <w:tblLook w:firstColumn="1" w:firstRow="1" w:lastColumn="0" w:lastRow="0" w:noHBand="0" w:noVBand="1" w:val="04A0"/>
      </w:tblPr>
      <w:tblGrid>
        <w:gridCol w:w="10123"/>
      </w:tblGrid>
      <w:tr>
        <w:tc>
          <w:tcPr>
            <w:tcW w:type="dxa" w:w="10123"/>
            <w:shd w:fill="EDF4FB"/>
            <w:tcMar>
              <w:top w:w="120" w:type="dxa"/>
              <w:start w:w="140" w:type="dxa"/>
              <w:bottom w:w="120" w:type="dxa"/>
              <w:end w:w="140" w:type="dxa"/>
            </w:tcMar>
          </w:tcPr>
          <w:p>
            <w:pPr>
              <w:spacing w:after="0"/>
            </w:pPr>
            <w:r>
              <w:rPr>
                <w:b/>
                <w:color w:val="17365D"/>
              </w:rPr>
              <w:t xml:space="preserve">Evidence note  </w:t>
            </w:r>
            <w:r>
              <w:t>This document is aligned to the verified 14 September Stage 3 run. Contribution descriptions preserve the role boundaries in the existing WP3 documents and describe shared integration as team work rather than assigning the final pipeline to one person.</w:t>
            </w:r>
          </w:p>
        </w:tc>
      </w:tr>
    </w:tbl>
    <w:p>
      <w:pPr>
        <w:spacing w:after="20"/>
      </w:pPr>
    </w:p>
    <w:p>
      <w:pPr>
        <w:pStyle w:val="Heading1"/>
      </w:pPr>
      <w:r>
        <w:t>1. Allocated WP3 responsibility</w:t>
      </w:r>
    </w:p>
    <w:p>
      <w:pPr>
        <w:spacing w:after="100"/>
      </w:pPr>
      <w:r>
        <w:t>Bishal’s workstream provides the independent measurement layer around the modelling pipeline. Before fitting begins, the feature-safety gate checks that benchmark/context fields cannot enter a model. During model comparison, Bishal’s seasonal-naive baselines establish the minimum performance a complex model must beat. After each historical or 2026 forecast, the same metric definitions are used for MAE, RMSE, sMAPE, Bias and skill against naive. Finally, current September actuals are matched to the frozen forecast for independent verification.</w:t>
      </w:r>
    </w:p>
    <w:p>
      <w:pPr>
        <w:jc w:val="center"/>
      </w:pPr>
      <w:r>
        <w:drawing>
          <wp:inline xmlns:a="http://schemas.openxmlformats.org/drawingml/2006/main" xmlns:pic="http://schemas.openxmlformats.org/drawingml/2006/picture">
            <wp:extent cx="3794760" cy="6551227"/>
            <wp:docPr id="1" name="Picture 1"/>
            <wp:cNvGraphicFramePr>
              <a:graphicFrameLocks noChangeAspect="1"/>
            </wp:cNvGraphicFramePr>
            <a:graphic>
              <a:graphicData uri="http://schemas.openxmlformats.org/drawingml/2006/picture">
                <pic:pic>
                  <pic:nvPicPr>
                    <pic:cNvPr id="0" name="02_stage3_modelling_architecture.png"/>
                    <pic:cNvPicPr/>
                  </pic:nvPicPr>
                  <pic:blipFill>
                    <a:blip r:embed="rId11"/>
                    <a:stretch>
                      <a:fillRect/>
                    </a:stretch>
                  </pic:blipFill>
                  <pic:spPr>
                    <a:xfrm>
                      <a:off x="0" y="0"/>
                      <a:ext cx="3794760" cy="6551227"/>
                    </a:xfrm>
                    <a:prstGeom prst="rect"/>
                  </pic:spPr>
                </pic:pic>
              </a:graphicData>
            </a:graphic>
          </wp:inline>
        </w:drawing>
      </w:r>
    </w:p>
    <w:p>
      <w:pPr>
        <w:pStyle w:val="Caption"/>
        <w:jc w:val="center"/>
      </w:pPr>
      <w:r>
        <w:t>Figure 1. Bishal-owned blocks in the final WP3 architecture: feature-safety gate, seasonal baselines, metrics, skill-against-naive and actual verification.</w:t>
      </w:r>
    </w:p>
    <w:p>
      <w:r>
        <w:br w:type="page"/>
      </w:r>
    </w:p>
    <w:p>
      <w:pPr>
        <w:pStyle w:val="Heading1"/>
      </w:pPr>
      <w:r>
        <w:t>2. Feature-safety gate</w:t>
      </w:r>
    </w:p>
    <w:p>
      <w:pPr>
        <w:spacing w:after="100"/>
      </w:pPr>
      <w:r>
        <w:t>The feature gate exists because a forecasting model can produce an impressive score while using information it would never possess in real operation. The final audit checks Feature Set A and B, direct weather placement, weather provenance, the Stage 2 horizon report and the strict previous-month cutoff before any candidate is accepted.</w:t>
      </w:r>
    </w:p>
    <w:tbl>
      <w:tblPr>
        <w:tblStyle w:val="TableGrid"/>
        <w:tblW w:type="auto" w:w="0"/>
        <w:jc w:val="center"/>
        <w:tblLayout w:type="fixed"/>
        <w:tblLook w:firstColumn="1" w:firstRow="1" w:lastColumn="0" w:lastRow="0" w:noHBand="0" w:noVBand="1" w:val="04A0"/>
      </w:tblPr>
      <w:tblGrid>
        <w:gridCol w:w="5061"/>
        <w:gridCol w:w="5061"/>
      </w:tblGrid>
      <w:tr>
        <w:trPr>
          <w:tblHeader w:val="true"/>
        </w:trPr>
        <w:tc>
          <w:tcPr>
            <w:tcW w:type="dxa" w:w="4032"/>
            <w:shd w:fill="17365D"/>
            <w:tcMar>
              <w:top w:w="80" w:type="dxa"/>
              <w:start w:w="80" w:type="dxa"/>
              <w:bottom w:w="80" w:type="dxa"/>
              <w:end w:w="80" w:type="dxa"/>
            </w:tcMar>
            <w:vAlign w:val="center"/>
          </w:tcPr>
          <w:p>
            <w:r>
              <w:rPr>
                <w:b/>
                <w:color w:val="FFFFFF"/>
                <w:sz w:val="16"/>
              </w:rPr>
              <w:t>Check group</w:t>
            </w:r>
          </w:p>
        </w:tc>
        <w:tc>
          <w:tcPr>
            <w:tcW w:type="dxa" w:w="6048"/>
            <w:shd w:fill="17365D"/>
            <w:tcMar>
              <w:top w:w="80" w:type="dxa"/>
              <w:start w:w="80" w:type="dxa"/>
              <w:bottom w:w="80" w:type="dxa"/>
              <w:end w:w="80" w:type="dxa"/>
            </w:tcMar>
            <w:vAlign w:val="center"/>
          </w:tcPr>
          <w:p>
            <w:r>
              <w:rPr>
                <w:b/>
                <w:color w:val="FFFFFF"/>
                <w:sz w:val="16"/>
              </w:rPr>
              <w:t>Verified outcome</w:t>
            </w:r>
          </w:p>
        </w:tc>
      </w:tr>
      <w:tr>
        <w:tc>
          <w:tcPr>
            <w:tcW w:type="dxa" w:w="4032"/>
            <w:tcMar>
              <w:top w:w="80" w:type="dxa"/>
              <w:start w:w="80" w:type="dxa"/>
              <w:bottom w:w="80" w:type="dxa"/>
              <w:end w:w="80" w:type="dxa"/>
            </w:tcMar>
            <w:vAlign w:val="center"/>
          </w:tcPr>
          <w:p>
            <w:pPr>
              <w:spacing w:after="0"/>
            </w:pPr>
            <w:r>
              <w:rPr>
                <w:sz w:val="16"/>
              </w:rPr>
              <w:t>Feature Set A</w:t>
            </w:r>
          </w:p>
        </w:tc>
        <w:tc>
          <w:tcPr>
            <w:tcW w:type="dxa" w:w="6048"/>
            <w:tcMar>
              <w:top w:w="80" w:type="dxa"/>
              <w:start w:w="80" w:type="dxa"/>
              <w:bottom w:w="80" w:type="dxa"/>
              <w:end w:w="80" w:type="dxa"/>
            </w:tcMar>
            <w:vAlign w:val="center"/>
          </w:tcPr>
          <w:p>
            <w:pPr>
              <w:spacing w:after="0"/>
            </w:pPr>
            <w:r>
              <w:rPr>
                <w:sz w:val="16"/>
              </w:rPr>
              <w:t>39 features; no unsafe columns.</w:t>
            </w:r>
          </w:p>
        </w:tc>
      </w:tr>
      <w:tr>
        <w:tc>
          <w:tcPr>
            <w:tcW w:type="dxa" w:w="4032"/>
            <w:tcMar>
              <w:top w:w="80" w:type="dxa"/>
              <w:start w:w="80" w:type="dxa"/>
              <w:bottom w:w="80" w:type="dxa"/>
              <w:end w:w="80" w:type="dxa"/>
            </w:tcMar>
            <w:vAlign w:val="center"/>
            <w:shd w:fill="F7F9FB"/>
          </w:tcPr>
          <w:p>
            <w:pPr>
              <w:spacing w:after="0"/>
            </w:pPr>
            <w:r>
              <w:rPr>
                <w:sz w:val="16"/>
              </w:rPr>
              <w:t>Feature Set B</w:t>
            </w:r>
          </w:p>
        </w:tc>
        <w:tc>
          <w:tcPr>
            <w:tcW w:type="dxa" w:w="6048"/>
            <w:tcMar>
              <w:top w:w="80" w:type="dxa"/>
              <w:start w:w="80" w:type="dxa"/>
              <w:bottom w:w="80" w:type="dxa"/>
              <w:end w:w="80" w:type="dxa"/>
            </w:tcMar>
            <w:vAlign w:val="center"/>
            <w:shd w:fill="F7F9FB"/>
          </w:tcPr>
          <w:p>
            <w:pPr>
              <w:spacing w:after="0"/>
            </w:pPr>
            <w:r>
              <w:rPr>
                <w:sz w:val="16"/>
              </w:rPr>
              <w:t>54 features; no unsafe columns.</w:t>
            </w:r>
          </w:p>
        </w:tc>
      </w:tr>
      <w:tr>
        <w:tc>
          <w:tcPr>
            <w:tcW w:type="dxa" w:w="4032"/>
            <w:tcMar>
              <w:top w:w="80" w:type="dxa"/>
              <w:start w:w="80" w:type="dxa"/>
              <w:bottom w:w="80" w:type="dxa"/>
              <w:end w:w="80" w:type="dxa"/>
            </w:tcMar>
            <w:vAlign w:val="center"/>
          </w:tcPr>
          <w:p>
            <w:pPr>
              <w:spacing w:after="0"/>
            </w:pPr>
            <w:r>
              <w:rPr>
                <w:sz w:val="16"/>
              </w:rPr>
              <w:t>Direct weather in Model A</w:t>
            </w:r>
          </w:p>
        </w:tc>
        <w:tc>
          <w:tcPr>
            <w:tcW w:type="dxa" w:w="6048"/>
            <w:tcMar>
              <w:top w:w="80" w:type="dxa"/>
              <w:start w:w="80" w:type="dxa"/>
              <w:bottom w:w="80" w:type="dxa"/>
              <w:end w:w="80" w:type="dxa"/>
            </w:tcMar>
            <w:vAlign w:val="center"/>
          </w:tcPr>
          <w:p>
            <w:pPr>
              <w:spacing w:after="0"/>
            </w:pPr>
            <w:r>
              <w:rPr>
                <w:sz w:val="16"/>
              </w:rPr>
              <w:t>None.</w:t>
            </w:r>
          </w:p>
        </w:tc>
      </w:tr>
      <w:tr>
        <w:tc>
          <w:tcPr>
            <w:tcW w:type="dxa" w:w="4032"/>
            <w:tcMar>
              <w:top w:w="80" w:type="dxa"/>
              <w:start w:w="80" w:type="dxa"/>
              <w:bottom w:w="80" w:type="dxa"/>
              <w:end w:w="80" w:type="dxa"/>
            </w:tcMar>
            <w:vAlign w:val="center"/>
            <w:shd w:fill="F7F9FB"/>
          </w:tcPr>
          <w:p>
            <w:pPr>
              <w:spacing w:after="0"/>
            </w:pPr>
            <w:r>
              <w:rPr>
                <w:sz w:val="16"/>
              </w:rPr>
              <w:t>Model B weather provenance</w:t>
            </w:r>
          </w:p>
        </w:tc>
        <w:tc>
          <w:tcPr>
            <w:tcW w:type="dxa" w:w="6048"/>
            <w:tcMar>
              <w:top w:w="80" w:type="dxa"/>
              <w:start w:w="80" w:type="dxa"/>
              <w:bottom w:w="80" w:type="dxa"/>
              <w:end w:w="80" w:type="dxa"/>
            </w:tcMar>
            <w:vAlign w:val="center"/>
            <w:shd w:fill="F7F9FB"/>
          </w:tcPr>
          <w:p>
            <w:pPr>
              <w:spacing w:after="0"/>
            </w:pPr>
            <w:r>
              <w:rPr>
                <w:sz w:val="16"/>
              </w:rPr>
              <w:t>Six direct weather fields covered by provenance.</w:t>
            </w:r>
          </w:p>
        </w:tc>
      </w:tr>
      <w:tr>
        <w:tc>
          <w:tcPr>
            <w:tcW w:type="dxa" w:w="4032"/>
            <w:tcMar>
              <w:top w:w="80" w:type="dxa"/>
              <w:start w:w="80" w:type="dxa"/>
              <w:bottom w:w="80" w:type="dxa"/>
              <w:end w:w="80" w:type="dxa"/>
            </w:tcMar>
            <w:vAlign w:val="center"/>
          </w:tcPr>
          <w:p>
            <w:pPr>
              <w:spacing w:after="0"/>
            </w:pPr>
            <w:r>
              <w:rPr>
                <w:sz w:val="16"/>
              </w:rPr>
              <w:t>Stage 2 forecast-weather validation</w:t>
            </w:r>
          </w:p>
        </w:tc>
        <w:tc>
          <w:tcPr>
            <w:tcW w:type="dxa" w:w="6048"/>
            <w:tcMar>
              <w:top w:w="80" w:type="dxa"/>
              <w:start w:w="80" w:type="dxa"/>
              <w:bottom w:w="80" w:type="dxa"/>
              <w:end w:w="80" w:type="dxa"/>
            </w:tcMar>
            <w:vAlign w:val="center"/>
          </w:tcPr>
          <w:p>
            <w:pPr>
              <w:spacing w:after="0"/>
            </w:pPr>
            <w:r>
              <w:rPr>
                <w:sz w:val="16"/>
              </w:rPr>
              <w:t>No FAIL rows.</w:t>
            </w:r>
          </w:p>
        </w:tc>
      </w:tr>
      <w:tr>
        <w:tc>
          <w:tcPr>
            <w:tcW w:type="dxa" w:w="4032"/>
            <w:tcMar>
              <w:top w:w="80" w:type="dxa"/>
              <w:start w:w="80" w:type="dxa"/>
              <w:bottom w:w="80" w:type="dxa"/>
              <w:end w:w="80" w:type="dxa"/>
            </w:tcMar>
            <w:vAlign w:val="center"/>
            <w:shd w:fill="F7F9FB"/>
          </w:tcPr>
          <w:p>
            <w:pPr>
              <w:spacing w:after="0"/>
            </w:pPr>
            <w:r>
              <w:rPr>
                <w:sz w:val="16"/>
              </w:rPr>
              <w:t>Previous-month cutoff</w:t>
            </w:r>
          </w:p>
        </w:tc>
        <w:tc>
          <w:tcPr>
            <w:tcW w:type="dxa" w:w="6048"/>
            <w:tcMar>
              <w:top w:w="80" w:type="dxa"/>
              <w:start w:w="80" w:type="dxa"/>
              <w:bottom w:w="80" w:type="dxa"/>
              <w:end w:w="80" w:type="dxa"/>
            </w:tcMar>
            <w:vAlign w:val="center"/>
            <w:shd w:fill="F7F9FB"/>
          </w:tcPr>
          <w:p>
            <w:pPr>
              <w:spacing w:after="0"/>
            </w:pPr>
            <w:r>
              <w:rPr>
                <w:sz w:val="16"/>
              </w:rPr>
              <w:t>Declared 31 Aug 2026 23:30; prediction starts 1 Sep 2026.</w:t>
            </w:r>
          </w:p>
        </w:tc>
      </w:tr>
    </w:tbl>
    <w:p>
      <w:pPr>
        <w:spacing w:after="20"/>
      </w:pPr>
    </w:p>
    <w:tbl>
      <w:tblPr>
        <w:tblW w:type="auto" w:w="0"/>
        <w:jc w:val="center"/>
        <w:tblLayout w:type="autofit"/>
        <w:tblLook w:firstColumn="1" w:firstRow="1" w:lastColumn="0" w:lastRow="0" w:noHBand="0" w:noVBand="1" w:val="04A0"/>
      </w:tblPr>
      <w:tblGrid>
        <w:gridCol w:w="10123"/>
      </w:tblGrid>
      <w:tr>
        <w:tc>
          <w:tcPr>
            <w:tcW w:type="dxa" w:w="10123"/>
            <w:shd w:fill="FDE9E7"/>
            <w:tcMar>
              <w:top w:w="120" w:type="dxa"/>
              <w:start w:w="140" w:type="dxa"/>
              <w:bottom w:w="120" w:type="dxa"/>
              <w:end w:w="140" w:type="dxa"/>
            </w:tcMar>
          </w:tcPr>
          <w:p>
            <w:pPr>
              <w:spacing w:after="0"/>
            </w:pPr>
            <w:r>
              <w:rPr>
                <w:b/>
                <w:color w:val="C0504D"/>
              </w:rPr>
              <w:t xml:space="preserve">Why this is independent verification  </w:t>
            </w:r>
            <w:r>
              <w:t>A model-family owner does not get to decide that their own inputs are safe. The safety gate runs before the candidate comparison and can stop the pipeline rather than merely writing a warning.</w:t>
            </w:r>
          </w:p>
        </w:tc>
      </w:tr>
    </w:tbl>
    <w:p>
      <w:pPr>
        <w:spacing w:after="20"/>
      </w:pPr>
    </w:p>
    <w:p>
      <w:pPr>
        <w:pStyle w:val="Heading1"/>
      </w:pPr>
      <w:r>
        <w:t>3. Seasonal-naive baselines</w:t>
      </w:r>
    </w:p>
    <w:p>
      <w:pPr>
        <w:spacing w:after="100"/>
      </w:pPr>
      <w:r>
        <w:t>Naive48 repeats the same half-hour from the previous day; Naive336 repeats the same half-hour from the previous week. Both are recursive over the four-month horizon, so once their lag points beyond the origin they consume their own earlier predictions instead of later actual demand. These baselines answer a simple but essential question: does the ML/statistical complexity perform better than assuming demand repeats its recent seasonal pattern?</w:t>
      </w:r>
    </w:p>
    <w:tbl>
      <w:tblPr>
        <w:tblStyle w:val="TableGrid"/>
        <w:tblW w:type="auto" w:w="0"/>
        <w:jc w:val="center"/>
        <w:tblLayout w:type="fixed"/>
        <w:tblLook w:firstColumn="1" w:firstRow="1" w:lastColumn="0" w:lastRow="0" w:noHBand="0" w:noVBand="1" w:val="04A0"/>
      </w:tblPr>
      <w:tblGrid>
        <w:gridCol w:w="3374"/>
        <w:gridCol w:w="3374"/>
        <w:gridCol w:w="3374"/>
      </w:tblGrid>
      <w:tr>
        <w:trPr>
          <w:tblHeader w:val="true"/>
        </w:trPr>
        <w:tc>
          <w:tcPr>
            <w:tcW w:type="dxa" w:w="1728"/>
            <w:shd w:fill="17365D"/>
            <w:tcMar>
              <w:top w:w="80" w:type="dxa"/>
              <w:start w:w="80" w:type="dxa"/>
              <w:bottom w:w="80" w:type="dxa"/>
              <w:end w:w="80" w:type="dxa"/>
            </w:tcMar>
            <w:vAlign w:val="center"/>
          </w:tcPr>
          <w:p>
            <w:r>
              <w:rPr>
                <w:b/>
                <w:color w:val="FFFFFF"/>
                <w:sz w:val="16"/>
              </w:rPr>
              <w:t>Baseline</w:t>
            </w:r>
          </w:p>
        </w:tc>
        <w:tc>
          <w:tcPr>
            <w:tcW w:type="dxa" w:w="3744"/>
            <w:shd w:fill="17365D"/>
            <w:tcMar>
              <w:top w:w="80" w:type="dxa"/>
              <w:start w:w="80" w:type="dxa"/>
              <w:bottom w:w="80" w:type="dxa"/>
              <w:end w:w="80" w:type="dxa"/>
            </w:tcMar>
            <w:vAlign w:val="center"/>
          </w:tcPr>
          <w:p>
            <w:r>
              <w:rPr>
                <w:b/>
                <w:color w:val="FFFFFF"/>
                <w:sz w:val="16"/>
              </w:rPr>
              <w:t>Meaning</w:t>
            </w:r>
          </w:p>
        </w:tc>
        <w:tc>
          <w:tcPr>
            <w:tcW w:type="dxa" w:w="4896"/>
            <w:shd w:fill="17365D"/>
            <w:tcMar>
              <w:top w:w="80" w:type="dxa"/>
              <w:start w:w="80" w:type="dxa"/>
              <w:bottom w:w="80" w:type="dxa"/>
              <w:end w:w="80" w:type="dxa"/>
            </w:tcMar>
            <w:vAlign w:val="center"/>
          </w:tcPr>
          <w:p>
            <w:r>
              <w:rPr>
                <w:b/>
                <w:color w:val="FFFFFF"/>
                <w:sz w:val="16"/>
              </w:rPr>
              <w:t>Use in WP3</w:t>
            </w:r>
          </w:p>
        </w:tc>
      </w:tr>
      <w:tr>
        <w:tc>
          <w:tcPr>
            <w:tcW w:type="dxa" w:w="1728"/>
            <w:tcMar>
              <w:top w:w="80" w:type="dxa"/>
              <w:start w:w="80" w:type="dxa"/>
              <w:bottom w:w="80" w:type="dxa"/>
              <w:end w:w="80" w:type="dxa"/>
            </w:tcMar>
            <w:vAlign w:val="center"/>
          </w:tcPr>
          <w:p>
            <w:pPr>
              <w:spacing w:after="0"/>
            </w:pPr>
            <w:r>
              <w:rPr>
                <w:sz w:val="16"/>
              </w:rPr>
              <w:t>Naive48</w:t>
            </w:r>
          </w:p>
        </w:tc>
        <w:tc>
          <w:tcPr>
            <w:tcW w:type="dxa" w:w="3744"/>
            <w:tcMar>
              <w:top w:w="80" w:type="dxa"/>
              <w:start w:w="80" w:type="dxa"/>
              <w:bottom w:w="80" w:type="dxa"/>
              <w:end w:w="80" w:type="dxa"/>
            </w:tcMar>
            <w:vAlign w:val="center"/>
          </w:tcPr>
          <w:p>
            <w:pPr>
              <w:spacing w:after="0"/>
            </w:pPr>
            <w:r>
              <w:rPr>
                <w:sz w:val="16"/>
              </w:rPr>
              <w:t>Yesterday, same half-hour</w:t>
            </w:r>
          </w:p>
        </w:tc>
        <w:tc>
          <w:tcPr>
            <w:tcW w:type="dxa" w:w="4896"/>
            <w:tcMar>
              <w:top w:w="80" w:type="dxa"/>
              <w:start w:w="80" w:type="dxa"/>
              <w:bottom w:w="80" w:type="dxa"/>
              <w:end w:w="80" w:type="dxa"/>
            </w:tcMar>
            <w:vAlign w:val="center"/>
          </w:tcPr>
          <w:p>
            <w:pPr>
              <w:spacing w:after="0"/>
            </w:pPr>
            <w:r>
              <w:rPr>
                <w:sz w:val="16"/>
              </w:rPr>
              <w:t>Strong daily-pattern benchmark.</w:t>
            </w:r>
          </w:p>
        </w:tc>
      </w:tr>
      <w:tr>
        <w:tc>
          <w:tcPr>
            <w:tcW w:type="dxa" w:w="1728"/>
            <w:tcMar>
              <w:top w:w="80" w:type="dxa"/>
              <w:start w:w="80" w:type="dxa"/>
              <w:bottom w:w="80" w:type="dxa"/>
              <w:end w:w="80" w:type="dxa"/>
            </w:tcMar>
            <w:vAlign w:val="center"/>
            <w:shd w:fill="F7F9FB"/>
          </w:tcPr>
          <w:p>
            <w:pPr>
              <w:spacing w:after="0"/>
            </w:pPr>
            <w:r>
              <w:rPr>
                <w:sz w:val="16"/>
              </w:rPr>
              <w:t>Naive336</w:t>
            </w:r>
          </w:p>
        </w:tc>
        <w:tc>
          <w:tcPr>
            <w:tcW w:type="dxa" w:w="3744"/>
            <w:tcMar>
              <w:top w:w="80" w:type="dxa"/>
              <w:start w:w="80" w:type="dxa"/>
              <w:bottom w:w="80" w:type="dxa"/>
              <w:end w:w="80" w:type="dxa"/>
            </w:tcMar>
            <w:vAlign w:val="center"/>
            <w:shd w:fill="F7F9FB"/>
          </w:tcPr>
          <w:p>
            <w:pPr>
              <w:spacing w:after="0"/>
            </w:pPr>
            <w:r>
              <w:rPr>
                <w:sz w:val="16"/>
              </w:rPr>
              <w:t>Previous week, same half-hour</w:t>
            </w:r>
          </w:p>
        </w:tc>
        <w:tc>
          <w:tcPr>
            <w:tcW w:type="dxa" w:w="4896"/>
            <w:tcMar>
              <w:top w:w="80" w:type="dxa"/>
              <w:start w:w="80" w:type="dxa"/>
              <w:bottom w:w="80" w:type="dxa"/>
              <w:end w:w="80" w:type="dxa"/>
            </w:tcMar>
            <w:vAlign w:val="center"/>
            <w:shd w:fill="F7F9FB"/>
          </w:tcPr>
          <w:p>
            <w:pPr>
              <w:spacing w:after="0"/>
            </w:pPr>
            <w:r>
              <w:rPr>
                <w:sz w:val="16"/>
              </w:rPr>
              <w:t>Strong weekly-pattern benchmark and primary skill reference when it is the lower-MAE naive.</w:t>
            </w:r>
          </w:p>
        </w:tc>
      </w:tr>
    </w:tbl>
    <w:p>
      <w:pPr>
        <w:spacing w:after="20"/>
      </w:pPr>
    </w:p>
    <w:p>
      <w:pPr>
        <w:pStyle w:val="Heading1"/>
      </w:pPr>
      <w:r>
        <w:t>4. Metrics and skill interpretation</w:t>
      </w:r>
    </w:p>
    <w:tbl>
      <w:tblPr>
        <w:tblStyle w:val="TableGrid"/>
        <w:tblW w:type="auto" w:w="0"/>
        <w:jc w:val="center"/>
        <w:tblLayout w:type="fixed"/>
        <w:tblLook w:firstColumn="1" w:firstRow="1" w:lastColumn="0" w:lastRow="0" w:noHBand="0" w:noVBand="1" w:val="04A0"/>
      </w:tblPr>
      <w:tblGrid>
        <w:gridCol w:w="3374"/>
        <w:gridCol w:w="3374"/>
        <w:gridCol w:w="3374"/>
      </w:tblGrid>
      <w:tr>
        <w:trPr>
          <w:tblHeader w:val="true"/>
        </w:trPr>
        <w:tc>
          <w:tcPr>
            <w:tcW w:type="dxa" w:w="1800"/>
            <w:shd w:fill="17365D"/>
            <w:tcMar>
              <w:top w:w="80" w:type="dxa"/>
              <w:start w:w="80" w:type="dxa"/>
              <w:bottom w:w="80" w:type="dxa"/>
              <w:end w:w="80" w:type="dxa"/>
            </w:tcMar>
            <w:vAlign w:val="center"/>
          </w:tcPr>
          <w:p>
            <w:r>
              <w:rPr>
                <w:b/>
                <w:color w:val="FFFFFF"/>
                <w:sz w:val="16"/>
              </w:rPr>
              <w:t>Metric</w:t>
            </w:r>
          </w:p>
        </w:tc>
        <w:tc>
          <w:tcPr>
            <w:tcW w:type="dxa" w:w="3744"/>
            <w:shd w:fill="17365D"/>
            <w:tcMar>
              <w:top w:w="80" w:type="dxa"/>
              <w:start w:w="80" w:type="dxa"/>
              <w:bottom w:w="80" w:type="dxa"/>
              <w:end w:w="80" w:type="dxa"/>
            </w:tcMar>
            <w:vAlign w:val="center"/>
          </w:tcPr>
          <w:p>
            <w:r>
              <w:rPr>
                <w:b/>
                <w:color w:val="FFFFFF"/>
                <w:sz w:val="16"/>
              </w:rPr>
              <w:t>Non-technical meaning</w:t>
            </w:r>
          </w:p>
        </w:tc>
        <w:tc>
          <w:tcPr>
            <w:tcW w:type="dxa" w:w="4824"/>
            <w:shd w:fill="17365D"/>
            <w:tcMar>
              <w:top w:w="80" w:type="dxa"/>
              <w:start w:w="80" w:type="dxa"/>
              <w:bottom w:w="80" w:type="dxa"/>
              <w:end w:w="80" w:type="dxa"/>
            </w:tcMar>
            <w:vAlign w:val="center"/>
          </w:tcPr>
          <w:p>
            <w:r>
              <w:rPr>
                <w:b/>
                <w:color w:val="FFFFFF"/>
                <w:sz w:val="16"/>
              </w:rPr>
              <w:t>WP3 interpretation</w:t>
            </w:r>
          </w:p>
        </w:tc>
      </w:tr>
      <w:tr>
        <w:tc>
          <w:tcPr>
            <w:tcW w:type="dxa" w:w="1800"/>
            <w:tcMar>
              <w:top w:w="80" w:type="dxa"/>
              <w:start w:w="80" w:type="dxa"/>
              <w:bottom w:w="80" w:type="dxa"/>
              <w:end w:w="80" w:type="dxa"/>
            </w:tcMar>
            <w:vAlign w:val="center"/>
          </w:tcPr>
          <w:p>
            <w:pPr>
              <w:spacing w:after="0"/>
            </w:pPr>
            <w:r>
              <w:rPr>
                <w:sz w:val="16"/>
              </w:rPr>
              <w:t>MAE</w:t>
            </w:r>
          </w:p>
        </w:tc>
        <w:tc>
          <w:tcPr>
            <w:tcW w:type="dxa" w:w="3744"/>
            <w:tcMar>
              <w:top w:w="80" w:type="dxa"/>
              <w:start w:w="80" w:type="dxa"/>
              <w:bottom w:w="80" w:type="dxa"/>
              <w:end w:w="80" w:type="dxa"/>
            </w:tcMar>
            <w:vAlign w:val="center"/>
          </w:tcPr>
          <w:p>
            <w:pPr>
              <w:spacing w:after="0"/>
            </w:pPr>
            <w:r>
              <w:rPr>
                <w:sz w:val="16"/>
              </w:rPr>
              <w:t>Average size of the miss</w:t>
            </w:r>
          </w:p>
        </w:tc>
        <w:tc>
          <w:tcPr>
            <w:tcW w:type="dxa" w:w="4824"/>
            <w:tcMar>
              <w:top w:w="80" w:type="dxa"/>
              <w:start w:w="80" w:type="dxa"/>
              <w:bottom w:w="80" w:type="dxa"/>
              <w:end w:w="80" w:type="dxa"/>
            </w:tcMar>
            <w:vAlign w:val="center"/>
          </w:tcPr>
          <w:p>
            <w:pPr>
              <w:spacing w:after="0"/>
            </w:pPr>
            <w:r>
              <w:rPr>
                <w:sz w:val="16"/>
              </w:rPr>
              <w:t>Primary regional selection metric in MW.</w:t>
            </w:r>
          </w:p>
        </w:tc>
      </w:tr>
      <w:tr>
        <w:tc>
          <w:tcPr>
            <w:tcW w:type="dxa" w:w="1800"/>
            <w:tcMar>
              <w:top w:w="80" w:type="dxa"/>
              <w:start w:w="80" w:type="dxa"/>
              <w:bottom w:w="80" w:type="dxa"/>
              <w:end w:w="80" w:type="dxa"/>
            </w:tcMar>
            <w:vAlign w:val="center"/>
            <w:shd w:fill="F7F9FB"/>
          </w:tcPr>
          <w:p>
            <w:pPr>
              <w:spacing w:after="0"/>
            </w:pPr>
            <w:r>
              <w:rPr>
                <w:sz w:val="16"/>
              </w:rPr>
              <w:t>RMSE</w:t>
            </w:r>
          </w:p>
        </w:tc>
        <w:tc>
          <w:tcPr>
            <w:tcW w:type="dxa" w:w="3744"/>
            <w:tcMar>
              <w:top w:w="80" w:type="dxa"/>
              <w:start w:w="80" w:type="dxa"/>
              <w:bottom w:w="80" w:type="dxa"/>
              <w:end w:w="80" w:type="dxa"/>
            </w:tcMar>
            <w:vAlign w:val="center"/>
            <w:shd w:fill="F7F9FB"/>
          </w:tcPr>
          <w:p>
            <w:pPr>
              <w:spacing w:after="0"/>
            </w:pPr>
            <w:r>
              <w:rPr>
                <w:sz w:val="16"/>
              </w:rPr>
              <w:t>Penalises occasional large misses</w:t>
            </w:r>
          </w:p>
        </w:tc>
        <w:tc>
          <w:tcPr>
            <w:tcW w:type="dxa" w:w="4824"/>
            <w:tcMar>
              <w:top w:w="80" w:type="dxa"/>
              <w:start w:w="80" w:type="dxa"/>
              <w:bottom w:w="80" w:type="dxa"/>
              <w:end w:w="80" w:type="dxa"/>
            </w:tcMar>
            <w:vAlign w:val="center"/>
            <w:shd w:fill="F7F9FB"/>
          </w:tcPr>
          <w:p>
            <w:pPr>
              <w:spacing w:after="0"/>
            </w:pPr>
            <w:r>
              <w:rPr>
                <w:sz w:val="16"/>
              </w:rPr>
              <w:t>Shows whether a model has severe errors hidden by average MAE.</w:t>
            </w:r>
          </w:p>
        </w:tc>
      </w:tr>
      <w:tr>
        <w:tc>
          <w:tcPr>
            <w:tcW w:type="dxa" w:w="1800"/>
            <w:tcMar>
              <w:top w:w="80" w:type="dxa"/>
              <w:start w:w="80" w:type="dxa"/>
              <w:bottom w:w="80" w:type="dxa"/>
              <w:end w:w="80" w:type="dxa"/>
            </w:tcMar>
            <w:vAlign w:val="center"/>
          </w:tcPr>
          <w:p>
            <w:pPr>
              <w:spacing w:after="0"/>
            </w:pPr>
            <w:r>
              <w:rPr>
                <w:sz w:val="16"/>
              </w:rPr>
              <w:t>sMAPE</w:t>
            </w:r>
          </w:p>
        </w:tc>
        <w:tc>
          <w:tcPr>
            <w:tcW w:type="dxa" w:w="3744"/>
            <w:tcMar>
              <w:top w:w="80" w:type="dxa"/>
              <w:start w:w="80" w:type="dxa"/>
              <w:bottom w:w="80" w:type="dxa"/>
              <w:end w:w="80" w:type="dxa"/>
            </w:tcMar>
            <w:vAlign w:val="center"/>
          </w:tcPr>
          <w:p>
            <w:pPr>
              <w:spacing w:after="0"/>
            </w:pPr>
            <w:r>
              <w:rPr>
                <w:sz w:val="16"/>
              </w:rPr>
              <w:t>Scale-aware percentage error</w:t>
            </w:r>
          </w:p>
        </w:tc>
        <w:tc>
          <w:tcPr>
            <w:tcW w:type="dxa" w:w="4824"/>
            <w:tcMar>
              <w:top w:w="80" w:type="dxa"/>
              <w:start w:w="80" w:type="dxa"/>
              <w:bottom w:w="80" w:type="dxa"/>
              <w:end w:w="80" w:type="dxa"/>
            </w:tcMar>
            <w:vAlign w:val="center"/>
          </w:tcPr>
          <w:p>
            <w:pPr>
              <w:spacing w:after="0"/>
            </w:pPr>
            <w:r>
              <w:rPr>
                <w:sz w:val="16"/>
              </w:rPr>
              <w:t>Preferred to ordinary MAPE where SA1 demand approaches zero.</w:t>
            </w:r>
          </w:p>
        </w:tc>
      </w:tr>
      <w:tr>
        <w:tc>
          <w:tcPr>
            <w:tcW w:type="dxa" w:w="1800"/>
            <w:tcMar>
              <w:top w:w="80" w:type="dxa"/>
              <w:start w:w="80" w:type="dxa"/>
              <w:bottom w:w="80" w:type="dxa"/>
              <w:end w:w="80" w:type="dxa"/>
            </w:tcMar>
            <w:vAlign w:val="center"/>
            <w:shd w:fill="F7F9FB"/>
          </w:tcPr>
          <w:p>
            <w:pPr>
              <w:spacing w:after="0"/>
            </w:pPr>
            <w:r>
              <w:rPr>
                <w:sz w:val="16"/>
              </w:rPr>
              <w:t>Bias = forecast − actual</w:t>
            </w:r>
          </w:p>
        </w:tc>
        <w:tc>
          <w:tcPr>
            <w:tcW w:type="dxa" w:w="3744"/>
            <w:tcMar>
              <w:top w:w="80" w:type="dxa"/>
              <w:start w:w="80" w:type="dxa"/>
              <w:bottom w:w="80" w:type="dxa"/>
              <w:end w:w="80" w:type="dxa"/>
            </w:tcMar>
            <w:vAlign w:val="center"/>
            <w:shd w:fill="F7F9FB"/>
          </w:tcPr>
          <w:p>
            <w:pPr>
              <w:spacing w:after="0"/>
            </w:pPr>
            <w:r>
              <w:rPr>
                <w:sz w:val="16"/>
              </w:rPr>
              <w:t>Systematic direction of error</w:t>
            </w:r>
          </w:p>
        </w:tc>
        <w:tc>
          <w:tcPr>
            <w:tcW w:type="dxa" w:w="4824"/>
            <w:tcMar>
              <w:top w:w="80" w:type="dxa"/>
              <w:start w:w="80" w:type="dxa"/>
              <w:bottom w:w="80" w:type="dxa"/>
              <w:end w:w="80" w:type="dxa"/>
            </w:tcMar>
            <w:vAlign w:val="center"/>
            <w:shd w:fill="F7F9FB"/>
          </w:tcPr>
          <w:p>
            <w:pPr>
              <w:spacing w:after="0"/>
            </w:pPr>
            <w:r>
              <w:rPr>
                <w:sz w:val="16"/>
              </w:rPr>
              <w:t>Positive = over-forecast; negative = under-forecast.</w:t>
            </w:r>
          </w:p>
        </w:tc>
      </w:tr>
      <w:tr>
        <w:tc>
          <w:tcPr>
            <w:tcW w:type="dxa" w:w="1800"/>
            <w:tcMar>
              <w:top w:w="80" w:type="dxa"/>
              <w:start w:w="80" w:type="dxa"/>
              <w:bottom w:w="80" w:type="dxa"/>
              <w:end w:w="80" w:type="dxa"/>
            </w:tcMar>
            <w:vAlign w:val="center"/>
          </w:tcPr>
          <w:p>
            <w:pPr>
              <w:spacing w:after="0"/>
            </w:pPr>
            <w:r>
              <w:rPr>
                <w:sz w:val="16"/>
              </w:rPr>
              <w:t>Skill vs naive</w:t>
            </w:r>
          </w:p>
        </w:tc>
        <w:tc>
          <w:tcPr>
            <w:tcW w:type="dxa" w:w="3744"/>
            <w:tcMar>
              <w:top w:w="80" w:type="dxa"/>
              <w:start w:w="80" w:type="dxa"/>
              <w:bottom w:w="80" w:type="dxa"/>
              <w:end w:w="80" w:type="dxa"/>
            </w:tcMar>
            <w:vAlign w:val="center"/>
          </w:tcPr>
          <w:p>
            <w:pPr>
              <w:spacing w:after="0"/>
            </w:pPr>
            <w:r>
              <w:rPr>
                <w:sz w:val="16"/>
              </w:rPr>
              <w:t>Percentage MAE improvement over strongest seasonal naive</w:t>
            </w:r>
          </w:p>
        </w:tc>
        <w:tc>
          <w:tcPr>
            <w:tcW w:type="dxa" w:w="4824"/>
            <w:tcMar>
              <w:top w:w="80" w:type="dxa"/>
              <w:start w:w="80" w:type="dxa"/>
              <w:bottom w:w="80" w:type="dxa"/>
              <w:end w:w="80" w:type="dxa"/>
            </w:tcMar>
            <w:vAlign w:val="center"/>
          </w:tcPr>
          <w:p>
            <w:pPr>
              <w:spacing w:after="0"/>
            </w:pPr>
            <w:r>
              <w:rPr>
                <w:sz w:val="16"/>
              </w:rPr>
              <w:t>Positive values show complexity earns its cost.</w:t>
            </w:r>
          </w:p>
        </w:tc>
      </w:tr>
    </w:tbl>
    <w:p>
      <w:pPr>
        <w:spacing w:after="20"/>
      </w:pPr>
    </w:p>
    <w:p>
      <w:pPr>
        <w:spacing w:after="100"/>
      </w:pPr>
      <w:r>
        <w:t>All six selected models show positive four-month skill against the best seasonal naive, ranging from 26.5% to 34.8%. This is stronger evidence than simply saying Random Forest has the lowest error because it confirms the chosen models beat an interpretable seasonal benchmark.</w:t>
      </w:r>
    </w:p>
    <w:p>
      <w:pPr>
        <w:jc w:val="center"/>
      </w:pPr>
      <w:r>
        <w:drawing>
          <wp:inline xmlns:a="http://schemas.openxmlformats.org/drawingml/2006/main" xmlns:pic="http://schemas.openxmlformats.org/drawingml/2006/picture">
            <wp:extent cx="5760720" cy="2651486"/>
            <wp:docPr id="2" name="Picture 2"/>
            <wp:cNvGraphicFramePr>
              <a:graphicFrameLocks noChangeAspect="1"/>
            </wp:cNvGraphicFramePr>
            <a:graphic>
              <a:graphicData uri="http://schemas.openxmlformats.org/drawingml/2006/picture">
                <pic:pic>
                  <pic:nvPicPr>
                    <pic:cNvPr id="0" name="skill_vs_naive.png"/>
                    <pic:cNvPicPr/>
                  </pic:nvPicPr>
                  <pic:blipFill>
                    <a:blip r:embed="rId12"/>
                    <a:stretch>
                      <a:fillRect/>
                    </a:stretch>
                  </pic:blipFill>
                  <pic:spPr>
                    <a:xfrm>
                      <a:off x="0" y="0"/>
                      <a:ext cx="5760720" cy="2651486"/>
                    </a:xfrm>
                    <a:prstGeom prst="rect"/>
                  </pic:spPr>
                </pic:pic>
              </a:graphicData>
            </a:graphic>
          </wp:inline>
        </w:drawing>
      </w:r>
    </w:p>
    <w:p>
      <w:pPr>
        <w:pStyle w:val="Caption"/>
        <w:jc w:val="center"/>
      </w:pPr>
      <w:r>
        <w:t>Figure 2. Skill of the selected regional models against the best seasonal-naive baseline. Positive values mean lower MAE than the baseline.</w:t>
      </w:r>
    </w:p>
    <w:p>
      <w:pPr>
        <w:pStyle w:val="Heading1"/>
      </w:pPr>
      <w:r>
        <w:t>5. Independent September 2026 verification</w:t>
      </w:r>
    </w:p>
    <w:tbl>
      <w:tblPr>
        <w:tblStyle w:val="TableGrid"/>
        <w:tblW w:type="auto" w:w="0"/>
        <w:jc w:val="center"/>
        <w:tblLayout w:type="fixed"/>
        <w:tblLook w:firstColumn="1" w:firstRow="1" w:lastColumn="0" w:lastRow="0" w:noHBand="0" w:noVBand="1" w:val="04A0"/>
      </w:tblPr>
      <w:tblGrid>
        <w:gridCol w:w="1446"/>
        <w:gridCol w:w="1446"/>
        <w:gridCol w:w="1446"/>
        <w:gridCol w:w="1446"/>
        <w:gridCol w:w="1446"/>
        <w:gridCol w:w="1446"/>
        <w:gridCol w:w="1446"/>
      </w:tblGrid>
      <w:tr>
        <w:trPr>
          <w:tblHeader w:val="true"/>
        </w:trPr>
        <w:tc>
          <w:tcPr>
            <w:tcW w:type="dxa" w:w="1008"/>
            <w:shd w:fill="17365D"/>
            <w:tcMar>
              <w:top w:w="80" w:type="dxa"/>
              <w:start w:w="80" w:type="dxa"/>
              <w:bottom w:w="80" w:type="dxa"/>
              <w:end w:w="80" w:type="dxa"/>
            </w:tcMar>
            <w:vAlign w:val="center"/>
          </w:tcPr>
          <w:p>
            <w:r>
              <w:rPr>
                <w:b/>
                <w:color w:val="FFFFFF"/>
                <w:sz w:val="15"/>
              </w:rPr>
              <w:t>Region</w:t>
            </w:r>
          </w:p>
        </w:tc>
        <w:tc>
          <w:tcPr>
            <w:tcW w:type="dxa" w:w="1152"/>
            <w:shd w:fill="17365D"/>
            <w:tcMar>
              <w:top w:w="80" w:type="dxa"/>
              <w:start w:w="80" w:type="dxa"/>
              <w:bottom w:w="80" w:type="dxa"/>
              <w:end w:w="80" w:type="dxa"/>
            </w:tcMar>
            <w:vAlign w:val="center"/>
          </w:tcPr>
          <w:p>
            <w:r>
              <w:rPr>
                <w:b/>
                <w:color w:val="FFFFFF"/>
                <w:sz w:val="15"/>
              </w:rPr>
              <w:t>Intervals</w:t>
            </w:r>
          </w:p>
        </w:tc>
        <w:tc>
          <w:tcPr>
            <w:tcW w:type="dxa" w:w="1224"/>
            <w:shd w:fill="17365D"/>
            <w:tcMar>
              <w:top w:w="80" w:type="dxa"/>
              <w:start w:w="80" w:type="dxa"/>
              <w:bottom w:w="80" w:type="dxa"/>
              <w:end w:w="80" w:type="dxa"/>
            </w:tcMar>
            <w:vAlign w:val="center"/>
          </w:tcPr>
          <w:p>
            <w:r>
              <w:rPr>
                <w:b/>
                <w:color w:val="FFFFFF"/>
                <w:sz w:val="15"/>
              </w:rPr>
              <w:t>MAE</w:t>
            </w:r>
          </w:p>
        </w:tc>
        <w:tc>
          <w:tcPr>
            <w:tcW w:type="dxa" w:w="1224"/>
            <w:shd w:fill="17365D"/>
            <w:tcMar>
              <w:top w:w="80" w:type="dxa"/>
              <w:start w:w="80" w:type="dxa"/>
              <w:bottom w:w="80" w:type="dxa"/>
              <w:end w:w="80" w:type="dxa"/>
            </w:tcMar>
            <w:vAlign w:val="center"/>
          </w:tcPr>
          <w:p>
            <w:r>
              <w:rPr>
                <w:b/>
                <w:color w:val="FFFFFF"/>
                <w:sz w:val="15"/>
              </w:rPr>
              <w:t>RMSE</w:t>
            </w:r>
          </w:p>
        </w:tc>
        <w:tc>
          <w:tcPr>
            <w:tcW w:type="dxa" w:w="1296"/>
            <w:shd w:fill="17365D"/>
            <w:tcMar>
              <w:top w:w="80" w:type="dxa"/>
              <w:start w:w="80" w:type="dxa"/>
              <w:bottom w:w="80" w:type="dxa"/>
              <w:end w:w="80" w:type="dxa"/>
            </w:tcMar>
            <w:vAlign w:val="center"/>
          </w:tcPr>
          <w:p>
            <w:r>
              <w:rPr>
                <w:b/>
                <w:color w:val="FFFFFF"/>
                <w:sz w:val="15"/>
              </w:rPr>
              <w:t>sMAPE</w:t>
            </w:r>
          </w:p>
        </w:tc>
        <w:tc>
          <w:tcPr>
            <w:tcW w:type="dxa" w:w="1224"/>
            <w:shd w:fill="17365D"/>
            <w:tcMar>
              <w:top w:w="80" w:type="dxa"/>
              <w:start w:w="80" w:type="dxa"/>
              <w:bottom w:w="80" w:type="dxa"/>
              <w:end w:w="80" w:type="dxa"/>
            </w:tcMar>
            <w:vAlign w:val="center"/>
          </w:tcPr>
          <w:p>
            <w:r>
              <w:rPr>
                <w:b/>
                <w:color w:val="FFFFFF"/>
                <w:sz w:val="15"/>
              </w:rPr>
              <w:t>Bias</w:t>
            </w:r>
          </w:p>
        </w:tc>
        <w:tc>
          <w:tcPr>
            <w:tcW w:type="dxa" w:w="1224"/>
            <w:shd w:fill="17365D"/>
            <w:tcMar>
              <w:top w:w="80" w:type="dxa"/>
              <w:start w:w="80" w:type="dxa"/>
              <w:bottom w:w="80" w:type="dxa"/>
              <w:end w:w="80" w:type="dxa"/>
            </w:tcMar>
            <w:vAlign w:val="center"/>
          </w:tcPr>
          <w:p>
            <w:r>
              <w:rPr>
                <w:b/>
                <w:color w:val="FFFFFF"/>
                <w:sz w:val="15"/>
              </w:rPr>
              <w:t>MedAE</w:t>
            </w:r>
          </w:p>
        </w:tc>
      </w:tr>
      <w:tr>
        <w:tc>
          <w:tcPr>
            <w:tcW w:type="dxa" w:w="1008"/>
            <w:tcMar>
              <w:top w:w="80" w:type="dxa"/>
              <w:start w:w="80" w:type="dxa"/>
              <w:bottom w:w="80" w:type="dxa"/>
              <w:end w:w="80" w:type="dxa"/>
            </w:tcMar>
            <w:vAlign w:val="center"/>
          </w:tcPr>
          <w:p>
            <w:pPr>
              <w:spacing w:after="0"/>
            </w:pPr>
            <w:r>
              <w:rPr>
                <w:sz w:val="15"/>
              </w:rPr>
              <w:t>NSW1</w:t>
            </w:r>
          </w:p>
        </w:tc>
        <w:tc>
          <w:tcPr>
            <w:tcW w:type="dxa" w:w="1152"/>
            <w:tcMar>
              <w:top w:w="80" w:type="dxa"/>
              <w:start w:w="80" w:type="dxa"/>
              <w:bottom w:w="80" w:type="dxa"/>
              <w:end w:w="80" w:type="dxa"/>
            </w:tcMar>
            <w:vAlign w:val="center"/>
          </w:tcPr>
          <w:p>
            <w:pPr>
              <w:spacing w:after="0"/>
            </w:pPr>
            <w:r>
              <w:rPr>
                <w:sz w:val="15"/>
              </w:rPr>
              <w:t>625</w:t>
            </w:r>
          </w:p>
        </w:tc>
        <w:tc>
          <w:tcPr>
            <w:tcW w:type="dxa" w:w="1224"/>
            <w:tcMar>
              <w:top w:w="80" w:type="dxa"/>
              <w:start w:w="80" w:type="dxa"/>
              <w:bottom w:w="80" w:type="dxa"/>
              <w:end w:w="80" w:type="dxa"/>
            </w:tcMar>
            <w:vAlign w:val="center"/>
          </w:tcPr>
          <w:p>
            <w:pPr>
              <w:spacing w:after="0"/>
            </w:pPr>
            <w:r>
              <w:rPr>
                <w:sz w:val="15"/>
              </w:rPr>
              <w:t>401.2</w:t>
            </w:r>
          </w:p>
        </w:tc>
        <w:tc>
          <w:tcPr>
            <w:tcW w:type="dxa" w:w="1224"/>
            <w:tcMar>
              <w:top w:w="80" w:type="dxa"/>
              <w:start w:w="80" w:type="dxa"/>
              <w:bottom w:w="80" w:type="dxa"/>
              <w:end w:w="80" w:type="dxa"/>
            </w:tcMar>
            <w:vAlign w:val="center"/>
          </w:tcPr>
          <w:p>
            <w:pPr>
              <w:spacing w:after="0"/>
            </w:pPr>
            <w:r>
              <w:rPr>
                <w:sz w:val="15"/>
              </w:rPr>
              <w:t>495.4</w:t>
            </w:r>
          </w:p>
        </w:tc>
        <w:tc>
          <w:tcPr>
            <w:tcW w:type="dxa" w:w="1296"/>
            <w:tcMar>
              <w:top w:w="80" w:type="dxa"/>
              <w:start w:w="80" w:type="dxa"/>
              <w:bottom w:w="80" w:type="dxa"/>
              <w:end w:w="80" w:type="dxa"/>
            </w:tcMar>
            <w:vAlign w:val="center"/>
          </w:tcPr>
          <w:p>
            <w:pPr>
              <w:spacing w:after="0"/>
            </w:pPr>
            <w:r>
              <w:rPr>
                <w:sz w:val="15"/>
              </w:rPr>
              <w:t>6.27%</w:t>
            </w:r>
          </w:p>
        </w:tc>
        <w:tc>
          <w:tcPr>
            <w:tcW w:type="dxa" w:w="1224"/>
            <w:tcMar>
              <w:top w:w="80" w:type="dxa"/>
              <w:start w:w="80" w:type="dxa"/>
              <w:bottom w:w="80" w:type="dxa"/>
              <w:end w:w="80" w:type="dxa"/>
            </w:tcMar>
            <w:vAlign w:val="center"/>
          </w:tcPr>
          <w:p>
            <w:pPr>
              <w:spacing w:after="0"/>
            </w:pPr>
            <w:r>
              <w:rPr>
                <w:sz w:val="15"/>
              </w:rPr>
              <w:t>+227.3</w:t>
            </w:r>
          </w:p>
        </w:tc>
        <w:tc>
          <w:tcPr>
            <w:tcW w:type="dxa" w:w="1224"/>
            <w:tcMar>
              <w:top w:w="80" w:type="dxa"/>
              <w:start w:w="80" w:type="dxa"/>
              <w:bottom w:w="80" w:type="dxa"/>
              <w:end w:w="80" w:type="dxa"/>
            </w:tcMar>
            <w:vAlign w:val="center"/>
          </w:tcPr>
          <w:p>
            <w:pPr>
              <w:spacing w:after="0"/>
            </w:pPr>
            <w:r>
              <w:rPr>
                <w:sz w:val="15"/>
              </w:rPr>
              <w:t>346.5</w:t>
            </w:r>
          </w:p>
        </w:tc>
      </w:tr>
      <w:tr>
        <w:tc>
          <w:tcPr>
            <w:tcW w:type="dxa" w:w="1008"/>
            <w:tcMar>
              <w:top w:w="80" w:type="dxa"/>
              <w:start w:w="80" w:type="dxa"/>
              <w:bottom w:w="80" w:type="dxa"/>
              <w:end w:w="80" w:type="dxa"/>
            </w:tcMar>
            <w:vAlign w:val="center"/>
            <w:shd w:fill="F7F9FB"/>
          </w:tcPr>
          <w:p>
            <w:pPr>
              <w:spacing w:after="0"/>
            </w:pPr>
            <w:r>
              <w:rPr>
                <w:sz w:val="15"/>
              </w:rPr>
              <w:t>QLD1</w:t>
            </w:r>
          </w:p>
        </w:tc>
        <w:tc>
          <w:tcPr>
            <w:tcW w:type="dxa" w:w="1152"/>
            <w:tcMar>
              <w:top w:w="80" w:type="dxa"/>
              <w:start w:w="80" w:type="dxa"/>
              <w:bottom w:w="80" w:type="dxa"/>
              <w:end w:w="80" w:type="dxa"/>
            </w:tcMar>
            <w:vAlign w:val="center"/>
            <w:shd w:fill="F7F9FB"/>
          </w:tcPr>
          <w:p>
            <w:pPr>
              <w:spacing w:after="0"/>
            </w:pPr>
            <w:r>
              <w:rPr>
                <w:sz w:val="15"/>
              </w:rPr>
              <w:t>625</w:t>
            </w:r>
          </w:p>
        </w:tc>
        <w:tc>
          <w:tcPr>
            <w:tcW w:type="dxa" w:w="1224"/>
            <w:tcMar>
              <w:top w:w="80" w:type="dxa"/>
              <w:start w:w="80" w:type="dxa"/>
              <w:bottom w:w="80" w:type="dxa"/>
              <w:end w:w="80" w:type="dxa"/>
            </w:tcMar>
            <w:vAlign w:val="center"/>
            <w:shd w:fill="F7F9FB"/>
          </w:tcPr>
          <w:p>
            <w:pPr>
              <w:spacing w:after="0"/>
            </w:pPr>
            <w:r>
              <w:rPr>
                <w:sz w:val="15"/>
              </w:rPr>
              <w:t>184.3</w:t>
            </w:r>
          </w:p>
        </w:tc>
        <w:tc>
          <w:tcPr>
            <w:tcW w:type="dxa" w:w="1224"/>
            <w:tcMar>
              <w:top w:w="80" w:type="dxa"/>
              <w:start w:w="80" w:type="dxa"/>
              <w:bottom w:w="80" w:type="dxa"/>
              <w:end w:w="80" w:type="dxa"/>
            </w:tcMar>
            <w:vAlign w:val="center"/>
            <w:shd w:fill="F7F9FB"/>
          </w:tcPr>
          <w:p>
            <w:pPr>
              <w:spacing w:after="0"/>
            </w:pPr>
            <w:r>
              <w:rPr>
                <w:sz w:val="15"/>
              </w:rPr>
              <w:t>286.7</w:t>
            </w:r>
          </w:p>
        </w:tc>
        <w:tc>
          <w:tcPr>
            <w:tcW w:type="dxa" w:w="1296"/>
            <w:tcMar>
              <w:top w:w="80" w:type="dxa"/>
              <w:start w:w="80" w:type="dxa"/>
              <w:bottom w:w="80" w:type="dxa"/>
              <w:end w:w="80" w:type="dxa"/>
            </w:tcMar>
            <w:vAlign w:val="center"/>
            <w:shd w:fill="F7F9FB"/>
          </w:tcPr>
          <w:p>
            <w:pPr>
              <w:spacing w:after="0"/>
            </w:pPr>
            <w:r>
              <w:rPr>
                <w:sz w:val="15"/>
              </w:rPr>
              <w:t>3.91%</w:t>
            </w:r>
          </w:p>
        </w:tc>
        <w:tc>
          <w:tcPr>
            <w:tcW w:type="dxa" w:w="1224"/>
            <w:tcMar>
              <w:top w:w="80" w:type="dxa"/>
              <w:start w:w="80" w:type="dxa"/>
              <w:bottom w:w="80" w:type="dxa"/>
              <w:end w:w="80" w:type="dxa"/>
            </w:tcMar>
            <w:vAlign w:val="center"/>
            <w:shd w:fill="F7F9FB"/>
          </w:tcPr>
          <w:p>
            <w:pPr>
              <w:spacing w:after="0"/>
            </w:pPr>
            <w:r>
              <w:rPr>
                <w:sz w:val="15"/>
              </w:rPr>
              <w:t>+44.1</w:t>
            </w:r>
          </w:p>
        </w:tc>
        <w:tc>
          <w:tcPr>
            <w:tcW w:type="dxa" w:w="1224"/>
            <w:tcMar>
              <w:top w:w="80" w:type="dxa"/>
              <w:start w:w="80" w:type="dxa"/>
              <w:bottom w:w="80" w:type="dxa"/>
              <w:end w:w="80" w:type="dxa"/>
            </w:tcMar>
            <w:vAlign w:val="center"/>
            <w:shd w:fill="F7F9FB"/>
          </w:tcPr>
          <w:p>
            <w:pPr>
              <w:spacing w:after="0"/>
            </w:pPr>
            <w:r>
              <w:rPr>
                <w:sz w:val="15"/>
              </w:rPr>
              <w:t>95.5</w:t>
            </w:r>
          </w:p>
        </w:tc>
      </w:tr>
      <w:tr>
        <w:tc>
          <w:tcPr>
            <w:tcW w:type="dxa" w:w="1008"/>
            <w:tcMar>
              <w:top w:w="80" w:type="dxa"/>
              <w:start w:w="80" w:type="dxa"/>
              <w:bottom w:w="80" w:type="dxa"/>
              <w:end w:w="80" w:type="dxa"/>
            </w:tcMar>
            <w:vAlign w:val="center"/>
          </w:tcPr>
          <w:p>
            <w:pPr>
              <w:spacing w:after="0"/>
            </w:pPr>
            <w:r>
              <w:rPr>
                <w:sz w:val="15"/>
              </w:rPr>
              <w:t>SA1</w:t>
            </w:r>
          </w:p>
        </w:tc>
        <w:tc>
          <w:tcPr>
            <w:tcW w:type="dxa" w:w="1152"/>
            <w:tcMar>
              <w:top w:w="80" w:type="dxa"/>
              <w:start w:w="80" w:type="dxa"/>
              <w:bottom w:w="80" w:type="dxa"/>
              <w:end w:w="80" w:type="dxa"/>
            </w:tcMar>
            <w:vAlign w:val="center"/>
          </w:tcPr>
          <w:p>
            <w:pPr>
              <w:spacing w:after="0"/>
            </w:pPr>
            <w:r>
              <w:rPr>
                <w:sz w:val="15"/>
              </w:rPr>
              <w:t>625</w:t>
            </w:r>
          </w:p>
        </w:tc>
        <w:tc>
          <w:tcPr>
            <w:tcW w:type="dxa" w:w="1224"/>
            <w:tcMar>
              <w:top w:w="80" w:type="dxa"/>
              <w:start w:w="80" w:type="dxa"/>
              <w:bottom w:w="80" w:type="dxa"/>
              <w:end w:w="80" w:type="dxa"/>
            </w:tcMar>
            <w:vAlign w:val="center"/>
          </w:tcPr>
          <w:p>
            <w:pPr>
              <w:spacing w:after="0"/>
            </w:pPr>
            <w:r>
              <w:rPr>
                <w:sz w:val="15"/>
              </w:rPr>
              <w:t>154.0</w:t>
            </w:r>
          </w:p>
        </w:tc>
        <w:tc>
          <w:tcPr>
            <w:tcW w:type="dxa" w:w="1224"/>
            <w:tcMar>
              <w:top w:w="80" w:type="dxa"/>
              <w:start w:w="80" w:type="dxa"/>
              <w:bottom w:w="80" w:type="dxa"/>
              <w:end w:w="80" w:type="dxa"/>
            </w:tcMar>
            <w:vAlign w:val="center"/>
          </w:tcPr>
          <w:p>
            <w:pPr>
              <w:spacing w:after="0"/>
            </w:pPr>
            <w:r>
              <w:rPr>
                <w:sz w:val="15"/>
              </w:rPr>
              <w:t>234.0</w:t>
            </w:r>
          </w:p>
        </w:tc>
        <w:tc>
          <w:tcPr>
            <w:tcW w:type="dxa" w:w="1296"/>
            <w:tcMar>
              <w:top w:w="80" w:type="dxa"/>
              <w:start w:w="80" w:type="dxa"/>
              <w:bottom w:w="80" w:type="dxa"/>
              <w:end w:w="80" w:type="dxa"/>
            </w:tcMar>
            <w:vAlign w:val="center"/>
          </w:tcPr>
          <w:p>
            <w:pPr>
              <w:spacing w:after="0"/>
            </w:pPr>
            <w:r>
              <w:rPr>
                <w:sz w:val="15"/>
              </w:rPr>
              <w:t>19.31%</w:t>
            </w:r>
          </w:p>
        </w:tc>
        <w:tc>
          <w:tcPr>
            <w:tcW w:type="dxa" w:w="1224"/>
            <w:tcMar>
              <w:top w:w="80" w:type="dxa"/>
              <w:start w:w="80" w:type="dxa"/>
              <w:bottom w:w="80" w:type="dxa"/>
              <w:end w:w="80" w:type="dxa"/>
            </w:tcMar>
            <w:vAlign w:val="center"/>
          </w:tcPr>
          <w:p>
            <w:pPr>
              <w:spacing w:after="0"/>
            </w:pPr>
            <w:r>
              <w:rPr>
                <w:sz w:val="15"/>
              </w:rPr>
              <w:t>-1.1</w:t>
            </w:r>
          </w:p>
        </w:tc>
        <w:tc>
          <w:tcPr>
            <w:tcW w:type="dxa" w:w="1224"/>
            <w:tcMar>
              <w:top w:w="80" w:type="dxa"/>
              <w:start w:w="80" w:type="dxa"/>
              <w:bottom w:w="80" w:type="dxa"/>
              <w:end w:w="80" w:type="dxa"/>
            </w:tcMar>
            <w:vAlign w:val="center"/>
          </w:tcPr>
          <w:p>
            <w:pPr>
              <w:spacing w:after="0"/>
            </w:pPr>
            <w:r>
              <w:rPr>
                <w:sz w:val="15"/>
              </w:rPr>
              <w:t>86.5</w:t>
            </w:r>
          </w:p>
        </w:tc>
      </w:tr>
      <w:tr>
        <w:tc>
          <w:tcPr>
            <w:tcW w:type="dxa" w:w="1008"/>
            <w:tcMar>
              <w:top w:w="80" w:type="dxa"/>
              <w:start w:w="80" w:type="dxa"/>
              <w:bottom w:w="80" w:type="dxa"/>
              <w:end w:w="80" w:type="dxa"/>
            </w:tcMar>
            <w:vAlign w:val="center"/>
            <w:shd w:fill="F7F9FB"/>
          </w:tcPr>
          <w:p>
            <w:pPr>
              <w:spacing w:after="0"/>
            </w:pPr>
            <w:r>
              <w:rPr>
                <w:sz w:val="15"/>
              </w:rPr>
              <w:t>TAS1</w:t>
            </w:r>
          </w:p>
        </w:tc>
        <w:tc>
          <w:tcPr>
            <w:tcW w:type="dxa" w:w="1152"/>
            <w:tcMar>
              <w:top w:w="80" w:type="dxa"/>
              <w:start w:w="80" w:type="dxa"/>
              <w:bottom w:w="80" w:type="dxa"/>
              <w:end w:w="80" w:type="dxa"/>
            </w:tcMar>
            <w:vAlign w:val="center"/>
            <w:shd w:fill="F7F9FB"/>
          </w:tcPr>
          <w:p>
            <w:pPr>
              <w:spacing w:after="0"/>
            </w:pPr>
            <w:r>
              <w:rPr>
                <w:sz w:val="15"/>
              </w:rPr>
              <w:t>625</w:t>
            </w:r>
          </w:p>
        </w:tc>
        <w:tc>
          <w:tcPr>
            <w:tcW w:type="dxa" w:w="1224"/>
            <w:tcMar>
              <w:top w:w="80" w:type="dxa"/>
              <w:start w:w="80" w:type="dxa"/>
              <w:bottom w:w="80" w:type="dxa"/>
              <w:end w:w="80" w:type="dxa"/>
            </w:tcMar>
            <w:vAlign w:val="center"/>
            <w:shd w:fill="F7F9FB"/>
          </w:tcPr>
          <w:p>
            <w:pPr>
              <w:spacing w:after="0"/>
            </w:pPr>
            <w:r>
              <w:rPr>
                <w:sz w:val="15"/>
              </w:rPr>
              <w:t>44.6</w:t>
            </w:r>
          </w:p>
        </w:tc>
        <w:tc>
          <w:tcPr>
            <w:tcW w:type="dxa" w:w="1224"/>
            <w:tcMar>
              <w:top w:w="80" w:type="dxa"/>
              <w:start w:w="80" w:type="dxa"/>
              <w:bottom w:w="80" w:type="dxa"/>
              <w:end w:w="80" w:type="dxa"/>
            </w:tcMar>
            <w:vAlign w:val="center"/>
            <w:shd w:fill="F7F9FB"/>
          </w:tcPr>
          <w:p>
            <w:pPr>
              <w:spacing w:after="0"/>
            </w:pPr>
            <w:r>
              <w:rPr>
                <w:sz w:val="15"/>
              </w:rPr>
              <w:t>56.8</w:t>
            </w:r>
          </w:p>
        </w:tc>
        <w:tc>
          <w:tcPr>
            <w:tcW w:type="dxa" w:w="1296"/>
            <w:tcMar>
              <w:top w:w="80" w:type="dxa"/>
              <w:start w:w="80" w:type="dxa"/>
              <w:bottom w:w="80" w:type="dxa"/>
              <w:end w:w="80" w:type="dxa"/>
            </w:tcMar>
            <w:vAlign w:val="center"/>
            <w:shd w:fill="F7F9FB"/>
          </w:tcPr>
          <w:p>
            <w:pPr>
              <w:spacing w:after="0"/>
            </w:pPr>
            <w:r>
              <w:rPr>
                <w:sz w:val="15"/>
              </w:rPr>
              <w:t>4.40%</w:t>
            </w:r>
          </w:p>
        </w:tc>
        <w:tc>
          <w:tcPr>
            <w:tcW w:type="dxa" w:w="1224"/>
            <w:tcMar>
              <w:top w:w="80" w:type="dxa"/>
              <w:start w:w="80" w:type="dxa"/>
              <w:bottom w:w="80" w:type="dxa"/>
              <w:end w:w="80" w:type="dxa"/>
            </w:tcMar>
            <w:vAlign w:val="center"/>
            <w:shd w:fill="F7F9FB"/>
          </w:tcPr>
          <w:p>
            <w:pPr>
              <w:spacing w:after="0"/>
            </w:pPr>
            <w:r>
              <w:rPr>
                <w:sz w:val="15"/>
              </w:rPr>
              <w:t>-4.1</w:t>
            </w:r>
          </w:p>
        </w:tc>
        <w:tc>
          <w:tcPr>
            <w:tcW w:type="dxa" w:w="1224"/>
            <w:tcMar>
              <w:top w:w="80" w:type="dxa"/>
              <w:start w:w="80" w:type="dxa"/>
              <w:bottom w:w="80" w:type="dxa"/>
              <w:end w:w="80" w:type="dxa"/>
            </w:tcMar>
            <w:vAlign w:val="center"/>
            <w:shd w:fill="F7F9FB"/>
          </w:tcPr>
          <w:p>
            <w:pPr>
              <w:spacing w:after="0"/>
            </w:pPr>
            <w:r>
              <w:rPr>
                <w:sz w:val="15"/>
              </w:rPr>
              <w:t>36.6</w:t>
            </w:r>
          </w:p>
        </w:tc>
      </w:tr>
      <w:tr>
        <w:tc>
          <w:tcPr>
            <w:tcW w:type="dxa" w:w="1008"/>
            <w:tcMar>
              <w:top w:w="80" w:type="dxa"/>
              <w:start w:w="80" w:type="dxa"/>
              <w:bottom w:w="80" w:type="dxa"/>
              <w:end w:w="80" w:type="dxa"/>
            </w:tcMar>
            <w:vAlign w:val="center"/>
          </w:tcPr>
          <w:p>
            <w:pPr>
              <w:spacing w:after="0"/>
            </w:pPr>
            <w:r>
              <w:rPr>
                <w:sz w:val="15"/>
              </w:rPr>
              <w:t>VIC1</w:t>
            </w:r>
          </w:p>
        </w:tc>
        <w:tc>
          <w:tcPr>
            <w:tcW w:type="dxa" w:w="1152"/>
            <w:tcMar>
              <w:top w:w="80" w:type="dxa"/>
              <w:start w:w="80" w:type="dxa"/>
              <w:bottom w:w="80" w:type="dxa"/>
              <w:end w:w="80" w:type="dxa"/>
            </w:tcMar>
            <w:vAlign w:val="center"/>
          </w:tcPr>
          <w:p>
            <w:pPr>
              <w:spacing w:after="0"/>
            </w:pPr>
            <w:r>
              <w:rPr>
                <w:sz w:val="15"/>
              </w:rPr>
              <w:t>625</w:t>
            </w:r>
          </w:p>
        </w:tc>
        <w:tc>
          <w:tcPr>
            <w:tcW w:type="dxa" w:w="1224"/>
            <w:tcMar>
              <w:top w:w="80" w:type="dxa"/>
              <w:start w:w="80" w:type="dxa"/>
              <w:bottom w:w="80" w:type="dxa"/>
              <w:end w:w="80" w:type="dxa"/>
            </w:tcMar>
            <w:vAlign w:val="center"/>
          </w:tcPr>
          <w:p>
            <w:pPr>
              <w:spacing w:after="0"/>
            </w:pPr>
            <w:r>
              <w:rPr>
                <w:sz w:val="15"/>
              </w:rPr>
              <w:t>332.2</w:t>
            </w:r>
          </w:p>
        </w:tc>
        <w:tc>
          <w:tcPr>
            <w:tcW w:type="dxa" w:w="1224"/>
            <w:tcMar>
              <w:top w:w="80" w:type="dxa"/>
              <w:start w:w="80" w:type="dxa"/>
              <w:bottom w:w="80" w:type="dxa"/>
              <w:end w:w="80" w:type="dxa"/>
            </w:tcMar>
            <w:vAlign w:val="center"/>
          </w:tcPr>
          <w:p>
            <w:pPr>
              <w:spacing w:after="0"/>
            </w:pPr>
            <w:r>
              <w:rPr>
                <w:sz w:val="15"/>
              </w:rPr>
              <w:t>416.7</w:t>
            </w:r>
          </w:p>
        </w:tc>
        <w:tc>
          <w:tcPr>
            <w:tcW w:type="dxa" w:w="1296"/>
            <w:tcMar>
              <w:top w:w="80" w:type="dxa"/>
              <w:start w:w="80" w:type="dxa"/>
              <w:bottom w:w="80" w:type="dxa"/>
              <w:end w:w="80" w:type="dxa"/>
            </w:tcMar>
            <w:vAlign w:val="center"/>
          </w:tcPr>
          <w:p>
            <w:pPr>
              <w:spacing w:after="0"/>
            </w:pPr>
            <w:r>
              <w:rPr>
                <w:sz w:val="15"/>
              </w:rPr>
              <w:t>6.84%</w:t>
            </w:r>
          </w:p>
        </w:tc>
        <w:tc>
          <w:tcPr>
            <w:tcW w:type="dxa" w:w="1224"/>
            <w:tcMar>
              <w:top w:w="80" w:type="dxa"/>
              <w:start w:w="80" w:type="dxa"/>
              <w:bottom w:w="80" w:type="dxa"/>
              <w:end w:w="80" w:type="dxa"/>
            </w:tcMar>
            <w:vAlign w:val="center"/>
          </w:tcPr>
          <w:p>
            <w:pPr>
              <w:spacing w:after="0"/>
            </w:pPr>
            <w:r>
              <w:rPr>
                <w:sz w:val="15"/>
              </w:rPr>
              <w:t>-93.2</w:t>
            </w:r>
          </w:p>
        </w:tc>
        <w:tc>
          <w:tcPr>
            <w:tcW w:type="dxa" w:w="1224"/>
            <w:tcMar>
              <w:top w:w="80" w:type="dxa"/>
              <w:start w:w="80" w:type="dxa"/>
              <w:bottom w:w="80" w:type="dxa"/>
              <w:end w:w="80" w:type="dxa"/>
            </w:tcMar>
            <w:vAlign w:val="center"/>
          </w:tcPr>
          <w:p>
            <w:pPr>
              <w:spacing w:after="0"/>
            </w:pPr>
            <w:r>
              <w:rPr>
                <w:sz w:val="15"/>
              </w:rPr>
              <w:t>298.2</w:t>
            </w:r>
          </w:p>
        </w:tc>
      </w:tr>
      <w:tr>
        <w:tc>
          <w:tcPr>
            <w:tcW w:type="dxa" w:w="1008"/>
            <w:tcMar>
              <w:top w:w="80" w:type="dxa"/>
              <w:start w:w="80" w:type="dxa"/>
              <w:bottom w:w="80" w:type="dxa"/>
              <w:end w:w="80" w:type="dxa"/>
            </w:tcMar>
            <w:vAlign w:val="center"/>
            <w:shd w:fill="F7F9FB"/>
          </w:tcPr>
          <w:p>
            <w:pPr>
              <w:spacing w:after="0"/>
            </w:pPr>
            <w:r>
              <w:rPr>
                <w:sz w:val="15"/>
              </w:rPr>
              <w:t>WA</w:t>
            </w:r>
          </w:p>
        </w:tc>
        <w:tc>
          <w:tcPr>
            <w:tcW w:type="dxa" w:w="1152"/>
            <w:tcMar>
              <w:top w:w="80" w:type="dxa"/>
              <w:start w:w="80" w:type="dxa"/>
              <w:bottom w:w="80" w:type="dxa"/>
              <w:end w:w="80" w:type="dxa"/>
            </w:tcMar>
            <w:vAlign w:val="center"/>
            <w:shd w:fill="F7F9FB"/>
          </w:tcPr>
          <w:p>
            <w:pPr>
              <w:spacing w:after="0"/>
            </w:pPr>
            <w:r>
              <w:rPr>
                <w:sz w:val="15"/>
              </w:rPr>
              <w:t>640</w:t>
            </w:r>
          </w:p>
        </w:tc>
        <w:tc>
          <w:tcPr>
            <w:tcW w:type="dxa" w:w="1224"/>
            <w:tcMar>
              <w:top w:w="80" w:type="dxa"/>
              <w:start w:w="80" w:type="dxa"/>
              <w:bottom w:w="80" w:type="dxa"/>
              <w:end w:w="80" w:type="dxa"/>
            </w:tcMar>
            <w:vAlign w:val="center"/>
            <w:shd w:fill="F7F9FB"/>
          </w:tcPr>
          <w:p>
            <w:pPr>
              <w:spacing w:after="0"/>
            </w:pPr>
            <w:r>
              <w:rPr>
                <w:sz w:val="15"/>
              </w:rPr>
              <w:t>129.5</w:t>
            </w:r>
          </w:p>
        </w:tc>
        <w:tc>
          <w:tcPr>
            <w:tcW w:type="dxa" w:w="1224"/>
            <w:tcMar>
              <w:top w:w="80" w:type="dxa"/>
              <w:start w:w="80" w:type="dxa"/>
              <w:bottom w:w="80" w:type="dxa"/>
              <w:end w:w="80" w:type="dxa"/>
            </w:tcMar>
            <w:vAlign w:val="center"/>
            <w:shd w:fill="F7F9FB"/>
          </w:tcPr>
          <w:p>
            <w:pPr>
              <w:spacing w:after="0"/>
            </w:pPr>
            <w:r>
              <w:rPr>
                <w:sz w:val="15"/>
              </w:rPr>
              <w:t>177.4</w:t>
            </w:r>
          </w:p>
        </w:tc>
        <w:tc>
          <w:tcPr>
            <w:tcW w:type="dxa" w:w="1296"/>
            <w:tcMar>
              <w:top w:w="80" w:type="dxa"/>
              <w:start w:w="80" w:type="dxa"/>
              <w:bottom w:w="80" w:type="dxa"/>
              <w:end w:w="80" w:type="dxa"/>
            </w:tcMar>
            <w:vAlign w:val="center"/>
            <w:shd w:fill="F7F9FB"/>
          </w:tcPr>
          <w:p>
            <w:pPr>
              <w:spacing w:after="0"/>
            </w:pPr>
            <w:r>
              <w:rPr>
                <w:sz w:val="15"/>
              </w:rPr>
              <w:t>6.78%</w:t>
            </w:r>
          </w:p>
        </w:tc>
        <w:tc>
          <w:tcPr>
            <w:tcW w:type="dxa" w:w="1224"/>
            <w:tcMar>
              <w:top w:w="80" w:type="dxa"/>
              <w:start w:w="80" w:type="dxa"/>
              <w:bottom w:w="80" w:type="dxa"/>
              <w:end w:w="80" w:type="dxa"/>
            </w:tcMar>
            <w:vAlign w:val="center"/>
            <w:shd w:fill="F7F9FB"/>
          </w:tcPr>
          <w:p>
            <w:pPr>
              <w:spacing w:after="0"/>
            </w:pPr>
            <w:r>
              <w:rPr>
                <w:sz w:val="15"/>
              </w:rPr>
              <w:t>-23.1</w:t>
            </w:r>
          </w:p>
        </w:tc>
        <w:tc>
          <w:tcPr>
            <w:tcW w:type="dxa" w:w="1224"/>
            <w:tcMar>
              <w:top w:w="80" w:type="dxa"/>
              <w:start w:w="80" w:type="dxa"/>
              <w:bottom w:w="80" w:type="dxa"/>
              <w:end w:w="80" w:type="dxa"/>
            </w:tcMar>
            <w:vAlign w:val="center"/>
            <w:shd w:fill="F7F9FB"/>
          </w:tcPr>
          <w:p>
            <w:pPr>
              <w:spacing w:after="0"/>
            </w:pPr>
            <w:r>
              <w:rPr>
                <w:sz w:val="15"/>
              </w:rPr>
              <w:t>94.4</w:t>
            </w:r>
          </w:p>
        </w:tc>
      </w:tr>
    </w:tbl>
    <w:p>
      <w:pPr>
        <w:spacing w:after="20"/>
      </w:pPr>
    </w:p>
    <w:p>
      <w:pPr>
        <w:spacing w:after="100"/>
      </w:pPr>
      <w:r>
        <w:t>The frozen forecast was matched to 3,765 actual half-hour intervals from 1–14 September 2026. These actuals were kept in a separate Stage 2 verification file and never entered training. Pooled MAE is 207.3 MW, pooled RMSE 313.3 MW and pooled sMAPE 7.91%.</w:t>
      </w:r>
    </w:p>
    <w:p>
      <w:pPr>
        <w:jc w:val="center"/>
      </w:pPr>
      <w:r>
        <w:drawing>
          <wp:inline xmlns:a="http://schemas.openxmlformats.org/drawingml/2006/main" xmlns:pic="http://schemas.openxmlformats.org/drawingml/2006/picture">
            <wp:extent cx="5577840" cy="2536884"/>
            <wp:docPr id="3" name="Picture 3"/>
            <wp:cNvGraphicFramePr>
              <a:graphicFrameLocks noChangeAspect="1"/>
            </wp:cNvGraphicFramePr>
            <a:graphic>
              <a:graphicData uri="http://schemas.openxmlformats.org/drawingml/2006/picture">
                <pic:pic>
                  <pic:nvPicPr>
                    <pic:cNvPr id="0" name="current_month_MAE.png"/>
                    <pic:cNvPicPr/>
                  </pic:nvPicPr>
                  <pic:blipFill>
                    <a:blip r:embed="rId13"/>
                    <a:stretch>
                      <a:fillRect/>
                    </a:stretch>
                  </pic:blipFill>
                  <pic:spPr>
                    <a:xfrm>
                      <a:off x="0" y="0"/>
                      <a:ext cx="5577840" cy="2536884"/>
                    </a:xfrm>
                    <a:prstGeom prst="rect"/>
                  </pic:spPr>
                </pic:pic>
              </a:graphicData>
            </a:graphic>
          </wp:inline>
        </w:drawing>
      </w:r>
    </w:p>
    <w:p>
      <w:pPr>
        <w:pStyle w:val="Caption"/>
        <w:jc w:val="center"/>
      </w:pPr>
      <w:r>
        <w:t>Figure 3. September 2026 MAE by region for the frozen forecast. The chart is verification evidence, not training feedback.</w:t>
      </w:r>
    </w:p>
    <w:p>
      <w:pPr>
        <w:pStyle w:val="Heading1"/>
      </w:pPr>
      <w:r>
        <w:t>6. Integrity findings</w:t>
      </w:r>
    </w:p>
    <w:tbl>
      <w:tblPr>
        <w:tblStyle w:val="TableGrid"/>
        <w:tblW w:type="auto" w:w="0"/>
        <w:jc w:val="center"/>
        <w:tblLayout w:type="fixed"/>
        <w:tblLook w:firstColumn="1" w:firstRow="1" w:lastColumn="0" w:lastRow="0" w:noHBand="0" w:noVBand="1" w:val="04A0"/>
      </w:tblPr>
      <w:tblGrid>
        <w:gridCol w:w="3374"/>
        <w:gridCol w:w="3374"/>
        <w:gridCol w:w="3374"/>
      </w:tblGrid>
      <w:tr>
        <w:trPr>
          <w:tblHeader w:val="true"/>
        </w:trPr>
        <w:tc>
          <w:tcPr>
            <w:tcW w:type="dxa" w:w="2592"/>
            <w:shd w:fill="17365D"/>
            <w:tcMar>
              <w:top w:w="80" w:type="dxa"/>
              <w:start w:w="80" w:type="dxa"/>
              <w:bottom w:w="80" w:type="dxa"/>
              <w:end w:w="80" w:type="dxa"/>
            </w:tcMar>
            <w:vAlign w:val="center"/>
          </w:tcPr>
          <w:p>
            <w:r>
              <w:rPr>
                <w:b/>
                <w:color w:val="FFFFFF"/>
                <w:sz w:val="16"/>
              </w:rPr>
              <w:t>Suite</w:t>
            </w:r>
          </w:p>
        </w:tc>
        <w:tc>
          <w:tcPr>
            <w:tcW w:type="dxa" w:w="2160"/>
            <w:shd w:fill="17365D"/>
            <w:tcMar>
              <w:top w:w="80" w:type="dxa"/>
              <w:start w:w="80" w:type="dxa"/>
              <w:bottom w:w="80" w:type="dxa"/>
              <w:end w:w="80" w:type="dxa"/>
            </w:tcMar>
            <w:vAlign w:val="center"/>
          </w:tcPr>
          <w:p>
            <w:r>
              <w:rPr>
                <w:b/>
                <w:color w:val="FFFFFF"/>
                <w:sz w:val="16"/>
              </w:rPr>
              <w:t>Result</w:t>
            </w:r>
          </w:p>
        </w:tc>
        <w:tc>
          <w:tcPr>
            <w:tcW w:type="dxa" w:w="5328"/>
            <w:shd w:fill="17365D"/>
            <w:tcMar>
              <w:top w:w="80" w:type="dxa"/>
              <w:start w:w="80" w:type="dxa"/>
              <w:bottom w:w="80" w:type="dxa"/>
              <w:end w:w="80" w:type="dxa"/>
            </w:tcMar>
            <w:vAlign w:val="center"/>
          </w:tcPr>
          <w:p>
            <w:r>
              <w:rPr>
                <w:b/>
                <w:color w:val="FFFFFF"/>
                <w:sz w:val="16"/>
              </w:rPr>
              <w:t>Interpretation</w:t>
            </w:r>
          </w:p>
        </w:tc>
      </w:tr>
      <w:tr>
        <w:tc>
          <w:tcPr>
            <w:tcW w:type="dxa" w:w="2592"/>
            <w:tcMar>
              <w:top w:w="80" w:type="dxa"/>
              <w:start w:w="80" w:type="dxa"/>
              <w:bottom w:w="80" w:type="dxa"/>
              <w:end w:w="80" w:type="dxa"/>
            </w:tcMar>
            <w:vAlign w:val="center"/>
          </w:tcPr>
          <w:p>
            <w:pPr>
              <w:spacing w:after="0"/>
            </w:pPr>
            <w:r>
              <w:rPr>
                <w:sz w:val="16"/>
              </w:rPr>
              <w:t>Feature safety</w:t>
            </w:r>
          </w:p>
        </w:tc>
        <w:tc>
          <w:tcPr>
            <w:tcW w:type="dxa" w:w="2160"/>
            <w:tcMar>
              <w:top w:w="80" w:type="dxa"/>
              <w:start w:w="80" w:type="dxa"/>
              <w:bottom w:w="80" w:type="dxa"/>
              <w:end w:w="80" w:type="dxa"/>
            </w:tcMar>
            <w:vAlign w:val="center"/>
          </w:tcPr>
          <w:p>
            <w:pPr>
              <w:spacing w:after="0"/>
            </w:pPr>
            <w:r>
              <w:rPr>
                <w:sz w:val="16"/>
              </w:rPr>
              <w:t>8/8 PASS</w:t>
            </w:r>
          </w:p>
        </w:tc>
        <w:tc>
          <w:tcPr>
            <w:tcW w:type="dxa" w:w="5328"/>
            <w:tcMar>
              <w:top w:w="80" w:type="dxa"/>
              <w:start w:w="80" w:type="dxa"/>
              <w:bottom w:w="80" w:type="dxa"/>
              <w:end w:w="80" w:type="dxa"/>
            </w:tcMar>
            <w:vAlign w:val="center"/>
          </w:tcPr>
          <w:p>
            <w:pPr>
              <w:spacing w:after="0"/>
            </w:pPr>
            <w:r>
              <w:rPr>
                <w:sz w:val="16"/>
              </w:rPr>
              <w:t>Feature contracts and cutoff are safe.</w:t>
            </w:r>
          </w:p>
        </w:tc>
      </w:tr>
      <w:tr>
        <w:tc>
          <w:tcPr>
            <w:tcW w:type="dxa" w:w="2592"/>
            <w:tcMar>
              <w:top w:w="80" w:type="dxa"/>
              <w:start w:w="80" w:type="dxa"/>
              <w:bottom w:w="80" w:type="dxa"/>
              <w:end w:w="80" w:type="dxa"/>
            </w:tcMar>
            <w:vAlign w:val="center"/>
            <w:shd w:fill="F7F9FB"/>
          </w:tcPr>
          <w:p>
            <w:pPr>
              <w:spacing w:after="0"/>
            </w:pPr>
            <w:r>
              <w:rPr>
                <w:sz w:val="16"/>
              </w:rPr>
              <w:t>Leakage tests</w:t>
            </w:r>
          </w:p>
        </w:tc>
        <w:tc>
          <w:tcPr>
            <w:tcW w:type="dxa" w:w="2160"/>
            <w:tcMar>
              <w:top w:w="80" w:type="dxa"/>
              <w:start w:w="80" w:type="dxa"/>
              <w:bottom w:w="80" w:type="dxa"/>
              <w:end w:w="80" w:type="dxa"/>
            </w:tcMar>
            <w:vAlign w:val="center"/>
            <w:shd w:fill="F7F9FB"/>
          </w:tcPr>
          <w:p>
            <w:pPr>
              <w:spacing w:after="0"/>
            </w:pPr>
            <w:r>
              <w:rPr>
                <w:sz w:val="16"/>
              </w:rPr>
              <w:t>78/78 PASS</w:t>
            </w:r>
          </w:p>
        </w:tc>
        <w:tc>
          <w:tcPr>
            <w:tcW w:type="dxa" w:w="5328"/>
            <w:tcMar>
              <w:top w:w="80" w:type="dxa"/>
              <w:start w:w="80" w:type="dxa"/>
              <w:bottom w:w="80" w:type="dxa"/>
              <w:end w:w="80" w:type="dxa"/>
            </w:tcMar>
            <w:vAlign w:val="center"/>
            <w:shd w:fill="F7F9FB"/>
          </w:tcPr>
          <w:p>
            <w:pPr>
              <w:spacing w:after="0"/>
            </w:pPr>
            <w:r>
              <w:rPr>
                <w:sz w:val="16"/>
              </w:rPr>
              <w:t>No detected future-actual leakage; recursive lag provenance is consistent.</w:t>
            </w:r>
          </w:p>
        </w:tc>
      </w:tr>
      <w:tr>
        <w:tc>
          <w:tcPr>
            <w:tcW w:type="dxa" w:w="2592"/>
            <w:tcMar>
              <w:top w:w="80" w:type="dxa"/>
              <w:start w:w="80" w:type="dxa"/>
              <w:bottom w:w="80" w:type="dxa"/>
              <w:end w:w="80" w:type="dxa"/>
            </w:tcMar>
            <w:vAlign w:val="center"/>
          </w:tcPr>
          <w:p>
            <w:pPr>
              <w:spacing w:after="0"/>
            </w:pPr>
            <w:r>
              <w:rPr>
                <w:sz w:val="16"/>
              </w:rPr>
              <w:t>Forecast integrity</w:t>
            </w:r>
          </w:p>
        </w:tc>
        <w:tc>
          <w:tcPr>
            <w:tcW w:type="dxa" w:w="2160"/>
            <w:tcMar>
              <w:top w:w="80" w:type="dxa"/>
              <w:start w:w="80" w:type="dxa"/>
              <w:bottom w:w="80" w:type="dxa"/>
              <w:end w:w="80" w:type="dxa"/>
            </w:tcMar>
            <w:vAlign w:val="center"/>
          </w:tcPr>
          <w:p>
            <w:pPr>
              <w:spacing w:after="0"/>
            </w:pPr>
            <w:r>
              <w:rPr>
                <w:sz w:val="16"/>
              </w:rPr>
              <w:t>110 PASS / 10 WARNING</w:t>
            </w:r>
          </w:p>
        </w:tc>
        <w:tc>
          <w:tcPr>
            <w:tcW w:type="dxa" w:w="5328"/>
            <w:tcMar>
              <w:top w:w="80" w:type="dxa"/>
              <w:start w:w="80" w:type="dxa"/>
              <w:bottom w:w="80" w:type="dxa"/>
              <w:end w:w="80" w:type="dxa"/>
            </w:tcMar>
            <w:vAlign w:val="center"/>
          </w:tcPr>
          <w:p>
            <w:pPr>
              <w:spacing w:after="0"/>
            </w:pPr>
            <w:r>
              <w:rPr>
                <w:sz w:val="16"/>
              </w:rPr>
              <w:t>No NaN/Inf/duplicate/frequency failures; NEM interval-label convention remains a visible warning.</w:t>
            </w:r>
          </w:p>
        </w:tc>
      </w:tr>
      <w:tr>
        <w:tc>
          <w:tcPr>
            <w:tcW w:type="dxa" w:w="2592"/>
            <w:tcMar>
              <w:top w:w="80" w:type="dxa"/>
              <w:start w:w="80" w:type="dxa"/>
              <w:bottom w:w="80" w:type="dxa"/>
              <w:end w:w="80" w:type="dxa"/>
            </w:tcMar>
            <w:vAlign w:val="center"/>
            <w:shd w:fill="F7F9FB"/>
          </w:tcPr>
          <w:p>
            <w:pPr>
              <w:spacing w:after="0"/>
            </w:pPr>
            <w:r>
              <w:rPr>
                <w:sz w:val="16"/>
              </w:rPr>
              <w:t>ZIP artefact verification</w:t>
            </w:r>
          </w:p>
        </w:tc>
        <w:tc>
          <w:tcPr>
            <w:tcW w:type="dxa" w:w="2160"/>
            <w:tcMar>
              <w:top w:w="80" w:type="dxa"/>
              <w:start w:w="80" w:type="dxa"/>
              <w:bottom w:w="80" w:type="dxa"/>
              <w:end w:w="80" w:type="dxa"/>
            </w:tcMar>
            <w:vAlign w:val="center"/>
            <w:shd w:fill="F7F9FB"/>
          </w:tcPr>
          <w:p>
            <w:pPr>
              <w:spacing w:after="0"/>
            </w:pPr>
            <w:r>
              <w:rPr>
                <w:sz w:val="16"/>
              </w:rPr>
              <w:t>41/41 PASS</w:t>
            </w:r>
          </w:p>
        </w:tc>
        <w:tc>
          <w:tcPr>
            <w:tcW w:type="dxa" w:w="5328"/>
            <w:tcMar>
              <w:top w:w="80" w:type="dxa"/>
              <w:start w:w="80" w:type="dxa"/>
              <w:bottom w:w="80" w:type="dxa"/>
              <w:end w:w="80" w:type="dxa"/>
            </w:tcMar>
            <w:vAlign w:val="center"/>
            <w:shd w:fill="F7F9FB"/>
          </w:tcPr>
          <w:p>
            <w:pPr>
              <w:spacing w:after="0"/>
            </w:pPr>
            <w:r>
              <w:rPr>
                <w:sz w:val="16"/>
              </w:rPr>
              <w:t>Required output files survive final packaging.</w:t>
            </w:r>
          </w:p>
        </w:tc>
      </w:tr>
    </w:tbl>
    <w:p>
      <w:pPr>
        <w:spacing w:after="20"/>
      </w:pPr>
    </w:p>
    <w:p>
      <w:pPr>
        <w:pStyle w:val="Heading1"/>
      </w:pPr>
      <w:r>
        <w:t>7. Team collaboration and handoff</w:t>
      </w:r>
    </w:p>
    <w:p>
      <w:pPr>
        <w:pStyle w:val="ListBullet"/>
        <w:spacing w:after="40"/>
      </w:pPr>
      <w:r>
        <w:t>Ashish supplies candidate backtests and selection outputs; Bishal applies the same metric rules rather than refitting or changing them.</w:t>
      </w:r>
    </w:p>
    <w:p>
      <w:pPr>
        <w:pStyle w:val="ListBullet"/>
        <w:spacing w:after="40"/>
      </w:pPr>
      <w:r>
        <w:t>Sudip’s AEMO/source classifications constrain what Bishal may call “accuracy”; Scheduled Demand comparisons remain divergence/consistency evidence.</w:t>
      </w:r>
    </w:p>
    <w:p>
      <w:pPr>
        <w:pStyle w:val="ListBullet"/>
        <w:spacing w:after="40"/>
      </w:pPr>
      <w:r>
        <w:t>Suraj supplies recursive lag provenance so Bishal can distinguish early history-supported predictions from later self-recursive forecasts.</w:t>
      </w:r>
    </w:p>
    <w:p>
      <w:pPr>
        <w:pStyle w:val="ListBullet"/>
        <w:spacing w:after="40"/>
      </w:pPr>
      <w:r>
        <w:t>The group reviews warnings rather than suppressing them for a cleaner result.</w:t>
      </w:r>
    </w:p>
    <w:p>
      <w:pPr>
        <w:pStyle w:val="Heading1"/>
      </w:pPr>
      <w:r>
        <w:t>8. Code and evidence artefacts</w:t>
      </w:r>
    </w:p>
    <w:tbl>
      <w:tblPr>
        <w:tblStyle w:val="TableGrid"/>
        <w:tblW w:type="auto" w:w="0"/>
        <w:jc w:val="center"/>
        <w:tblLayout w:type="fixed"/>
        <w:tblLook w:firstColumn="1" w:firstRow="1" w:lastColumn="0" w:lastRow="0" w:noHBand="0" w:noVBand="1" w:val="04A0"/>
      </w:tblPr>
      <w:tblGrid>
        <w:gridCol w:w="5061"/>
        <w:gridCol w:w="5061"/>
      </w:tblGrid>
      <w:tr>
        <w:trPr>
          <w:tblHeader w:val="true"/>
        </w:trPr>
        <w:tc>
          <w:tcPr>
            <w:tcW w:type="dxa" w:w="4320"/>
            <w:shd w:fill="17365D"/>
            <w:tcMar>
              <w:top w:w="80" w:type="dxa"/>
              <w:start w:w="80" w:type="dxa"/>
              <w:bottom w:w="80" w:type="dxa"/>
              <w:end w:w="80" w:type="dxa"/>
            </w:tcMar>
            <w:vAlign w:val="center"/>
          </w:tcPr>
          <w:p>
            <w:r>
              <w:rPr>
                <w:b/>
                <w:color w:val="FFFFFF"/>
                <w:sz w:val="16"/>
              </w:rPr>
              <w:t>Artefact</w:t>
            </w:r>
          </w:p>
        </w:tc>
        <w:tc>
          <w:tcPr>
            <w:tcW w:type="dxa" w:w="5760"/>
            <w:shd w:fill="17365D"/>
            <w:tcMar>
              <w:top w:w="80" w:type="dxa"/>
              <w:start w:w="80" w:type="dxa"/>
              <w:bottom w:w="80" w:type="dxa"/>
              <w:end w:w="80" w:type="dxa"/>
            </w:tcMar>
            <w:vAlign w:val="center"/>
          </w:tcPr>
          <w:p>
            <w:r>
              <w:rPr>
                <w:b/>
                <w:color w:val="FFFFFF"/>
                <w:sz w:val="16"/>
              </w:rPr>
              <w:t>Contribution evidence</w:t>
            </w:r>
          </w:p>
        </w:tc>
      </w:tr>
      <w:tr>
        <w:tc>
          <w:tcPr>
            <w:tcW w:type="dxa" w:w="4320"/>
            <w:tcMar>
              <w:top w:w="80" w:type="dxa"/>
              <w:start w:w="80" w:type="dxa"/>
              <w:bottom w:w="80" w:type="dxa"/>
              <w:end w:w="80" w:type="dxa"/>
            </w:tcMar>
            <w:vAlign w:val="center"/>
          </w:tcPr>
          <w:p>
            <w:pPr>
              <w:spacing w:after="0"/>
            </w:pPr>
            <w:r>
              <w:rPr>
                <w:sz w:val="16"/>
              </w:rPr>
              <w:t>01_Bishal_Dahal_Baselines_Metrics_Verification.py</w:t>
            </w:r>
          </w:p>
        </w:tc>
        <w:tc>
          <w:tcPr>
            <w:tcW w:type="dxa" w:w="5760"/>
            <w:tcMar>
              <w:top w:w="80" w:type="dxa"/>
              <w:start w:w="80" w:type="dxa"/>
              <w:bottom w:w="80" w:type="dxa"/>
              <w:end w:w="80" w:type="dxa"/>
            </w:tcMar>
            <w:vAlign w:val="center"/>
          </w:tcPr>
          <w:p>
            <w:pPr>
              <w:spacing w:after="0"/>
            </w:pPr>
            <w:r>
              <w:rPr>
                <w:sz w:val="16"/>
              </w:rPr>
              <w:t>Feature gate, Naive48/Naive336, metric definitions, skill calculation, exact-timestamp verification and integrity checks.</w:t>
            </w:r>
          </w:p>
        </w:tc>
      </w:tr>
      <w:tr>
        <w:tc>
          <w:tcPr>
            <w:tcW w:type="dxa" w:w="4320"/>
            <w:tcMar>
              <w:top w:w="80" w:type="dxa"/>
              <w:start w:w="80" w:type="dxa"/>
              <w:bottom w:w="80" w:type="dxa"/>
              <w:end w:w="80" w:type="dxa"/>
            </w:tcMar>
            <w:vAlign w:val="center"/>
            <w:shd w:fill="F7F9FB"/>
          </w:tcPr>
          <w:p>
            <w:pPr>
              <w:spacing w:after="0"/>
            </w:pPr>
            <w:r>
              <w:rPr>
                <w:sz w:val="16"/>
              </w:rPr>
              <w:t>validation/feature_safety_audit.csv</w:t>
            </w:r>
          </w:p>
        </w:tc>
        <w:tc>
          <w:tcPr>
            <w:tcW w:type="dxa" w:w="5760"/>
            <w:tcMar>
              <w:top w:w="80" w:type="dxa"/>
              <w:start w:w="80" w:type="dxa"/>
              <w:bottom w:w="80" w:type="dxa"/>
              <w:end w:w="80" w:type="dxa"/>
            </w:tcMar>
            <w:vAlign w:val="center"/>
            <w:shd w:fill="F7F9FB"/>
          </w:tcPr>
          <w:p>
            <w:pPr>
              <w:spacing w:after="0"/>
            </w:pPr>
            <w:r>
              <w:rPr>
                <w:sz w:val="16"/>
              </w:rPr>
              <w:t>Eight pre-modelling safety checks.</w:t>
            </w:r>
          </w:p>
        </w:tc>
      </w:tr>
      <w:tr>
        <w:tc>
          <w:tcPr>
            <w:tcW w:type="dxa" w:w="4320"/>
            <w:tcMar>
              <w:top w:w="80" w:type="dxa"/>
              <w:start w:w="80" w:type="dxa"/>
              <w:bottom w:w="80" w:type="dxa"/>
              <w:end w:w="80" w:type="dxa"/>
            </w:tcMar>
            <w:vAlign w:val="center"/>
          </w:tcPr>
          <w:p>
            <w:pPr>
              <w:spacing w:after="0"/>
            </w:pPr>
            <w:r>
              <w:rPr>
                <w:sz w:val="16"/>
              </w:rPr>
              <w:t>validation/current_month_verification_summary.csv</w:t>
            </w:r>
          </w:p>
        </w:tc>
        <w:tc>
          <w:tcPr>
            <w:tcW w:type="dxa" w:w="5760"/>
            <w:tcMar>
              <w:top w:w="80" w:type="dxa"/>
              <w:start w:w="80" w:type="dxa"/>
              <w:bottom w:w="80" w:type="dxa"/>
              <w:end w:w="80" w:type="dxa"/>
            </w:tcMar>
            <w:vAlign w:val="center"/>
          </w:tcPr>
          <w:p>
            <w:pPr>
              <w:spacing w:after="0"/>
            </w:pPr>
            <w:r>
              <w:rPr>
                <w:sz w:val="16"/>
              </w:rPr>
              <w:t>Independent September regional metrics.</w:t>
            </w:r>
          </w:p>
        </w:tc>
      </w:tr>
      <w:tr>
        <w:tc>
          <w:tcPr>
            <w:tcW w:type="dxa" w:w="4320"/>
            <w:tcMar>
              <w:top w:w="80" w:type="dxa"/>
              <w:start w:w="80" w:type="dxa"/>
              <w:bottom w:w="80" w:type="dxa"/>
              <w:end w:w="80" w:type="dxa"/>
            </w:tcMar>
            <w:vAlign w:val="center"/>
            <w:shd w:fill="F7F9FB"/>
          </w:tcPr>
          <w:p>
            <w:pPr>
              <w:spacing w:after="0"/>
            </w:pPr>
            <w:r>
              <w:rPr>
                <w:sz w:val="16"/>
              </w:rPr>
              <w:t>validation/leakage_tests.csv</w:t>
            </w:r>
          </w:p>
        </w:tc>
        <w:tc>
          <w:tcPr>
            <w:tcW w:type="dxa" w:w="5760"/>
            <w:tcMar>
              <w:top w:w="80" w:type="dxa"/>
              <w:start w:w="80" w:type="dxa"/>
              <w:bottom w:w="80" w:type="dxa"/>
              <w:end w:w="80" w:type="dxa"/>
            </w:tcMar>
            <w:vAlign w:val="center"/>
            <w:shd w:fill="F7F9FB"/>
          </w:tcPr>
          <w:p>
            <w:pPr>
              <w:spacing w:after="0"/>
            </w:pPr>
            <w:r>
              <w:rPr>
                <w:sz w:val="16"/>
              </w:rPr>
              <w:t>78 explicit leakage checks.</w:t>
            </w:r>
          </w:p>
        </w:tc>
      </w:tr>
      <w:tr>
        <w:tc>
          <w:tcPr>
            <w:tcW w:type="dxa" w:w="4320"/>
            <w:tcMar>
              <w:top w:w="80" w:type="dxa"/>
              <w:start w:w="80" w:type="dxa"/>
              <w:bottom w:w="80" w:type="dxa"/>
              <w:end w:w="80" w:type="dxa"/>
            </w:tcMar>
            <w:vAlign w:val="center"/>
          </w:tcPr>
          <w:p>
            <w:pPr>
              <w:spacing w:after="0"/>
            </w:pPr>
            <w:r>
              <w:rPr>
                <w:sz w:val="16"/>
              </w:rPr>
              <w:t>validation/forecast_integrity_checks.csv</w:t>
            </w:r>
          </w:p>
        </w:tc>
        <w:tc>
          <w:tcPr>
            <w:tcW w:type="dxa" w:w="5760"/>
            <w:tcMar>
              <w:top w:w="80" w:type="dxa"/>
              <w:start w:w="80" w:type="dxa"/>
              <w:bottom w:w="80" w:type="dxa"/>
              <w:end w:w="80" w:type="dxa"/>
            </w:tcMar>
            <w:vAlign w:val="center"/>
          </w:tcPr>
          <w:p>
            <w:pPr>
              <w:spacing w:after="0"/>
            </w:pPr>
            <w:r>
              <w:rPr>
                <w:sz w:val="16"/>
              </w:rPr>
              <w:t>Structural acceptance/warning evidence.</w:t>
            </w:r>
          </w:p>
        </w:tc>
      </w:tr>
    </w:tbl>
    <w:p>
      <w:pPr>
        <w:spacing w:after="20"/>
      </w:pPr>
    </w:p>
    <w:p>
      <w:pPr>
        <w:pStyle w:val="Heading1"/>
      </w:pPr>
      <w:r>
        <w:t>9. Professional reflection</w:t>
      </w:r>
    </w:p>
    <w:p>
      <w:pPr>
        <w:spacing w:after="100"/>
      </w:pPr>
      <w:r>
        <w:t>WP3 showed that verification is not a final cosmetic step. The naive baselines make sure complex models earn their complexity, Bias exposes systematic direction that MAE can hide, and the integrity suite exposes a timestamp-labelling warning even though the numerical forecast still looks plausible. The next verification layer should add uncertainty and continued month-by-month monitoring so the dashboard communicates both expected demand and how much confidence users should place in it.</w:t>
      </w:r>
    </w:p>
    <w:sectPr w:rsidR="00FC693F" w:rsidRPr="0006063C" w:rsidSect="00034616">
      <w:headerReference w:type="default" r:id="rId9"/>
      <w:footerReference w:type="default" r:id="rId10"/>
      <w:pgSz w:w="11909" w:h="16834"/>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Page </w:t>
    </w:r>
    <w:fldSimple w:instr="PAGE"/>
    <w:r>
      <w:rPr>
        <w:color w:val="646464"/>
        <w:sz w:val="16"/>
      </w:rPr>
      <w:t xml:space="preserve">  |  PRT661 Dan6 — WP3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PRT661 – Data Science Practice  |  Australian Electricity Demand Forecasting  |  WP3 — Bishal Dahal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0F76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Aptos" w:hAnsi="Aptos"/>
      <w:b/>
      <w:bCs/>
      <w:i/>
      <w:color w:val="50505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