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B7280"/>
          <w:sz w:val="18"/>
          <w:szCs w:val="18"/>
        </w:rPr>
        <w:t xml:space="preserve">PRT661 – Data Science Practice  |  Australian Electricity Demand Forecasting  |  WP4</w:t>
      </w:r>
    </w:p>
    <w:p>
      <w:pPr>
        <w:spacing w:after="60"/>
      </w:pPr>
      <w:r>
        <w:rPr>
          <w:b/>
          <w:bCs/>
          <w:color w:val="0E3A5F"/>
          <w:sz w:val="36"/>
          <w:szCs w:val="36"/>
        </w:rPr>
        <w:t xml:space="preserve">Sudip Lamichhane — WP4 Individual Contribution &amp; Progress Report</w:t>
      </w:r>
    </w:p>
    <w:p>
      <w:pPr>
        <w:pBdr>
          <w:bottom w:val="single" w:color="1D4ED8" w:sz="10" w:space="6"/>
        </w:pBdr>
        <w:spacing w:after="200"/>
      </w:pPr>
      <w:r>
        <w:rPr>
          <w:i/>
          <w:iCs/>
          <w:color w:val="1D4ED8"/>
          <w:sz w:val="20"/>
          <w:szCs w:val="20"/>
        </w:rPr>
        <w:t xml:space="preserve">Dan6 Theme 2 (Group 2)  |  Final modelling analysis, deep-learning evaluation and production model selection</w:t>
      </w:r>
    </w:p>
    <w:p>
      <w:pPr>
        <w:keepNext/>
        <w:spacing w:after="60" w:before="120"/>
      </w:pPr>
      <w:r>
        <w:rPr>
          <w:b/>
          <w:bCs/>
          <w:color w:val="0E3A5F"/>
          <w:sz w:val="18"/>
          <w:szCs w:val="18"/>
        </w:rPr>
        <w:t xml:space="preserve">Table 1. </w:t>
      </w:r>
      <w:r>
        <w:rPr>
          <w:color w:val="0E3A5F"/>
          <w:sz w:val="18"/>
          <w:szCs w:val="18"/>
        </w:rPr>
        <w:t xml:space="preserve">Student and WP4 role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1060"/>
        <w:gridCol w:w="3180"/>
        <w:gridCol w:w="3664"/>
      </w:tblGrid>
      <w:tr>
        <w:trPr>
          <w:tblHeader/>
        </w:trPr>
        <w:tc>
          <w:tcPr>
            <w:tcW w:type="dxa" w:w="173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Student</w:t>
            </w:r>
          </w:p>
        </w:tc>
        <w:tc>
          <w:tcPr>
            <w:tcW w:type="dxa" w:w="106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8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WP4 role</w:t>
            </w:r>
          </w:p>
        </w:tc>
        <w:tc>
          <w:tcPr>
            <w:tcW w:type="dxa" w:w="366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Workstream / pair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Sudip Lamichhane</w:t>
            </w:r>
          </w:p>
        </w:tc>
        <w:tc>
          <w:tcPr>
            <w:tcW w:type="dxa" w:w="106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S388085</w:t>
            </w:r>
          </w:p>
        </w:tc>
        <w:tc>
          <w:tcPr>
            <w:tcW w:type="dxa" w:w="318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GRU training controls, temporal information boundaries and provenance</w:t>
            </w:r>
          </w:p>
        </w:tc>
        <w:tc>
          <w:tcPr>
            <w:tcW w:type="dxa" w:w="366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GRU pair with Suraj Raut (sequence / recursion); primary for leakage review; co-owner of production hand-off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3A5F"/>
                <w:sz w:val="20"/>
                <w:szCs w:val="20"/>
              </w:rPr>
              <w:t xml:space="preserve">Evidence note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Numerical statements in this report come from the full academic run of Energy_Demand_Forecasting_Pipeline.py v4.0.0 (EnergyForecast_Run_20260929_145931, 426.7 minutes, status COMPLETE). Methodology statements refer to the same pipeline version.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The WP4 module attributed to Sudip is a current role-aligned collaboration artefact prepared from the team's integrated implementation for genuine branch-based review and merging. It does not claim or back-date earlier authorship. At the date of this report the module has been prepared and verified against the pipeline; the GitHub issue, branch, pull request and review described below are the next collaboration step and have not yet been created. Earlier-stage contributions follow the role boundaries recorded in the WP3 documents and the Meeting 6 minutes.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Allocated WP4 responsibility</w:t>
      </w:r>
    </w:p>
    <w:p>
      <w:pPr>
        <w:spacing w:after="120" w:line="276"/>
        <w:jc w:val="both"/>
      </w:pPr>
      <w:r>
        <w:t xml:space="preserve">Sudip's WP4 responsibility is how the GRU is trained and what it is allowed to know. In earlier stages he owned the WA/WEM acquisition path, source quality and provenance, SARIMA/SARIMAX and weather-vintage governance; WP4 carries that provenance focus into the neural model. The scope covers the GRU architecture, TensorFlow training controls, deterministic seeds, target and feature scaling, the validation period, weather/context provenance, information-boundary validation, convergence and failure capture, and the learning-history output. He also leads the leakage and information-boundary review for the whole WP4 module set.</w:t>
      </w:r>
    </w:p>
    <w:p>
      <w:pPr>
        <w:pStyle w:val="Heading1"/>
      </w:pPr>
      <w:r>
        <w:t xml:space="preserve">2. Training and boundary controls</w:t>
      </w:r>
    </w:p>
    <w:p>
      <w:pPr>
        <w:keepNext/>
        <w:spacing w:after="60" w:before="120"/>
      </w:pPr>
      <w:r>
        <w:rPr>
          <w:b/>
          <w:bCs/>
          <w:color w:val="0E3A5F"/>
          <w:sz w:val="18"/>
          <w:szCs w:val="18"/>
        </w:rPr>
        <w:t xml:space="preserve">Table 2. </w:t>
      </w:r>
      <w:r>
        <w:rPr>
          <w:color w:val="0E3A5F"/>
          <w:sz w:val="18"/>
          <w:szCs w:val="18"/>
        </w:rPr>
        <w:t xml:space="preserve">GRU training and information-boundary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5011"/>
        <w:gridCol w:w="2893"/>
      </w:tblGrid>
      <w:tr>
        <w:trPr>
          <w:tblHeader/>
        </w:trPr>
        <w:tc>
          <w:tcPr>
            <w:tcW w:type="dxa" w:w="173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5011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 in pipeline v4.0.0</w:t>
            </w:r>
          </w:p>
        </w:tc>
        <w:tc>
          <w:tcPr>
            <w:tcW w:type="dxa" w:w="2893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prevents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5011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GRU(64) encoder → Dropout 0.2 → repeated for 48 steps + 41 known-future features → Dense 64 ReLU → Dense 1 per step; 20,673 parameters</w:t>
            </w:r>
          </w:p>
        </w:tc>
        <w:tc>
          <w:tcPr>
            <w:tcW w:type="dxa" w:w="2893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Loss / optimiser</w:t>
            </w:r>
          </w:p>
        </w:tc>
        <w:tc>
          <w:tcPr>
            <w:tcW w:type="dxa" w:w="5011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Huber (δ = 0.5), Adam 1e-3, batch 128</w:t>
            </w:r>
          </w:p>
        </w:tc>
        <w:tc>
          <w:tcPr>
            <w:tcW w:type="dxa" w:w="2893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Large misses dominating training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Validation period</w:t>
            </w:r>
          </w:p>
        </w:tc>
        <w:tc>
          <w:tcPr>
            <w:tcW w:type="dxa" w:w="5011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Sequences starting in the last 56 days before the origin; training sequences must end before that block</w:t>
            </w:r>
          </w:p>
        </w:tc>
        <w:tc>
          <w:tcPr>
            <w:tcW w:type="dxa" w:w="2893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Straddling sequences; tuning on the horizon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Early stopping / LR</w:t>
            </w:r>
          </w:p>
        </w:tc>
        <w:tc>
          <w:tcPr>
            <w:tcW w:type="dxa" w:w="5011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EarlyStopping (patience 6, best weights), ReduceLROnPlateau, 30-epoch budget</w:t>
            </w:r>
          </w:p>
        </w:tc>
        <w:tc>
          <w:tcPr>
            <w:tcW w:type="dxa" w:w="2893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Over-training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Refit</w:t>
            </w:r>
          </w:p>
        </w:tc>
        <w:tc>
          <w:tcPr>
            <w:tcW w:type="dxa" w:w="5011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All pre-origin sequences for the best epoch count, replaying the LR path</w:t>
            </w:r>
          </w:p>
        </w:tc>
        <w:tc>
          <w:tcPr>
            <w:tcW w:type="dxa" w:w="2893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Losing the final eight weeks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Scaling</w:t>
            </w:r>
          </w:p>
        </w:tc>
        <w:tc>
          <w:tcPr>
            <w:tcW w:type="dxa" w:w="5011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Target and decoder scalers fitted before the training limit only</w:t>
            </w:r>
          </w:p>
        </w:tc>
        <w:tc>
          <w:tcPr>
            <w:tcW w:type="dxa" w:w="2893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Scaler statistics from the future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Seeds</w:t>
            </w:r>
          </w:p>
        </w:tc>
        <w:tc>
          <w:tcPr>
            <w:tcW w:type="dxa" w:w="5011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stable_seed(region, model, origin); TF deterministic ops</w:t>
            </w:r>
          </w:p>
        </w:tc>
        <w:tc>
          <w:tcPr>
            <w:tcW w:type="dxa" w:w="2893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Irreproducible runs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Weather provenance</w:t>
            </w:r>
          </w:p>
        </w:tc>
        <w:tc>
          <w:tcPr>
            <w:tcW w:type="dxa" w:w="5011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Horizon rows carry BACKTEST_CLIMATOLOGY with information origin = forecast origin</w:t>
            </w:r>
          </w:p>
        </w:tc>
        <w:tc>
          <w:tcPr>
            <w:tcW w:type="dxa" w:w="2893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Realised weather entering a backtest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Training and provenance evidence from the final run</w:t>
      </w:r>
    </w:p>
    <w:p>
      <w:pPr>
        <w:keepNext/>
        <w:spacing w:after="60" w:before="120"/>
      </w:pPr>
      <w:r>
        <w:rPr>
          <w:b/>
          <w:bCs/>
          <w:color w:val="0E3A5F"/>
          <w:sz w:val="18"/>
          <w:szCs w:val="18"/>
        </w:rPr>
        <w:t xml:space="preserve">Table 3. </w:t>
      </w:r>
      <w:r>
        <w:rPr>
          <w:color w:val="0E3A5F"/>
          <w:sz w:val="18"/>
          <w:szCs w:val="18"/>
        </w:rPr>
        <w:t xml:space="preserve">GRU training and provenance evidence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4819"/>
        <w:gridCol w:w="2314"/>
      </w:tblGrid>
      <w:tr>
        <w:trPr>
          <w:tblHeader/>
        </w:trPr>
        <w:tc>
          <w:tcPr>
            <w:tcW w:type="dxa" w:w="2505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81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231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GRU runs completed</w:t>
            </w:r>
          </w:p>
        </w:tc>
        <w:tc>
          <w:tcPr>
            <w:tcW w:type="dxa" w:w="481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24 of 24 region-origins (warnings only in 2022)</w:t>
            </w:r>
          </w:p>
        </w:tc>
        <w:tc>
          <w:tcPr>
            <w:tcW w:type="dxa" w:w="231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model_comparison_by_year.csv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Best epoch</w:t>
            </w:r>
          </w:p>
        </w:tc>
        <w:tc>
          <w:tcPr>
            <w:tcW w:type="dxa" w:w="481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mean 22.6 of 30; 14 of 24 fits reached the 30-epoch limit (GRU_L672: 17 of 24)</w:t>
            </w:r>
          </w:p>
        </w:tc>
        <w:tc>
          <w:tcPr>
            <w:tcW w:type="dxa" w:w="231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neural_training_history.csv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Learning-rate reductions</w:t>
            </w:r>
          </w:p>
        </w:tc>
        <w:tc>
          <w:tcPr>
            <w:tcW w:type="dxa" w:w="481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triggered in 20 of 24 GRU fits</w:t>
            </w:r>
          </w:p>
        </w:tc>
        <w:tc>
          <w:tcPr>
            <w:tcW w:type="dxa" w:w="231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neural_training_history.csv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Training time</w:t>
            </w:r>
          </w:p>
        </w:tc>
        <w:tc>
          <w:tcPr>
            <w:tcW w:type="dxa" w:w="481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mean 261 s fit per run (GRU_L672 627 s) vs about 4–5 s for Random Forest fit</w:t>
            </w:r>
          </w:p>
        </w:tc>
        <w:tc>
          <w:tcPr>
            <w:tcW w:type="dxa" w:w="231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computational_cost.csv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Leakage audit</w:t>
            </w:r>
          </w:p>
        </w:tc>
        <w:tc>
          <w:tcPr>
            <w:tcW w:type="dxa" w:w="481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9 PASS + 5 DESIGN_CONTROL (incl. GRU sequence boundary: DESIGN_CONTROL + RUNTIME_ASSERT)</w:t>
            </w:r>
          </w:p>
        </w:tc>
        <w:tc>
          <w:tcPr>
            <w:tcW w:type="dxa" w:w="231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leakage_audit.csv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Balance point</w:t>
            </w:r>
          </w:p>
        </w:tc>
        <w:tc>
          <w:tcPr>
            <w:tcW w:type="dxa" w:w="481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Re-derived per origin: 18 full searches + 6 short-history estimates (2022); 16.5–19.5 °C</w:t>
            </w:r>
          </w:p>
        </w:tc>
        <w:tc>
          <w:tcPr>
            <w:tcW w:type="dxa" w:w="231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origin_feature_rebuild_checks.csv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Statistical models (earlier role)</w:t>
            </w:r>
          </w:p>
        </w:tc>
        <w:tc>
          <w:tcPr>
            <w:tcW w:type="dxa" w:w="481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SARIMAX 14 failed runs (12 divergence-guard, 2 exogenous NaN in 2022); SARIMA 3 non-convergence warnings</w:t>
            </w:r>
          </w:p>
        </w:tc>
        <w:tc>
          <w:tcPr>
            <w:tcW w:type="dxa" w:w="2314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model_failures.csv</w:t>
            </w:r>
          </w:p>
        </w:tc>
      </w:tr>
    </w:tbl>
    <w:p>
      <w:pPr>
        <w:spacing w:after="100"/>
      </w:pPr>
    </w:p>
    <w:p>
      <w:pPr>
        <w:keepNext/>
        <w:spacing w:before="100"/>
        <w:jc w:val="center"/>
      </w:pPr>
      <w:r>
        <w:drawing>
          <wp:inline distT="0" distB="0" distL="0" distR="0">
            <wp:extent cx="5762625" cy="2867025"/>
            <wp:effectExtent t="0" r="0" b="0" l="0"/>
            <wp:docPr id="1" name="fig1" descr="GRU training vs validation loss per region and origin (validation = eight weeks before each origin)." title="GRU training vs validation loss per region and origin (validation = eight weeks before each origi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/>
          <w:bCs/>
          <w:color w:val="0E3A5F"/>
          <w:sz w:val="18"/>
          <w:szCs w:val="18"/>
        </w:rPr>
        <w:t xml:space="preserve">Figure 1. </w:t>
      </w:r>
      <w:r>
        <w:rPr>
          <w:i/>
          <w:iCs/>
          <w:color w:val="374151"/>
          <w:sz w:val="18"/>
          <w:szCs w:val="18"/>
        </w:rPr>
        <w:t xml:space="preserve">GRU training vs validation loss per region and origin (validation = eight weeks before each origin).</w:t>
      </w:r>
    </w:p>
    <w:p>
      <w:pPr>
        <w:spacing w:after="120" w:line="276"/>
        <w:jc w:val="both"/>
      </w:pPr>
      <w:r>
        <w:t xml:space="preserve">The curves show a GRU that is still improving slowly when the 30-epoch budget ends, but with validation loss almost flat over the last ten epochs. A longer budget would probably help a little, at a cost already about 25 times that of a Random Forest run; the GRU finished 3.2–26.4% worse than the previous champion in every region, so the budget is unlikely to change the decision. One VIC1 2025 fit selected epoch 1, a reminder that an eight-week validation block is a noisy guide.</w:t>
      </w:r>
    </w:p>
    <w:p>
      <w:pPr>
        <w:spacing w:after="120" w:line="276"/>
        <w:jc w:val="both"/>
      </w:pPr>
      <w:r>
        <w:t xml:space="preserve">Weather provenance matters directly for Sudip's area. Every backtest used origin-safe climatology on the horizon, so the weather ablation measures realistic value: weather-context features added error in the first week (about +6%) and reduced it from Days 8–30 onward (about −10%), with the largest benefit in WA.</w:t>
      </w:r>
    </w:p>
    <w:p>
      <w:pPr>
        <w:keepNext/>
        <w:spacing w:before="100"/>
        <w:jc w:val="center"/>
      </w:pPr>
      <w:r>
        <w:drawing>
          <wp:inline distT="0" distB="0" distL="0" distR="0">
            <wp:extent cx="5581650" cy="2771775"/>
            <wp:effectExtent t="0" r="0" b="0" l="0"/>
            <wp:docPr id="1" name="fig2" descr="Weather ablation (XGBoost A vs A + core weather vs B) by lead band and region." title="Weather ablation (XGBoost A vs A + core weather vs B) by lead band and reg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/>
          <w:bCs/>
          <w:color w:val="0E3A5F"/>
          <w:sz w:val="18"/>
          <w:szCs w:val="18"/>
        </w:rPr>
        <w:t xml:space="preserve">Figure 2. </w:t>
      </w:r>
      <w:r>
        <w:rPr>
          <w:i/>
          <w:iCs/>
          <w:color w:val="374151"/>
          <w:sz w:val="18"/>
          <w:szCs w:val="18"/>
        </w:rPr>
        <w:t xml:space="preserve">Weather ablation (XGBoost A vs A + core weather vs B) by lead band and region.</w:t>
      </w:r>
    </w:p>
    <w:p>
      <w:pPr>
        <w:pStyle w:val="Heading1"/>
      </w:pPr>
      <w:r>
        <w:t xml:space="preserve">4. WP4 module delivered</w:t>
      </w:r>
    </w:p>
    <w:p>
      <w:pPr>
        <w:keepNext/>
        <w:spacing w:after="60" w:before="120"/>
      </w:pPr>
      <w:r>
        <w:rPr>
          <w:b/>
          <w:bCs/>
          <w:color w:val="0E3A5F"/>
          <w:sz w:val="18"/>
          <w:szCs w:val="18"/>
        </w:rPr>
        <w:t xml:space="preserve">Table 4. </w:t>
      </w:r>
      <w:r>
        <w:rPr>
          <w:color w:val="0E3A5F"/>
          <w:sz w:val="18"/>
          <w:szCs w:val="18"/>
        </w:rPr>
        <w:t xml:space="preserve">Module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518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File</w:t>
            </w:r>
          </w:p>
        </w:tc>
        <w:tc>
          <w:tcPr>
            <w:tcW w:type="dxa" w:w="7518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Individual_Code/WP4_Sudip_GRU_Training_Provenance.py (with shared wp4_contracts.py)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Main functions</w:t>
            </w:r>
          </w:p>
        </w:tc>
        <w:tc>
          <w:tcPr>
            <w:tcW w:type="dxa" w:w="7518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gru_parameters(), build_gru_network(), split_train_validation(), fit_gru_scalers(), train_gru(), refit_gru(), learning_history(), convergence_flags(), capture_failure(), validate_weather_provenance(), validate_information_boundary()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Contract objects</w:t>
            </w:r>
          </w:p>
        </w:tc>
        <w:tc>
          <w:tcPr>
            <w:tcW w:type="dxa" w:w="7518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SequenceBatch (from Suraj), NeuralScalerBundle, TrainingHistory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Integration target</w:t>
            </w:r>
          </w:p>
        </w:tc>
        <w:tc>
          <w:tcPr>
            <w:tcW w:type="dxa" w:w="7518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Section S (_build_gru and training half of run_gru()), Section P (callbacks), _leakage_audit() in Section 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Equivalence result</w:t>
            </w:r>
          </w:p>
        </w:tc>
        <w:tc>
          <w:tcPr>
            <w:tcW w:type="dxa" w:w="7518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12/12 checks pass: parameters; 56-day validation without straddling; scalers fitted before the limit; provenance and boundary checks pass on clean data and catch a planted target leak; parameter counts equal for L = 336/672 and quick mode; identical seed gives identical trained weights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Collaboration, review and next steps</w:t>
      </w:r>
    </w:p>
    <w:p>
      <w:pPr>
        <w:keepNext/>
        <w:spacing w:after="60" w:before="120"/>
      </w:pPr>
      <w:r>
        <w:rPr>
          <w:b/>
          <w:bCs/>
          <w:color w:val="0E3A5F"/>
          <w:sz w:val="18"/>
          <w:szCs w:val="18"/>
        </w:rPr>
        <w:t xml:space="preserve">Table 5. </w:t>
      </w:r>
      <w:r>
        <w:rPr>
          <w:color w:val="0E3A5F"/>
          <w:sz w:val="18"/>
          <w:szCs w:val="18"/>
        </w:rPr>
        <w:t xml:space="preserve">Issues from GitHub_Issues/ (package numbers)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4047"/>
        <w:gridCol w:w="2120"/>
        <w:gridCol w:w="2219"/>
      </w:tblGrid>
      <w:tr>
        <w:trPr>
          <w:tblHeader/>
        </w:trPr>
        <w:tc>
          <w:tcPr>
            <w:tcW w:type="dxa" w:w="1252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Package issue</w:t>
            </w:r>
          </w:p>
        </w:tc>
        <w:tc>
          <w:tcPr>
            <w:tcW w:type="dxa" w:w="4047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12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Sudip's role</w:t>
            </w:r>
          </w:p>
        </w:tc>
        <w:tc>
          <w:tcPr>
            <w:tcW w:type="dxa" w:w="221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0E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Branch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05</w:t>
            </w:r>
          </w:p>
        </w:tc>
        <w:tc>
          <w:tcPr>
            <w:tcW w:type="dxa" w:w="4047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GRU training and provenance safeguards</w:t>
            </w:r>
          </w:p>
        </w:tc>
        <w:tc>
          <w:tcPr>
            <w:tcW w:type="dxa" w:w="212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Owner (Suraj reviews)</w:t>
            </w:r>
          </w:p>
        </w:tc>
        <w:tc>
          <w:tcPr>
            <w:tcW w:type="dxa" w:w="221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wp4/sudip-gru-training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06</w:t>
            </w:r>
          </w:p>
        </w:tc>
        <w:tc>
          <w:tcPr>
            <w:tcW w:type="dxa" w:w="4047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GRU pair integration review</w:t>
            </w:r>
          </w:p>
        </w:tc>
        <w:tc>
          <w:tcPr>
            <w:tcW w:type="dxa" w:w="212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Co-owner with Suraj</w:t>
            </w:r>
          </w:p>
        </w:tc>
        <w:tc>
          <w:tcPr>
            <w:tcW w:type="dxa" w:w="221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review only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08</w:t>
            </w:r>
          </w:p>
        </w:tc>
        <w:tc>
          <w:tcPr>
            <w:tcW w:type="dxa" w:w="4047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Leakage / information-boundary review</w:t>
            </w:r>
          </w:p>
        </w:tc>
        <w:tc>
          <w:tcPr>
            <w:tcW w:type="dxa" w:w="212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Primary (Suraj reviews)</w:t>
            </w:r>
          </w:p>
        </w:tc>
        <w:tc>
          <w:tcPr>
            <w:tcW w:type="dxa" w:w="221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follow-up on own branch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12</w:t>
            </w:r>
          </w:p>
        </w:tc>
        <w:tc>
          <w:tcPr>
            <w:tcW w:type="dxa" w:w="4047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Production model hand-off specification</w:t>
            </w:r>
          </w:p>
        </w:tc>
        <w:tc>
          <w:tcPr>
            <w:tcW w:type="dxa" w:w="212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Co-primary with Suraj</w:t>
            </w:r>
          </w:p>
        </w:tc>
        <w:tc>
          <w:tcPr>
            <w:tcW w:type="dxa" w:w="221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wp4/production-handoff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Map each DESIGN_CONTROL row of leakage_audit.csv to a named executable check (Issue 08; draft mapping in WP4_Code_Traceability.md).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Review Suraj's sequence PR, including the sentinel test, before approval.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Specify the production weather policy: genuine forecast weather where available, climatology beyond it, never labelled as a forecast (Issue 12).</w:t>
      </w:r>
    </w:p>
    <w:p>
      <w:pPr>
        <w:pStyle w:val="Heading1"/>
      </w:pPr>
      <w:r>
        <w:t xml:space="preserve">6. Professional reflection</w:t>
      </w:r>
    </w:p>
    <w:p>
      <w:pPr>
        <w:spacing w:after="120" w:line="276"/>
        <w:jc w:val="both"/>
      </w:pPr>
      <w:r>
        <w:t xml:space="preserve">Sudip's earlier work on source quality and weather vintages shaped the GRU's training design: the central question was not only "how well does it fit?" but "what could it have known on the forecast date?". The weather and information-boundary checks answer that question in code rather than in prose, and the planted-leak test shows the checks actually catch a failure. The SARIMAX failures from his earlier area are a related lesson: a model that diverges over a long horizon should be recorded and explained, not quietly removed. </w:t>
      </w:r>
      <w:r>
        <w:rPr>
          <w:i/>
          <w:iCs/>
        </w:rPr>
        <w:t xml:space="preserve">(Reflection to be confirmed and personalised by the student before submission.)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Dan6 – Group 2  |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E0" w:sz="4" w:space="4"/>
      </w:pBdr>
    </w:pPr>
    <w:r>
      <w:rPr>
        <w:color w:val="6B7280"/>
        <w:sz w:val="16"/>
        <w:szCs w:val="16"/>
      </w:rPr>
      <w:t xml:space="preserve">PRT661  |  WP4 Individual Progress Report  |  Sudip Lamichhane (S388085)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60"/>
      <w:outlineLvl w:val="0"/>
    </w:pPr>
    <w:rPr>
      <w:rFonts w:ascii="Calibri" w:cs="Calibri" w:eastAsia="Calibri" w:hAnsi="Calibri"/>
      <w:b/>
      <w:bCs/>
      <w:color w:val="0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751fb2da9ed73976ab8121b82708ac9844021cd.png"/><Relationship Id="rId10" Type="http://schemas.openxmlformats.org/officeDocument/2006/relationships/image" Target="media/053e99a95a2095b06111c73d531aa93a047f42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Sudip Lamichhane WP4 Individual Progress Report</dc:title>
  <dc:creator>Sudip Lamichhane</dc:creator>
  <cp:lastModifiedBy>Un-named</cp:lastModifiedBy>
  <cp:revision>1</cp:revision>
  <dcterms:created xsi:type="dcterms:W3CDTF">2026-09-30T00:29:10.031Z</dcterms:created>
  <dcterms:modified xsi:type="dcterms:W3CDTF">2026-09-30T00:29:10.031Z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