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0D248" w14:textId="77777777" w:rsidR="00D00928" w:rsidRPr="005C30C4" w:rsidRDefault="00000000">
      <w:pPr>
        <w:spacing w:before="400" w:after="60"/>
        <w:jc w:val="center"/>
        <w:rPr>
          <w:rFonts w:ascii="Times New Roman" w:hAnsi="Times New Roman" w:cs="Times New Roman"/>
          <w:sz w:val="22"/>
          <w:szCs w:val="22"/>
        </w:rPr>
      </w:pPr>
      <w:r w:rsidRPr="005C30C4">
        <w:rPr>
          <w:rFonts w:ascii="Times New Roman" w:hAnsi="Times New Roman" w:cs="Times New Roman"/>
          <w:b/>
          <w:bCs/>
          <w:color w:val="2E6DA4"/>
          <w:sz w:val="22"/>
          <w:szCs w:val="22"/>
        </w:rPr>
        <w:t>Dan6: Theme 2</w:t>
      </w:r>
    </w:p>
    <w:p w14:paraId="4B5FE53A" w14:textId="77777777" w:rsidR="00D00928" w:rsidRPr="005C30C4" w:rsidRDefault="00000000">
      <w:pPr>
        <w:spacing w:after="60"/>
        <w:jc w:val="center"/>
        <w:rPr>
          <w:rFonts w:ascii="Times New Roman" w:hAnsi="Times New Roman" w:cs="Times New Roman"/>
          <w:sz w:val="22"/>
          <w:szCs w:val="22"/>
        </w:rPr>
      </w:pPr>
      <w:r w:rsidRPr="005C30C4">
        <w:rPr>
          <w:rFonts w:ascii="Times New Roman" w:hAnsi="Times New Roman" w:cs="Times New Roman"/>
          <w:b/>
          <w:bCs/>
          <w:color w:val="1F3864"/>
          <w:sz w:val="22"/>
          <w:szCs w:val="22"/>
        </w:rPr>
        <w:t>Individual Progress Report — WP1 Data Acquisition</w:t>
      </w:r>
    </w:p>
    <w:p w14:paraId="38E9D071" w14:textId="77777777" w:rsidR="00D00928" w:rsidRPr="005C30C4" w:rsidRDefault="00000000">
      <w:pPr>
        <w:pBdr>
          <w:bottom w:val="single" w:sz="8" w:space="10" w:color="2E6DA4"/>
        </w:pBdr>
        <w:spacing w:after="260"/>
        <w:jc w:val="center"/>
        <w:rPr>
          <w:rFonts w:ascii="Times New Roman" w:hAnsi="Times New Roman" w:cs="Times New Roman"/>
          <w:sz w:val="22"/>
          <w:szCs w:val="22"/>
        </w:rPr>
      </w:pPr>
      <w:r w:rsidRPr="005C30C4">
        <w:rPr>
          <w:rFonts w:ascii="Times New Roman" w:hAnsi="Times New Roman" w:cs="Times New Roman"/>
          <w:color w:val="595959"/>
          <w:sz w:val="22"/>
          <w:szCs w:val="22"/>
        </w:rPr>
        <w:t>Sudip Lamichhane  ·  Data Acquisition &amp; Correction Handling Lead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34"/>
        <w:gridCol w:w="6926"/>
      </w:tblGrid>
      <w:tr w:rsidR="00D00928" w:rsidRPr="005C30C4" w14:paraId="6244C6C8" w14:textId="77777777">
        <w:tblPrEx>
          <w:tblCellMar>
            <w:top w:w="0" w:type="dxa"/>
            <w:bottom w:w="0" w:type="dxa"/>
          </w:tblCellMar>
        </w:tblPrEx>
        <w:trPr>
          <w:cantSplit/>
          <w:tblHeader/>
        </w:trPr>
        <w:tc>
          <w:tcPr>
            <w:tcW w:w="2434" w:type="dxa"/>
            <w:shd w:val="clear" w:color="auto" w:fill="1F3864"/>
            <w:tcMar>
              <w:top w:w="60" w:type="dxa"/>
              <w:left w:w="90" w:type="dxa"/>
              <w:bottom w:w="60" w:type="dxa"/>
              <w:right w:w="90" w:type="dxa"/>
            </w:tcMar>
          </w:tcPr>
          <w:p w14:paraId="7CEE47E1"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t>Field</w:t>
            </w:r>
          </w:p>
        </w:tc>
        <w:tc>
          <w:tcPr>
            <w:tcW w:w="6926" w:type="dxa"/>
            <w:shd w:val="clear" w:color="auto" w:fill="1F3864"/>
            <w:tcMar>
              <w:top w:w="60" w:type="dxa"/>
              <w:left w:w="90" w:type="dxa"/>
              <w:bottom w:w="60" w:type="dxa"/>
              <w:right w:w="90" w:type="dxa"/>
            </w:tcMar>
          </w:tcPr>
          <w:p w14:paraId="5C4871DB"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t>Detail</w:t>
            </w:r>
          </w:p>
        </w:tc>
      </w:tr>
      <w:tr w:rsidR="00D00928" w:rsidRPr="005C30C4" w14:paraId="2EE2AC86" w14:textId="77777777">
        <w:tblPrEx>
          <w:tblCellMar>
            <w:top w:w="0" w:type="dxa"/>
            <w:bottom w:w="0" w:type="dxa"/>
          </w:tblCellMar>
        </w:tblPrEx>
        <w:trPr>
          <w:cantSplit/>
        </w:trPr>
        <w:tc>
          <w:tcPr>
            <w:tcW w:w="2434" w:type="dxa"/>
            <w:tcMar>
              <w:top w:w="60" w:type="dxa"/>
              <w:left w:w="90" w:type="dxa"/>
              <w:bottom w:w="60" w:type="dxa"/>
              <w:right w:w="90" w:type="dxa"/>
            </w:tcMar>
          </w:tcPr>
          <w:p w14:paraId="038AD9E6"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Student</w:t>
            </w:r>
          </w:p>
        </w:tc>
        <w:tc>
          <w:tcPr>
            <w:tcW w:w="6926" w:type="dxa"/>
            <w:tcMar>
              <w:top w:w="60" w:type="dxa"/>
              <w:left w:w="90" w:type="dxa"/>
              <w:bottom w:w="60" w:type="dxa"/>
              <w:right w:w="90" w:type="dxa"/>
            </w:tcMar>
          </w:tcPr>
          <w:p w14:paraId="00D60DF9"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Sudip Lamichhane</w:t>
            </w:r>
          </w:p>
        </w:tc>
      </w:tr>
      <w:tr w:rsidR="00D00928" w:rsidRPr="005C30C4" w14:paraId="00A343FA" w14:textId="77777777">
        <w:tblPrEx>
          <w:tblCellMar>
            <w:top w:w="0" w:type="dxa"/>
            <w:bottom w:w="0" w:type="dxa"/>
          </w:tblCellMar>
        </w:tblPrEx>
        <w:trPr>
          <w:cantSplit/>
        </w:trPr>
        <w:tc>
          <w:tcPr>
            <w:tcW w:w="2434" w:type="dxa"/>
            <w:shd w:val="clear" w:color="auto" w:fill="EDF2F8"/>
            <w:tcMar>
              <w:top w:w="60" w:type="dxa"/>
              <w:left w:w="90" w:type="dxa"/>
              <w:bottom w:w="60" w:type="dxa"/>
              <w:right w:w="90" w:type="dxa"/>
            </w:tcMar>
          </w:tcPr>
          <w:p w14:paraId="49016AD2"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Student ID</w:t>
            </w:r>
          </w:p>
        </w:tc>
        <w:tc>
          <w:tcPr>
            <w:tcW w:w="6926" w:type="dxa"/>
            <w:shd w:val="clear" w:color="auto" w:fill="EDF2F8"/>
            <w:tcMar>
              <w:top w:w="60" w:type="dxa"/>
              <w:left w:w="90" w:type="dxa"/>
              <w:bottom w:w="60" w:type="dxa"/>
              <w:right w:w="90" w:type="dxa"/>
            </w:tcMar>
          </w:tcPr>
          <w:p w14:paraId="566BCCF9"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S388085</w:t>
            </w:r>
          </w:p>
        </w:tc>
      </w:tr>
      <w:tr w:rsidR="00D00928" w:rsidRPr="005C30C4" w14:paraId="02AF504E" w14:textId="77777777">
        <w:tblPrEx>
          <w:tblCellMar>
            <w:top w:w="0" w:type="dxa"/>
            <w:bottom w:w="0" w:type="dxa"/>
          </w:tblCellMar>
        </w:tblPrEx>
        <w:trPr>
          <w:cantSplit/>
        </w:trPr>
        <w:tc>
          <w:tcPr>
            <w:tcW w:w="2434" w:type="dxa"/>
            <w:tcMar>
              <w:top w:w="60" w:type="dxa"/>
              <w:left w:w="90" w:type="dxa"/>
              <w:bottom w:w="60" w:type="dxa"/>
              <w:right w:w="90" w:type="dxa"/>
            </w:tcMar>
          </w:tcPr>
          <w:p w14:paraId="1273874B"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Unit</w:t>
            </w:r>
          </w:p>
        </w:tc>
        <w:tc>
          <w:tcPr>
            <w:tcW w:w="6926" w:type="dxa"/>
            <w:tcMar>
              <w:top w:w="60" w:type="dxa"/>
              <w:left w:w="90" w:type="dxa"/>
              <w:bottom w:w="60" w:type="dxa"/>
              <w:right w:w="90" w:type="dxa"/>
            </w:tcMar>
          </w:tcPr>
          <w:p w14:paraId="751A07EF"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PRT661 – Data Science Practice, Assessment 2</w:t>
            </w:r>
          </w:p>
        </w:tc>
      </w:tr>
      <w:tr w:rsidR="00D00928" w:rsidRPr="005C30C4" w14:paraId="72872DD7" w14:textId="77777777">
        <w:tblPrEx>
          <w:tblCellMar>
            <w:top w:w="0" w:type="dxa"/>
            <w:bottom w:w="0" w:type="dxa"/>
          </w:tblCellMar>
        </w:tblPrEx>
        <w:trPr>
          <w:cantSplit/>
        </w:trPr>
        <w:tc>
          <w:tcPr>
            <w:tcW w:w="2434" w:type="dxa"/>
            <w:shd w:val="clear" w:color="auto" w:fill="EDF2F8"/>
            <w:tcMar>
              <w:top w:w="60" w:type="dxa"/>
              <w:left w:w="90" w:type="dxa"/>
              <w:bottom w:w="60" w:type="dxa"/>
              <w:right w:w="90" w:type="dxa"/>
            </w:tcMar>
          </w:tcPr>
          <w:p w14:paraId="1AA86E92"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Group</w:t>
            </w:r>
          </w:p>
        </w:tc>
        <w:tc>
          <w:tcPr>
            <w:tcW w:w="6926" w:type="dxa"/>
            <w:shd w:val="clear" w:color="auto" w:fill="EDF2F8"/>
            <w:tcMar>
              <w:top w:w="60" w:type="dxa"/>
              <w:left w:w="90" w:type="dxa"/>
              <w:bottom w:w="60" w:type="dxa"/>
              <w:right w:w="90" w:type="dxa"/>
            </w:tcMar>
          </w:tcPr>
          <w:p w14:paraId="4AA68D4A"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Dan6: Theme 2</w:t>
            </w:r>
          </w:p>
        </w:tc>
      </w:tr>
      <w:tr w:rsidR="00D00928" w:rsidRPr="005C30C4" w14:paraId="704CAF3C" w14:textId="77777777">
        <w:tblPrEx>
          <w:tblCellMar>
            <w:top w:w="0" w:type="dxa"/>
            <w:bottom w:w="0" w:type="dxa"/>
          </w:tblCellMar>
        </w:tblPrEx>
        <w:trPr>
          <w:cantSplit/>
        </w:trPr>
        <w:tc>
          <w:tcPr>
            <w:tcW w:w="2434" w:type="dxa"/>
            <w:tcMar>
              <w:top w:w="60" w:type="dxa"/>
              <w:left w:w="90" w:type="dxa"/>
              <w:bottom w:w="60" w:type="dxa"/>
              <w:right w:w="90" w:type="dxa"/>
            </w:tcMar>
          </w:tcPr>
          <w:p w14:paraId="46F688C4"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Work package</w:t>
            </w:r>
          </w:p>
        </w:tc>
        <w:tc>
          <w:tcPr>
            <w:tcW w:w="6926" w:type="dxa"/>
            <w:tcMar>
              <w:top w:w="60" w:type="dxa"/>
              <w:left w:w="90" w:type="dxa"/>
              <w:bottom w:w="60" w:type="dxa"/>
              <w:right w:w="90" w:type="dxa"/>
            </w:tcMar>
          </w:tcPr>
          <w:p w14:paraId="7AE9A430"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WP1 – Data Acquisition</w:t>
            </w:r>
          </w:p>
        </w:tc>
      </w:tr>
      <w:tr w:rsidR="00D00928" w:rsidRPr="005C30C4" w14:paraId="3E226B0C" w14:textId="77777777">
        <w:tblPrEx>
          <w:tblCellMar>
            <w:top w:w="0" w:type="dxa"/>
            <w:bottom w:w="0" w:type="dxa"/>
          </w:tblCellMar>
        </w:tblPrEx>
        <w:trPr>
          <w:cantSplit/>
        </w:trPr>
        <w:tc>
          <w:tcPr>
            <w:tcW w:w="2434" w:type="dxa"/>
            <w:shd w:val="clear" w:color="auto" w:fill="EDF2F8"/>
            <w:tcMar>
              <w:top w:w="60" w:type="dxa"/>
              <w:left w:w="90" w:type="dxa"/>
              <w:bottom w:w="60" w:type="dxa"/>
              <w:right w:w="90" w:type="dxa"/>
            </w:tcMar>
          </w:tcPr>
          <w:p w14:paraId="48EB7CEB"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Module owned</w:t>
            </w:r>
          </w:p>
        </w:tc>
        <w:tc>
          <w:tcPr>
            <w:tcW w:w="6926" w:type="dxa"/>
            <w:shd w:val="clear" w:color="auto" w:fill="EDF2F8"/>
            <w:tcMar>
              <w:top w:w="60" w:type="dxa"/>
              <w:left w:w="90" w:type="dxa"/>
              <w:bottom w:w="60" w:type="dxa"/>
              <w:right w:w="90" w:type="dxa"/>
            </w:tcMar>
          </w:tcPr>
          <w:p w14:paraId="0D242169"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wem_sources.py</w:t>
            </w:r>
          </w:p>
        </w:tc>
      </w:tr>
      <w:tr w:rsidR="00D00928" w:rsidRPr="005C30C4" w14:paraId="277FFE73" w14:textId="77777777">
        <w:tblPrEx>
          <w:tblCellMar>
            <w:top w:w="0" w:type="dxa"/>
            <w:bottom w:w="0" w:type="dxa"/>
          </w:tblCellMar>
        </w:tblPrEx>
        <w:trPr>
          <w:cantSplit/>
        </w:trPr>
        <w:tc>
          <w:tcPr>
            <w:tcW w:w="2434" w:type="dxa"/>
            <w:tcMar>
              <w:top w:w="60" w:type="dxa"/>
              <w:left w:w="90" w:type="dxa"/>
              <w:bottom w:w="60" w:type="dxa"/>
              <w:right w:w="90" w:type="dxa"/>
            </w:tcMar>
          </w:tcPr>
          <w:p w14:paraId="49718426"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Source system</w:t>
            </w:r>
          </w:p>
        </w:tc>
        <w:tc>
          <w:tcPr>
            <w:tcW w:w="6926" w:type="dxa"/>
            <w:tcMar>
              <w:top w:w="60" w:type="dxa"/>
              <w:left w:w="90" w:type="dxa"/>
              <w:bottom w:w="60" w:type="dxa"/>
              <w:right w:w="90" w:type="dxa"/>
            </w:tcMar>
          </w:tcPr>
          <w:p w14:paraId="22E78903"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AEMO WA / WEM Data</w:t>
            </w:r>
          </w:p>
        </w:tc>
      </w:tr>
    </w:tbl>
    <w:p w14:paraId="3F58109B" w14:textId="77777777" w:rsidR="00D00928" w:rsidRPr="005C30C4" w:rsidRDefault="00000000">
      <w:pPr>
        <w:pStyle w:val="Heading1"/>
        <w:spacing w:before="320" w:after="140"/>
        <w:rPr>
          <w:rFonts w:ascii="Times New Roman" w:hAnsi="Times New Roman" w:cs="Times New Roman"/>
          <w:sz w:val="22"/>
          <w:szCs w:val="22"/>
        </w:rPr>
      </w:pPr>
      <w:r w:rsidRPr="005C30C4">
        <w:rPr>
          <w:rFonts w:ascii="Times New Roman" w:hAnsi="Times New Roman" w:cs="Times New Roman"/>
          <w:b/>
          <w:bCs/>
          <w:color w:val="1F3864"/>
          <w:sz w:val="22"/>
          <w:szCs w:val="22"/>
        </w:rPr>
        <w:t>A. Role and module ownership</w:t>
      </w:r>
    </w:p>
    <w:p w14:paraId="3081D803" w14:textId="77777777" w:rsidR="00D00928" w:rsidRPr="005C30C4" w:rsidRDefault="00000000">
      <w:pPr>
        <w:spacing w:after="110" w:line="264" w:lineRule="auto"/>
        <w:rPr>
          <w:rFonts w:ascii="Times New Roman" w:hAnsi="Times New Roman" w:cs="Times New Roman"/>
          <w:sz w:val="22"/>
          <w:szCs w:val="22"/>
        </w:rPr>
      </w:pPr>
      <w:r w:rsidRPr="005C30C4">
        <w:rPr>
          <w:rFonts w:ascii="Times New Roman" w:hAnsi="Times New Roman" w:cs="Times New Roman"/>
          <w:color w:val="000000"/>
          <w:sz w:val="22"/>
          <w:szCs w:val="22"/>
        </w:rPr>
        <w:t>Data Acquisition &amp; Correction Handling Lead. Module owner for wem_sources.py — WA operational demand assembled across the 1 October 2023 market-system cutover, from three sources.</w:t>
      </w:r>
    </w:p>
    <w:p w14:paraId="0048AC6E" w14:textId="77777777" w:rsidR="00D00928" w:rsidRPr="005C30C4" w:rsidRDefault="00000000">
      <w:pPr>
        <w:spacing w:after="110" w:line="264" w:lineRule="auto"/>
        <w:rPr>
          <w:rFonts w:ascii="Times New Roman" w:hAnsi="Times New Roman" w:cs="Times New Roman"/>
          <w:sz w:val="22"/>
          <w:szCs w:val="22"/>
        </w:rPr>
      </w:pPr>
      <w:r w:rsidRPr="005C30C4">
        <w:rPr>
          <w:rFonts w:ascii="Times New Roman" w:hAnsi="Times New Roman" w:cs="Times New Roman"/>
          <w:color w:val="000000"/>
          <w:sz w:val="22"/>
          <w:szCs w:val="22"/>
        </w:rPr>
        <w:t>The acquisition pipeline was deliberately split by source rather than by task. Each member owned one source module end to end, and the integrator holds no source-specific logic. This keeps ownership clear and means two members can work on different sources without conflicting.</w:t>
      </w:r>
    </w:p>
    <w:p w14:paraId="7F0BBA6B" w14:textId="77777777" w:rsidR="00D00928" w:rsidRPr="005C30C4" w:rsidRDefault="00000000">
      <w:pPr>
        <w:pStyle w:val="Heading1"/>
        <w:spacing w:before="320" w:after="140"/>
        <w:rPr>
          <w:rFonts w:ascii="Times New Roman" w:hAnsi="Times New Roman" w:cs="Times New Roman"/>
          <w:sz w:val="22"/>
          <w:szCs w:val="22"/>
        </w:rPr>
      </w:pPr>
      <w:r w:rsidRPr="005C30C4">
        <w:rPr>
          <w:rFonts w:ascii="Times New Roman" w:hAnsi="Times New Roman" w:cs="Times New Roman"/>
          <w:b/>
          <w:bCs/>
          <w:color w:val="1F3864"/>
          <w:sz w:val="22"/>
          <w:szCs w:val="22"/>
        </w:rPr>
        <w:t>B. WP1 responsibilities</w:t>
      </w:r>
    </w:p>
    <w:p w14:paraId="7FFB9F7E" w14:textId="77777777" w:rsidR="00D00928" w:rsidRPr="005C30C4" w:rsidRDefault="00000000">
      <w:pPr>
        <w:pStyle w:val="ListParagraph"/>
        <w:numPr>
          <w:ilvl w:val="0"/>
          <w:numId w:val="2"/>
        </w:numPr>
        <w:spacing w:after="70" w:line="264" w:lineRule="auto"/>
        <w:rPr>
          <w:rFonts w:ascii="Times New Roman" w:hAnsi="Times New Roman" w:cs="Times New Roman"/>
          <w:sz w:val="22"/>
          <w:szCs w:val="22"/>
        </w:rPr>
      </w:pPr>
      <w:r w:rsidRPr="005C30C4">
        <w:rPr>
          <w:rFonts w:ascii="Times New Roman" w:hAnsi="Times New Roman" w:cs="Times New Roman"/>
          <w:sz w:val="22"/>
          <w:szCs w:val="22"/>
        </w:rPr>
        <w:t>Build the WA operational demand pipeline</w:t>
      </w:r>
    </w:p>
    <w:p w14:paraId="7322A054" w14:textId="77777777" w:rsidR="00D00928" w:rsidRPr="005C30C4" w:rsidRDefault="00000000">
      <w:pPr>
        <w:pStyle w:val="ListParagraph"/>
        <w:numPr>
          <w:ilvl w:val="0"/>
          <w:numId w:val="2"/>
        </w:numPr>
        <w:spacing w:after="70" w:line="264" w:lineRule="auto"/>
        <w:rPr>
          <w:rFonts w:ascii="Times New Roman" w:hAnsi="Times New Roman" w:cs="Times New Roman"/>
          <w:sz w:val="22"/>
          <w:szCs w:val="22"/>
        </w:rPr>
      </w:pPr>
      <w:r w:rsidRPr="005C30C4">
        <w:rPr>
          <w:rFonts w:ascii="Times New Roman" w:hAnsi="Times New Roman" w:cs="Times New Roman"/>
          <w:sz w:val="22"/>
          <w:szCs w:val="22"/>
        </w:rPr>
        <w:t>Combine legacy, current-market and daily top-up sources</w:t>
      </w:r>
    </w:p>
    <w:p w14:paraId="126DA497" w14:textId="77777777" w:rsidR="00D00928" w:rsidRPr="005C30C4" w:rsidRDefault="00000000">
      <w:pPr>
        <w:pStyle w:val="ListParagraph"/>
        <w:numPr>
          <w:ilvl w:val="0"/>
          <w:numId w:val="2"/>
        </w:numPr>
        <w:spacing w:after="70" w:line="264" w:lineRule="auto"/>
        <w:rPr>
          <w:rFonts w:ascii="Times New Roman" w:hAnsi="Times New Roman" w:cs="Times New Roman"/>
          <w:sz w:val="22"/>
          <w:szCs w:val="22"/>
        </w:rPr>
      </w:pPr>
      <w:r w:rsidRPr="005C30C4">
        <w:rPr>
          <w:rFonts w:ascii="Times New Roman" w:hAnsi="Times New Roman" w:cs="Times New Roman"/>
          <w:sz w:val="22"/>
          <w:szCs w:val="22"/>
        </w:rPr>
        <w:t>Handle the 30-minute to 5-minute WA market cutover correctly</w:t>
      </w:r>
    </w:p>
    <w:p w14:paraId="134FE1E4" w14:textId="77777777" w:rsidR="00D00928" w:rsidRPr="005C30C4" w:rsidRDefault="00000000">
      <w:pPr>
        <w:pStyle w:val="ListParagraph"/>
        <w:numPr>
          <w:ilvl w:val="0"/>
          <w:numId w:val="2"/>
        </w:numPr>
        <w:spacing w:after="70" w:line="264" w:lineRule="auto"/>
        <w:rPr>
          <w:rFonts w:ascii="Times New Roman" w:hAnsi="Times New Roman" w:cs="Times New Roman"/>
          <w:sz w:val="22"/>
          <w:szCs w:val="22"/>
        </w:rPr>
      </w:pPr>
      <w:r w:rsidRPr="005C30C4">
        <w:rPr>
          <w:rFonts w:ascii="Times New Roman" w:hAnsi="Times New Roman" w:cs="Times New Roman"/>
          <w:sz w:val="22"/>
          <w:szCs w:val="22"/>
        </w:rPr>
        <w:t>Detect timestamp and demand columns structurally</w:t>
      </w:r>
    </w:p>
    <w:p w14:paraId="7A99A1AB" w14:textId="77777777" w:rsidR="00D00928" w:rsidRPr="005C30C4" w:rsidRDefault="00000000">
      <w:pPr>
        <w:pStyle w:val="ListParagraph"/>
        <w:numPr>
          <w:ilvl w:val="0"/>
          <w:numId w:val="2"/>
        </w:numPr>
        <w:spacing w:after="70" w:line="264" w:lineRule="auto"/>
        <w:rPr>
          <w:rFonts w:ascii="Times New Roman" w:hAnsi="Times New Roman" w:cs="Times New Roman"/>
          <w:sz w:val="22"/>
          <w:szCs w:val="22"/>
        </w:rPr>
      </w:pPr>
      <w:r w:rsidRPr="005C30C4">
        <w:rPr>
          <w:rFonts w:ascii="Times New Roman" w:hAnsi="Times New Roman" w:cs="Times New Roman"/>
          <w:sz w:val="22"/>
          <w:szCs w:val="22"/>
        </w:rPr>
        <w:t>Download MarketRequirements-2026.csv separately</w:t>
      </w:r>
    </w:p>
    <w:p w14:paraId="72DC2603" w14:textId="77777777" w:rsidR="00D00928" w:rsidRPr="005C30C4" w:rsidRDefault="00000000">
      <w:pPr>
        <w:pStyle w:val="Heading1"/>
        <w:spacing w:before="320" w:after="140"/>
        <w:rPr>
          <w:rFonts w:ascii="Times New Roman" w:hAnsi="Times New Roman" w:cs="Times New Roman"/>
          <w:sz w:val="22"/>
          <w:szCs w:val="22"/>
        </w:rPr>
      </w:pPr>
      <w:r w:rsidRPr="005C30C4">
        <w:rPr>
          <w:rFonts w:ascii="Times New Roman" w:hAnsi="Times New Roman" w:cs="Times New Roman"/>
          <w:b/>
          <w:bCs/>
          <w:color w:val="1F3864"/>
          <w:sz w:val="22"/>
          <w:szCs w:val="22"/>
        </w:rPr>
        <w:t>C. Contribution at the 19 August meeting</w:t>
      </w:r>
    </w:p>
    <w:p w14:paraId="35CEDFBB" w14:textId="37465EB7" w:rsidR="00D00928" w:rsidRPr="005C30C4" w:rsidRDefault="00000000" w:rsidP="005C30C4">
      <w:pPr>
        <w:spacing w:after="110" w:line="264" w:lineRule="auto"/>
        <w:rPr>
          <w:rFonts w:ascii="Times New Roman" w:hAnsi="Times New Roman" w:cs="Times New Roman"/>
          <w:sz w:val="22"/>
          <w:szCs w:val="22"/>
        </w:rPr>
      </w:pPr>
      <w:r w:rsidRPr="005C30C4">
        <w:rPr>
          <w:rFonts w:ascii="Times New Roman" w:hAnsi="Times New Roman" w:cs="Times New Roman"/>
          <w:color w:val="000000"/>
          <w:sz w:val="22"/>
          <w:szCs w:val="22"/>
        </w:rPr>
        <w:t>Investigation of the WA source, which surfaced three open issues: the WA pipeline itself, the cutover, and 2022 data access.</w:t>
      </w:r>
      <w:r w:rsidRPr="005C30C4">
        <w:rPr>
          <w:rFonts w:ascii="Times New Roman" w:hAnsi="Times New Roman" w:cs="Times New Roman"/>
          <w:sz w:val="22"/>
          <w:szCs w:val="22"/>
        </w:rPr>
        <w:t xml:space="preserve"> </w:t>
      </w:r>
    </w:p>
    <w:p w14:paraId="5C69E7DE" w14:textId="77777777" w:rsidR="00D00928" w:rsidRPr="005C30C4" w:rsidRDefault="00000000">
      <w:pPr>
        <w:pStyle w:val="Heading1"/>
        <w:spacing w:before="320" w:after="140"/>
        <w:rPr>
          <w:rFonts w:ascii="Times New Roman" w:hAnsi="Times New Roman" w:cs="Times New Roman"/>
          <w:sz w:val="22"/>
          <w:szCs w:val="22"/>
        </w:rPr>
      </w:pPr>
      <w:r w:rsidRPr="005C30C4">
        <w:rPr>
          <w:rFonts w:ascii="Times New Roman" w:hAnsi="Times New Roman" w:cs="Times New Roman"/>
          <w:b/>
          <w:bCs/>
          <w:color w:val="1F3864"/>
          <w:sz w:val="22"/>
          <w:szCs w:val="22"/>
        </w:rPr>
        <w:t>D. Design decisions taken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57"/>
        <w:gridCol w:w="5803"/>
      </w:tblGrid>
      <w:tr w:rsidR="00D00928" w:rsidRPr="005C30C4" w14:paraId="6EE0A741" w14:textId="77777777">
        <w:tblPrEx>
          <w:tblCellMar>
            <w:top w:w="0" w:type="dxa"/>
            <w:bottom w:w="0" w:type="dxa"/>
          </w:tblCellMar>
        </w:tblPrEx>
        <w:trPr>
          <w:cantSplit/>
          <w:tblHeader/>
        </w:trPr>
        <w:tc>
          <w:tcPr>
            <w:tcW w:w="3557" w:type="dxa"/>
            <w:shd w:val="clear" w:color="auto" w:fill="1F3864"/>
            <w:tcMar>
              <w:top w:w="60" w:type="dxa"/>
              <w:left w:w="90" w:type="dxa"/>
              <w:bottom w:w="60" w:type="dxa"/>
              <w:right w:w="90" w:type="dxa"/>
            </w:tcMar>
          </w:tcPr>
          <w:p w14:paraId="65F10ECE"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t>Decision</w:t>
            </w:r>
          </w:p>
        </w:tc>
        <w:tc>
          <w:tcPr>
            <w:tcW w:w="5803" w:type="dxa"/>
            <w:shd w:val="clear" w:color="auto" w:fill="1F3864"/>
            <w:tcMar>
              <w:top w:w="60" w:type="dxa"/>
              <w:left w:w="90" w:type="dxa"/>
              <w:bottom w:w="60" w:type="dxa"/>
              <w:right w:w="90" w:type="dxa"/>
            </w:tcMar>
          </w:tcPr>
          <w:p w14:paraId="6BD1E8E6"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t>Reasoning</w:t>
            </w:r>
          </w:p>
        </w:tc>
      </w:tr>
      <w:tr w:rsidR="00D00928" w:rsidRPr="005C30C4" w14:paraId="04CEF7F6" w14:textId="77777777">
        <w:tblPrEx>
          <w:tblCellMar>
            <w:top w:w="0" w:type="dxa"/>
            <w:bottom w:w="0" w:type="dxa"/>
          </w:tblCellMar>
        </w:tblPrEx>
        <w:trPr>
          <w:cantSplit/>
        </w:trPr>
        <w:tc>
          <w:tcPr>
            <w:tcW w:w="3557" w:type="dxa"/>
            <w:tcMar>
              <w:top w:w="60" w:type="dxa"/>
              <w:left w:w="90" w:type="dxa"/>
              <w:bottom w:w="60" w:type="dxa"/>
              <w:right w:w="90" w:type="dxa"/>
            </w:tcMar>
          </w:tcPr>
          <w:p w14:paraId="3B7D5170"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Three sources with explicit precedence: daily, then annual, then legacy</w:t>
            </w:r>
          </w:p>
        </w:tc>
        <w:tc>
          <w:tcPr>
            <w:tcW w:w="5803" w:type="dxa"/>
            <w:tcMar>
              <w:top w:w="60" w:type="dxa"/>
              <w:left w:w="90" w:type="dxa"/>
              <w:bottom w:w="60" w:type="dxa"/>
              <w:right w:w="90" w:type="dxa"/>
            </w:tcMar>
          </w:tcPr>
          <w:p w14:paraId="51AA1405"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Where the sources overlap the freshest wins. Without a stated precedence the same interval could arrive twice with different values.</w:t>
            </w:r>
          </w:p>
        </w:tc>
      </w:tr>
      <w:tr w:rsidR="00D00928" w:rsidRPr="005C30C4" w14:paraId="227CC70E" w14:textId="77777777">
        <w:tblPrEx>
          <w:tblCellMar>
            <w:top w:w="0" w:type="dxa"/>
            <w:bottom w:w="0" w:type="dxa"/>
          </w:tblCellMar>
        </w:tblPrEx>
        <w:trPr>
          <w:cantSplit/>
        </w:trPr>
        <w:tc>
          <w:tcPr>
            <w:tcW w:w="3557" w:type="dxa"/>
            <w:shd w:val="clear" w:color="auto" w:fill="EDF2F8"/>
            <w:tcMar>
              <w:top w:w="60" w:type="dxa"/>
              <w:left w:w="90" w:type="dxa"/>
              <w:bottom w:w="60" w:type="dxa"/>
              <w:right w:w="90" w:type="dxa"/>
            </w:tcMar>
          </w:tcPr>
          <w:p w14:paraId="130B3A50"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Structural column detection, rejecting "forecast" and "withdrawal"</w:t>
            </w:r>
          </w:p>
        </w:tc>
        <w:tc>
          <w:tcPr>
            <w:tcW w:w="5803" w:type="dxa"/>
            <w:shd w:val="clear" w:color="auto" w:fill="EDF2F8"/>
            <w:tcMar>
              <w:top w:w="60" w:type="dxa"/>
              <w:left w:w="90" w:type="dxa"/>
              <w:bottom w:w="60" w:type="dxa"/>
              <w:right w:w="90" w:type="dxa"/>
            </w:tcMar>
          </w:tcPr>
          <w:p w14:paraId="30C8CD67"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 xml:space="preserve">Column names differ across the three sources. The current-market file carries demand and withdrawal side by </w:t>
            </w:r>
            <w:proofErr w:type="gramStart"/>
            <w:r w:rsidRPr="005C30C4">
              <w:rPr>
                <w:rFonts w:ascii="Times New Roman" w:hAnsi="Times New Roman" w:cs="Times New Roman"/>
                <w:color w:val="000000"/>
                <w:sz w:val="22"/>
                <w:szCs w:val="22"/>
              </w:rPr>
              <w:t>side, and</w:t>
            </w:r>
            <w:proofErr w:type="gramEnd"/>
            <w:r w:rsidRPr="005C30C4">
              <w:rPr>
                <w:rFonts w:ascii="Times New Roman" w:hAnsi="Times New Roman" w:cs="Times New Roman"/>
                <w:color w:val="000000"/>
                <w:sz w:val="22"/>
                <w:szCs w:val="22"/>
              </w:rPr>
              <w:t xml:space="preserve"> silently taking the wrong one would corrupt the target variable for every model built on it.</w:t>
            </w:r>
          </w:p>
        </w:tc>
      </w:tr>
      <w:tr w:rsidR="00D00928" w:rsidRPr="005C30C4" w14:paraId="01DAA3DF" w14:textId="77777777">
        <w:tblPrEx>
          <w:tblCellMar>
            <w:top w:w="0" w:type="dxa"/>
            <w:bottom w:w="0" w:type="dxa"/>
          </w:tblCellMar>
        </w:tblPrEx>
        <w:trPr>
          <w:cantSplit/>
        </w:trPr>
        <w:tc>
          <w:tcPr>
            <w:tcW w:w="3557" w:type="dxa"/>
            <w:tcMar>
              <w:top w:w="60" w:type="dxa"/>
              <w:left w:w="90" w:type="dxa"/>
              <w:bottom w:w="60" w:type="dxa"/>
              <w:right w:w="90" w:type="dxa"/>
            </w:tcMar>
          </w:tcPr>
          <w:p w14:paraId="27ED2760"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lastRenderedPageBreak/>
              <w:t>No resampling in acquisition; SOURCE and SOURCE_INTERVAL_MIN recorded per row</w:t>
            </w:r>
          </w:p>
        </w:tc>
        <w:tc>
          <w:tcPr>
            <w:tcW w:w="5803" w:type="dxa"/>
            <w:tcMar>
              <w:top w:w="60" w:type="dxa"/>
              <w:left w:w="90" w:type="dxa"/>
              <w:bottom w:w="60" w:type="dxa"/>
              <w:right w:w="90" w:type="dxa"/>
            </w:tcMar>
          </w:tcPr>
          <w:p w14:paraId="500C45B2"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The 30-minute and 5-minute halves stay exactly as published. Converting here would have destroyed the evidence WP2 needed to handle the cutover correctly — and in WP2 that metadata is what allowed the resolution regimes to be verified rather than assumed.</w:t>
            </w:r>
          </w:p>
        </w:tc>
      </w:tr>
      <w:tr w:rsidR="00D00928" w:rsidRPr="005C30C4" w14:paraId="3151C195" w14:textId="77777777">
        <w:tblPrEx>
          <w:tblCellMar>
            <w:top w:w="0" w:type="dxa"/>
            <w:bottom w:w="0" w:type="dxa"/>
          </w:tblCellMar>
        </w:tblPrEx>
        <w:trPr>
          <w:cantSplit/>
        </w:trPr>
        <w:tc>
          <w:tcPr>
            <w:tcW w:w="3557" w:type="dxa"/>
            <w:shd w:val="clear" w:color="auto" w:fill="EDF2F8"/>
            <w:tcMar>
              <w:top w:w="60" w:type="dxa"/>
              <w:left w:w="90" w:type="dxa"/>
              <w:bottom w:w="60" w:type="dxa"/>
              <w:right w:w="90" w:type="dxa"/>
            </w:tcMar>
          </w:tcPr>
          <w:p w14:paraId="3BCD4C32" w14:textId="77777777" w:rsidR="00D00928" w:rsidRPr="005C30C4" w:rsidRDefault="00000000">
            <w:pPr>
              <w:rPr>
                <w:rFonts w:ascii="Times New Roman" w:hAnsi="Times New Roman" w:cs="Times New Roman"/>
                <w:sz w:val="22"/>
                <w:szCs w:val="22"/>
              </w:rPr>
            </w:pPr>
            <w:proofErr w:type="spellStart"/>
            <w:r w:rsidRPr="005C30C4">
              <w:rPr>
                <w:rFonts w:ascii="Times New Roman" w:hAnsi="Times New Roman" w:cs="Times New Roman"/>
                <w:color w:val="000000"/>
                <w:sz w:val="22"/>
                <w:szCs w:val="22"/>
              </w:rPr>
              <w:t>tail_days</w:t>
            </w:r>
            <w:proofErr w:type="spellEnd"/>
            <w:r w:rsidRPr="005C30C4">
              <w:rPr>
                <w:rFonts w:ascii="Times New Roman" w:hAnsi="Times New Roman" w:cs="Times New Roman"/>
                <w:color w:val="000000"/>
                <w:sz w:val="22"/>
                <w:szCs w:val="22"/>
              </w:rPr>
              <w:t xml:space="preserve"> bounds the daily top-up loop</w:t>
            </w:r>
          </w:p>
        </w:tc>
        <w:tc>
          <w:tcPr>
            <w:tcW w:w="5803" w:type="dxa"/>
            <w:shd w:val="clear" w:color="auto" w:fill="EDF2F8"/>
            <w:tcMar>
              <w:top w:w="60" w:type="dxa"/>
              <w:left w:w="90" w:type="dxa"/>
              <w:bottom w:w="60" w:type="dxa"/>
              <w:right w:w="90" w:type="dxa"/>
            </w:tcMar>
          </w:tcPr>
          <w:p w14:paraId="4DF0FE1F"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Without it, a failed annual-file load rolls the start date back to 1 January and the loop issues roughly 250 requests at 30-second timeouts each.</w:t>
            </w:r>
          </w:p>
        </w:tc>
      </w:tr>
      <w:tr w:rsidR="00D00928" w:rsidRPr="005C30C4" w14:paraId="402DAB94" w14:textId="77777777">
        <w:tblPrEx>
          <w:tblCellMar>
            <w:top w:w="0" w:type="dxa"/>
            <w:bottom w:w="0" w:type="dxa"/>
          </w:tblCellMar>
        </w:tblPrEx>
        <w:trPr>
          <w:cantSplit/>
        </w:trPr>
        <w:tc>
          <w:tcPr>
            <w:tcW w:w="3557" w:type="dxa"/>
            <w:tcMar>
              <w:top w:w="60" w:type="dxa"/>
              <w:left w:w="90" w:type="dxa"/>
              <w:bottom w:w="60" w:type="dxa"/>
              <w:right w:w="90" w:type="dxa"/>
            </w:tcMar>
          </w:tcPr>
          <w:p w14:paraId="287C2E32"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MarketRequirements-2026.csv kept out of the demand folder</w:t>
            </w:r>
          </w:p>
        </w:tc>
        <w:tc>
          <w:tcPr>
            <w:tcW w:w="5803" w:type="dxa"/>
            <w:tcMar>
              <w:top w:w="60" w:type="dxa"/>
              <w:left w:w="90" w:type="dxa"/>
              <w:bottom w:w="60" w:type="dxa"/>
              <w:right w:w="90" w:type="dxa"/>
            </w:tcMar>
          </w:tcPr>
          <w:p w14:paraId="3F050F6D"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It is a market requirement forecast, not observed demand. Keeping it in a separate folder means it cannot be picked up as a demand file by a later glob.</w:t>
            </w:r>
          </w:p>
        </w:tc>
      </w:tr>
    </w:tbl>
    <w:p w14:paraId="331C2495" w14:textId="77777777" w:rsidR="00D00928" w:rsidRPr="005C30C4" w:rsidRDefault="00000000">
      <w:pPr>
        <w:pStyle w:val="Heading1"/>
        <w:spacing w:before="320" w:after="140"/>
        <w:rPr>
          <w:rFonts w:ascii="Times New Roman" w:hAnsi="Times New Roman" w:cs="Times New Roman"/>
          <w:sz w:val="22"/>
          <w:szCs w:val="22"/>
        </w:rPr>
      </w:pPr>
      <w:r w:rsidRPr="005C30C4">
        <w:rPr>
          <w:rFonts w:ascii="Times New Roman" w:hAnsi="Times New Roman" w:cs="Times New Roman"/>
          <w:b/>
          <w:bCs/>
          <w:color w:val="1F3864"/>
          <w:sz w:val="22"/>
          <w:szCs w:val="22"/>
        </w:rPr>
        <w:t>E. Technical issues encountered</w:t>
      </w:r>
    </w:p>
    <w:p w14:paraId="59B43D79" w14:textId="77777777" w:rsidR="00D00928" w:rsidRPr="005C30C4" w:rsidRDefault="00000000">
      <w:pPr>
        <w:spacing w:after="110" w:line="264" w:lineRule="auto"/>
        <w:rPr>
          <w:rFonts w:ascii="Times New Roman" w:hAnsi="Times New Roman" w:cs="Times New Roman"/>
          <w:sz w:val="22"/>
          <w:szCs w:val="22"/>
        </w:rPr>
      </w:pPr>
      <w:r w:rsidRPr="005C30C4">
        <w:rPr>
          <w:rFonts w:ascii="Times New Roman" w:hAnsi="Times New Roman" w:cs="Times New Roman"/>
          <w:color w:val="000000"/>
          <w:sz w:val="22"/>
          <w:szCs w:val="22"/>
        </w:rPr>
        <w:t>Issues that arose in this module during WP1. Section F records how the cause was established in each case, and section G the resolution adopted.</w:t>
      </w:r>
    </w:p>
    <w:p w14:paraId="72A72086" w14:textId="77777777" w:rsidR="00D00928" w:rsidRPr="005C30C4" w:rsidRDefault="00000000">
      <w:pPr>
        <w:pStyle w:val="ListParagraph"/>
        <w:numPr>
          <w:ilvl w:val="0"/>
          <w:numId w:val="2"/>
        </w:numPr>
        <w:spacing w:after="70" w:line="264" w:lineRule="auto"/>
        <w:rPr>
          <w:rFonts w:ascii="Times New Roman" w:hAnsi="Times New Roman" w:cs="Times New Roman"/>
          <w:sz w:val="22"/>
          <w:szCs w:val="22"/>
        </w:rPr>
      </w:pPr>
      <w:r w:rsidRPr="005C30C4">
        <w:rPr>
          <w:rFonts w:ascii="Times New Roman" w:hAnsi="Times New Roman" w:cs="Times New Roman"/>
          <w:sz w:val="22"/>
          <w:szCs w:val="22"/>
        </w:rPr>
        <w:t>E.1  The current-market files contained no 2022 data, and the interval spacing was inconsistent across the period.</w:t>
      </w:r>
    </w:p>
    <w:p w14:paraId="10979F28" w14:textId="77777777" w:rsidR="00D00928" w:rsidRPr="005C30C4" w:rsidRDefault="00000000">
      <w:pPr>
        <w:pStyle w:val="ListParagraph"/>
        <w:numPr>
          <w:ilvl w:val="0"/>
          <w:numId w:val="2"/>
        </w:numPr>
        <w:spacing w:after="70" w:line="264" w:lineRule="auto"/>
        <w:rPr>
          <w:rFonts w:ascii="Times New Roman" w:hAnsi="Times New Roman" w:cs="Times New Roman"/>
          <w:sz w:val="22"/>
          <w:szCs w:val="22"/>
        </w:rPr>
      </w:pPr>
      <w:r w:rsidRPr="005C30C4">
        <w:rPr>
          <w:rFonts w:ascii="Times New Roman" w:hAnsi="Times New Roman" w:cs="Times New Roman"/>
          <w:sz w:val="22"/>
          <w:szCs w:val="22"/>
        </w:rPr>
        <w:t>E.2  Column names differ across the three WA sources, and the current-market file carries demand and withdrawal side by side.</w:t>
      </w:r>
    </w:p>
    <w:p w14:paraId="23C1795B" w14:textId="77777777" w:rsidR="00D00928" w:rsidRPr="005C30C4" w:rsidRDefault="00000000">
      <w:pPr>
        <w:pStyle w:val="ListParagraph"/>
        <w:numPr>
          <w:ilvl w:val="0"/>
          <w:numId w:val="2"/>
        </w:numPr>
        <w:spacing w:after="70" w:line="264" w:lineRule="auto"/>
        <w:rPr>
          <w:rFonts w:ascii="Times New Roman" w:hAnsi="Times New Roman" w:cs="Times New Roman"/>
          <w:sz w:val="22"/>
          <w:szCs w:val="22"/>
        </w:rPr>
      </w:pPr>
      <w:r w:rsidRPr="005C30C4">
        <w:rPr>
          <w:rFonts w:ascii="Times New Roman" w:hAnsi="Times New Roman" w:cs="Times New Roman"/>
          <w:sz w:val="22"/>
          <w:szCs w:val="22"/>
        </w:rPr>
        <w:t>E.3  The pipeline appeared to succeed while dispatch and pre-dispatch folders stayed empty.</w:t>
      </w:r>
    </w:p>
    <w:p w14:paraId="79E9E880" w14:textId="77777777" w:rsidR="00D00928" w:rsidRPr="005C30C4" w:rsidRDefault="00000000">
      <w:pPr>
        <w:pStyle w:val="Heading1"/>
        <w:spacing w:before="320" w:after="140"/>
        <w:rPr>
          <w:rFonts w:ascii="Times New Roman" w:hAnsi="Times New Roman" w:cs="Times New Roman"/>
          <w:sz w:val="22"/>
          <w:szCs w:val="22"/>
        </w:rPr>
      </w:pPr>
      <w:r w:rsidRPr="005C30C4">
        <w:rPr>
          <w:rFonts w:ascii="Times New Roman" w:hAnsi="Times New Roman" w:cs="Times New Roman"/>
          <w:b/>
          <w:bCs/>
          <w:color w:val="1F3864"/>
          <w:sz w:val="22"/>
          <w:szCs w:val="22"/>
        </w:rPr>
        <w:t>F. Investigation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44"/>
        <w:gridCol w:w="5616"/>
      </w:tblGrid>
      <w:tr w:rsidR="00D00928" w:rsidRPr="005C30C4" w14:paraId="07C2B4ED" w14:textId="77777777">
        <w:tblPrEx>
          <w:tblCellMar>
            <w:top w:w="0" w:type="dxa"/>
            <w:bottom w:w="0" w:type="dxa"/>
          </w:tblCellMar>
        </w:tblPrEx>
        <w:trPr>
          <w:cantSplit/>
          <w:tblHeader/>
        </w:trPr>
        <w:tc>
          <w:tcPr>
            <w:tcW w:w="3744" w:type="dxa"/>
            <w:shd w:val="clear" w:color="auto" w:fill="1F3864"/>
            <w:tcMar>
              <w:top w:w="60" w:type="dxa"/>
              <w:left w:w="90" w:type="dxa"/>
              <w:bottom w:w="60" w:type="dxa"/>
              <w:right w:w="90" w:type="dxa"/>
            </w:tcMar>
          </w:tcPr>
          <w:p w14:paraId="1D897E59"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t>Issue</w:t>
            </w:r>
          </w:p>
        </w:tc>
        <w:tc>
          <w:tcPr>
            <w:tcW w:w="5616" w:type="dxa"/>
            <w:shd w:val="clear" w:color="auto" w:fill="1F3864"/>
            <w:tcMar>
              <w:top w:w="60" w:type="dxa"/>
              <w:left w:w="90" w:type="dxa"/>
              <w:bottom w:w="60" w:type="dxa"/>
              <w:right w:w="90" w:type="dxa"/>
            </w:tcMar>
          </w:tcPr>
          <w:p w14:paraId="3EC0DBF2"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t>How the cause was established</w:t>
            </w:r>
          </w:p>
        </w:tc>
      </w:tr>
      <w:tr w:rsidR="00D00928" w:rsidRPr="005C30C4" w14:paraId="6A828978" w14:textId="77777777">
        <w:tblPrEx>
          <w:tblCellMar>
            <w:top w:w="0" w:type="dxa"/>
            <w:bottom w:w="0" w:type="dxa"/>
          </w:tblCellMar>
        </w:tblPrEx>
        <w:trPr>
          <w:cantSplit/>
        </w:trPr>
        <w:tc>
          <w:tcPr>
            <w:tcW w:w="3744" w:type="dxa"/>
            <w:tcMar>
              <w:top w:w="60" w:type="dxa"/>
              <w:left w:w="90" w:type="dxa"/>
              <w:bottom w:w="60" w:type="dxa"/>
              <w:right w:w="90" w:type="dxa"/>
            </w:tcMar>
          </w:tcPr>
          <w:p w14:paraId="53A38BB0"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The current-market files contained no 2022 data, and the interval spacing was inconsistent across the period.</w:t>
            </w:r>
          </w:p>
        </w:tc>
        <w:tc>
          <w:tcPr>
            <w:tcW w:w="5616" w:type="dxa"/>
            <w:tcMar>
              <w:top w:w="60" w:type="dxa"/>
              <w:left w:w="90" w:type="dxa"/>
              <w:bottom w:w="60" w:type="dxa"/>
              <w:right w:w="90" w:type="dxa"/>
            </w:tcMar>
          </w:tcPr>
          <w:p w14:paraId="4432C37E" w14:textId="73E7C3F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 xml:space="preserve">Investigated the WA source directories rather than treating the inconsistency as corrupt </w:t>
            </w:r>
            <w:r w:rsidR="005C30C4" w:rsidRPr="005C30C4">
              <w:rPr>
                <w:rFonts w:ascii="Times New Roman" w:hAnsi="Times New Roman" w:cs="Times New Roman"/>
                <w:color w:val="000000"/>
                <w:sz w:val="22"/>
                <w:szCs w:val="22"/>
              </w:rPr>
              <w:t>data and</w:t>
            </w:r>
            <w:r w:rsidRPr="005C30C4">
              <w:rPr>
                <w:rFonts w:ascii="Times New Roman" w:hAnsi="Times New Roman" w:cs="Times New Roman"/>
                <w:color w:val="000000"/>
                <w:sz w:val="22"/>
                <w:szCs w:val="22"/>
              </w:rPr>
              <w:t xml:space="preserve"> found the 1 October 2023 market-system changeover.</w:t>
            </w:r>
          </w:p>
        </w:tc>
      </w:tr>
      <w:tr w:rsidR="00D00928" w:rsidRPr="005C30C4" w14:paraId="0E4D87EF" w14:textId="77777777">
        <w:tblPrEx>
          <w:tblCellMar>
            <w:top w:w="0" w:type="dxa"/>
            <w:bottom w:w="0" w:type="dxa"/>
          </w:tblCellMar>
        </w:tblPrEx>
        <w:trPr>
          <w:cantSplit/>
        </w:trPr>
        <w:tc>
          <w:tcPr>
            <w:tcW w:w="3744" w:type="dxa"/>
            <w:shd w:val="clear" w:color="auto" w:fill="EDF2F8"/>
            <w:tcMar>
              <w:top w:w="60" w:type="dxa"/>
              <w:left w:w="90" w:type="dxa"/>
              <w:bottom w:w="60" w:type="dxa"/>
              <w:right w:w="90" w:type="dxa"/>
            </w:tcMar>
          </w:tcPr>
          <w:p w14:paraId="2CE0B27C"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Column names differ across the three WA sources, and the current-market file carries demand and withdrawal side by side.</w:t>
            </w:r>
          </w:p>
        </w:tc>
        <w:tc>
          <w:tcPr>
            <w:tcW w:w="5616" w:type="dxa"/>
            <w:shd w:val="clear" w:color="auto" w:fill="EDF2F8"/>
            <w:tcMar>
              <w:top w:w="60" w:type="dxa"/>
              <w:left w:w="90" w:type="dxa"/>
              <w:bottom w:w="60" w:type="dxa"/>
              <w:right w:w="90" w:type="dxa"/>
            </w:tcMar>
          </w:tcPr>
          <w:p w14:paraId="432C1C7C"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Compared the column structure of all three sources and identified which columns could be confused.</w:t>
            </w:r>
          </w:p>
        </w:tc>
      </w:tr>
      <w:tr w:rsidR="00D00928" w:rsidRPr="005C30C4" w14:paraId="496056BC" w14:textId="77777777">
        <w:tblPrEx>
          <w:tblCellMar>
            <w:top w:w="0" w:type="dxa"/>
            <w:bottom w:w="0" w:type="dxa"/>
          </w:tblCellMar>
        </w:tblPrEx>
        <w:trPr>
          <w:cantSplit/>
        </w:trPr>
        <w:tc>
          <w:tcPr>
            <w:tcW w:w="3744" w:type="dxa"/>
            <w:tcMar>
              <w:top w:w="60" w:type="dxa"/>
              <w:left w:w="90" w:type="dxa"/>
              <w:bottom w:w="60" w:type="dxa"/>
              <w:right w:w="90" w:type="dxa"/>
            </w:tcMar>
          </w:tcPr>
          <w:p w14:paraId="4F6488DB"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The pipeline appeared to succeed while dispatch and pre-dispatch folders stayed empty.</w:t>
            </w:r>
          </w:p>
        </w:tc>
        <w:tc>
          <w:tcPr>
            <w:tcW w:w="5616" w:type="dxa"/>
            <w:tcMar>
              <w:top w:w="60" w:type="dxa"/>
              <w:left w:w="90" w:type="dxa"/>
              <w:bottom w:w="60" w:type="dxa"/>
              <w:right w:w="90" w:type="dxa"/>
            </w:tcMar>
          </w:tcPr>
          <w:p w14:paraId="5EE319C4" w14:textId="6CB36F41"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 xml:space="preserve">Traced through the WA top-up loop after Ashish confirmed his module worked </w:t>
            </w:r>
            <w:r w:rsidR="005C30C4" w:rsidRPr="005C30C4">
              <w:rPr>
                <w:rFonts w:ascii="Times New Roman" w:hAnsi="Times New Roman" w:cs="Times New Roman"/>
                <w:color w:val="000000"/>
                <w:sz w:val="22"/>
                <w:szCs w:val="22"/>
              </w:rPr>
              <w:t>standalone and</w:t>
            </w:r>
            <w:r w:rsidRPr="005C30C4">
              <w:rPr>
                <w:rFonts w:ascii="Times New Roman" w:hAnsi="Times New Roman" w:cs="Times New Roman"/>
                <w:color w:val="000000"/>
                <w:sz w:val="22"/>
                <w:szCs w:val="22"/>
              </w:rPr>
              <w:t xml:space="preserve"> found the fallback start date causing roughly 250 requests at 30-second timeouts.</w:t>
            </w:r>
          </w:p>
        </w:tc>
      </w:tr>
    </w:tbl>
    <w:p w14:paraId="0FEC3EAB" w14:textId="77777777" w:rsidR="00D00928" w:rsidRPr="005C30C4" w:rsidRDefault="00000000">
      <w:pPr>
        <w:pStyle w:val="Heading1"/>
        <w:spacing w:before="320" w:after="140"/>
        <w:rPr>
          <w:rFonts w:ascii="Times New Roman" w:hAnsi="Times New Roman" w:cs="Times New Roman"/>
          <w:sz w:val="22"/>
          <w:szCs w:val="22"/>
        </w:rPr>
      </w:pPr>
      <w:r w:rsidRPr="005C30C4">
        <w:rPr>
          <w:rFonts w:ascii="Times New Roman" w:hAnsi="Times New Roman" w:cs="Times New Roman"/>
          <w:b/>
          <w:bCs/>
          <w:color w:val="1F3864"/>
          <w:sz w:val="22"/>
          <w:szCs w:val="22"/>
        </w:rPr>
        <w:t>G. Decision taken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744"/>
        <w:gridCol w:w="5616"/>
      </w:tblGrid>
      <w:tr w:rsidR="00D00928" w:rsidRPr="005C30C4" w14:paraId="171C097C" w14:textId="77777777">
        <w:tblPrEx>
          <w:tblCellMar>
            <w:top w:w="0" w:type="dxa"/>
            <w:bottom w:w="0" w:type="dxa"/>
          </w:tblCellMar>
        </w:tblPrEx>
        <w:trPr>
          <w:cantSplit/>
          <w:tblHeader/>
        </w:trPr>
        <w:tc>
          <w:tcPr>
            <w:tcW w:w="3744" w:type="dxa"/>
            <w:shd w:val="clear" w:color="auto" w:fill="1F3864"/>
            <w:tcMar>
              <w:top w:w="60" w:type="dxa"/>
              <w:left w:w="90" w:type="dxa"/>
              <w:bottom w:w="60" w:type="dxa"/>
              <w:right w:w="90" w:type="dxa"/>
            </w:tcMar>
          </w:tcPr>
          <w:p w14:paraId="752CEDD3"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t>Issue</w:t>
            </w:r>
          </w:p>
        </w:tc>
        <w:tc>
          <w:tcPr>
            <w:tcW w:w="5616" w:type="dxa"/>
            <w:shd w:val="clear" w:color="auto" w:fill="1F3864"/>
            <w:tcMar>
              <w:top w:w="60" w:type="dxa"/>
              <w:left w:w="90" w:type="dxa"/>
              <w:bottom w:w="60" w:type="dxa"/>
              <w:right w:w="90" w:type="dxa"/>
            </w:tcMar>
          </w:tcPr>
          <w:p w14:paraId="57ACB156"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t>Resolution</w:t>
            </w:r>
          </w:p>
        </w:tc>
      </w:tr>
      <w:tr w:rsidR="00D00928" w:rsidRPr="005C30C4" w14:paraId="62865463" w14:textId="77777777">
        <w:tblPrEx>
          <w:tblCellMar>
            <w:top w:w="0" w:type="dxa"/>
            <w:bottom w:w="0" w:type="dxa"/>
          </w:tblCellMar>
        </w:tblPrEx>
        <w:trPr>
          <w:cantSplit/>
        </w:trPr>
        <w:tc>
          <w:tcPr>
            <w:tcW w:w="3744" w:type="dxa"/>
            <w:tcMar>
              <w:top w:w="60" w:type="dxa"/>
              <w:left w:w="90" w:type="dxa"/>
              <w:bottom w:w="60" w:type="dxa"/>
              <w:right w:w="90" w:type="dxa"/>
            </w:tcMar>
          </w:tcPr>
          <w:p w14:paraId="29A49A56"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The current-market files contained no 2022 data, and the interval spacing was inconsistent across the period.</w:t>
            </w:r>
          </w:p>
        </w:tc>
        <w:tc>
          <w:tcPr>
            <w:tcW w:w="5616" w:type="dxa"/>
            <w:tcMar>
              <w:top w:w="60" w:type="dxa"/>
              <w:left w:w="90" w:type="dxa"/>
              <w:bottom w:w="60" w:type="dxa"/>
              <w:right w:w="90" w:type="dxa"/>
            </w:tcMar>
          </w:tcPr>
          <w:p w14:paraId="2AC1A93D"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One cause explained three separate open issues. Assembled the history across the cutover from three sources with explicit precedence, preserving both native resolutions.</w:t>
            </w:r>
          </w:p>
        </w:tc>
      </w:tr>
      <w:tr w:rsidR="00D00928" w:rsidRPr="005C30C4" w14:paraId="5604130F" w14:textId="77777777">
        <w:tblPrEx>
          <w:tblCellMar>
            <w:top w:w="0" w:type="dxa"/>
            <w:bottom w:w="0" w:type="dxa"/>
          </w:tblCellMar>
        </w:tblPrEx>
        <w:trPr>
          <w:cantSplit/>
        </w:trPr>
        <w:tc>
          <w:tcPr>
            <w:tcW w:w="3744" w:type="dxa"/>
            <w:shd w:val="clear" w:color="auto" w:fill="EDF2F8"/>
            <w:tcMar>
              <w:top w:w="60" w:type="dxa"/>
              <w:left w:w="90" w:type="dxa"/>
              <w:bottom w:w="60" w:type="dxa"/>
              <w:right w:w="90" w:type="dxa"/>
            </w:tcMar>
          </w:tcPr>
          <w:p w14:paraId="566041E4"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Column names differ across the three WA sources, and the current-market file carries demand and withdrawal side by side.</w:t>
            </w:r>
          </w:p>
        </w:tc>
        <w:tc>
          <w:tcPr>
            <w:tcW w:w="5616" w:type="dxa"/>
            <w:shd w:val="clear" w:color="auto" w:fill="EDF2F8"/>
            <w:tcMar>
              <w:top w:w="60" w:type="dxa"/>
              <w:left w:w="90" w:type="dxa"/>
              <w:bottom w:w="60" w:type="dxa"/>
              <w:right w:w="90" w:type="dxa"/>
            </w:tcMar>
          </w:tcPr>
          <w:p w14:paraId="45CC9F32"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Structural detection that rejects any column containing "forecast" or "withdrawal". Silently taking the wrong column would have corrupted the target variable.</w:t>
            </w:r>
          </w:p>
        </w:tc>
      </w:tr>
      <w:tr w:rsidR="00D00928" w:rsidRPr="005C30C4" w14:paraId="29945534" w14:textId="77777777">
        <w:tblPrEx>
          <w:tblCellMar>
            <w:top w:w="0" w:type="dxa"/>
            <w:bottom w:w="0" w:type="dxa"/>
          </w:tblCellMar>
        </w:tblPrEx>
        <w:trPr>
          <w:cantSplit/>
        </w:trPr>
        <w:tc>
          <w:tcPr>
            <w:tcW w:w="3744" w:type="dxa"/>
            <w:tcMar>
              <w:top w:w="60" w:type="dxa"/>
              <w:left w:w="90" w:type="dxa"/>
              <w:bottom w:w="60" w:type="dxa"/>
              <w:right w:w="90" w:type="dxa"/>
            </w:tcMar>
          </w:tcPr>
          <w:p w14:paraId="755C14BE"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The pipeline appeared to succeed while dispatch and pre-dispatch folders stayed empty.</w:t>
            </w:r>
          </w:p>
        </w:tc>
        <w:tc>
          <w:tcPr>
            <w:tcW w:w="5616" w:type="dxa"/>
            <w:tcMar>
              <w:top w:w="60" w:type="dxa"/>
              <w:left w:w="90" w:type="dxa"/>
              <w:bottom w:w="60" w:type="dxa"/>
              <w:right w:w="90" w:type="dxa"/>
            </w:tcMar>
          </w:tcPr>
          <w:p w14:paraId="6894A53F" w14:textId="77777777" w:rsidR="00D00928" w:rsidRPr="005C30C4" w:rsidRDefault="00000000">
            <w:pPr>
              <w:rPr>
                <w:rFonts w:ascii="Times New Roman" w:hAnsi="Times New Roman" w:cs="Times New Roman"/>
                <w:sz w:val="22"/>
                <w:szCs w:val="22"/>
              </w:rPr>
            </w:pPr>
            <w:proofErr w:type="spellStart"/>
            <w:r w:rsidRPr="005C30C4">
              <w:rPr>
                <w:rFonts w:ascii="Times New Roman" w:hAnsi="Times New Roman" w:cs="Times New Roman"/>
                <w:color w:val="000000"/>
                <w:sz w:val="22"/>
                <w:szCs w:val="22"/>
              </w:rPr>
              <w:t>tail_days</w:t>
            </w:r>
            <w:proofErr w:type="spellEnd"/>
            <w:r w:rsidRPr="005C30C4">
              <w:rPr>
                <w:rFonts w:ascii="Times New Roman" w:hAnsi="Times New Roman" w:cs="Times New Roman"/>
                <w:color w:val="000000"/>
                <w:sz w:val="22"/>
                <w:szCs w:val="22"/>
              </w:rPr>
              <w:t xml:space="preserve"> cap added, default 14. Tested with the annual file forced to fail: 15 requests instead of roughly 250.</w:t>
            </w:r>
          </w:p>
        </w:tc>
      </w:tr>
    </w:tbl>
    <w:p w14:paraId="3A957446" w14:textId="77777777" w:rsidR="00D00928" w:rsidRPr="005C30C4" w:rsidRDefault="00000000">
      <w:pPr>
        <w:pStyle w:val="Heading1"/>
        <w:spacing w:before="320" w:after="140"/>
        <w:rPr>
          <w:rFonts w:ascii="Times New Roman" w:hAnsi="Times New Roman" w:cs="Times New Roman"/>
          <w:sz w:val="22"/>
          <w:szCs w:val="22"/>
        </w:rPr>
      </w:pPr>
      <w:r w:rsidRPr="005C30C4">
        <w:rPr>
          <w:rFonts w:ascii="Times New Roman" w:hAnsi="Times New Roman" w:cs="Times New Roman"/>
          <w:b/>
          <w:bCs/>
          <w:color w:val="1F3864"/>
          <w:sz w:val="22"/>
          <w:szCs w:val="22"/>
        </w:rPr>
        <w:lastRenderedPageBreak/>
        <w:t>H. Contribution at the 23 August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08"/>
        <w:gridCol w:w="6552"/>
      </w:tblGrid>
      <w:tr w:rsidR="00D00928" w:rsidRPr="005C30C4" w14:paraId="483EF102" w14:textId="77777777">
        <w:tblPrEx>
          <w:tblCellMar>
            <w:top w:w="0" w:type="dxa"/>
            <w:bottom w:w="0" w:type="dxa"/>
          </w:tblCellMar>
        </w:tblPrEx>
        <w:trPr>
          <w:cantSplit/>
          <w:tblHeader/>
        </w:trPr>
        <w:tc>
          <w:tcPr>
            <w:tcW w:w="2808" w:type="dxa"/>
            <w:shd w:val="clear" w:color="auto" w:fill="1F3864"/>
            <w:tcMar>
              <w:top w:w="60" w:type="dxa"/>
              <w:left w:w="90" w:type="dxa"/>
              <w:bottom w:w="60" w:type="dxa"/>
              <w:right w:w="90" w:type="dxa"/>
            </w:tcMar>
          </w:tcPr>
          <w:p w14:paraId="129A66BE"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t>Minute reference</w:t>
            </w:r>
          </w:p>
        </w:tc>
        <w:tc>
          <w:tcPr>
            <w:tcW w:w="6552" w:type="dxa"/>
            <w:shd w:val="clear" w:color="auto" w:fill="1F3864"/>
            <w:tcMar>
              <w:top w:w="60" w:type="dxa"/>
              <w:left w:w="90" w:type="dxa"/>
              <w:bottom w:w="60" w:type="dxa"/>
              <w:right w:w="90" w:type="dxa"/>
            </w:tcMar>
          </w:tcPr>
          <w:p w14:paraId="48643B2C"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t>Contribution</w:t>
            </w:r>
          </w:p>
        </w:tc>
      </w:tr>
      <w:tr w:rsidR="00D00928" w:rsidRPr="005C30C4" w14:paraId="59592384" w14:textId="77777777">
        <w:tblPrEx>
          <w:tblCellMar>
            <w:top w:w="0" w:type="dxa"/>
            <w:bottom w:w="0" w:type="dxa"/>
          </w:tblCellMar>
        </w:tblPrEx>
        <w:trPr>
          <w:cantSplit/>
        </w:trPr>
        <w:tc>
          <w:tcPr>
            <w:tcW w:w="2808" w:type="dxa"/>
            <w:tcMar>
              <w:top w:w="60" w:type="dxa"/>
              <w:left w:w="90" w:type="dxa"/>
              <w:bottom w:w="60" w:type="dxa"/>
              <w:right w:w="90" w:type="dxa"/>
            </w:tcMar>
          </w:tcPr>
          <w:p w14:paraId="31B0B464"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§2.3 — WA pipeline, cutover and 2022 access (Issues 3, 4, 5) RESOLVED</w:t>
            </w:r>
          </w:p>
        </w:tc>
        <w:tc>
          <w:tcPr>
            <w:tcW w:w="6552" w:type="dxa"/>
            <w:tcMar>
              <w:top w:w="60" w:type="dxa"/>
              <w:left w:w="90" w:type="dxa"/>
              <w:bottom w:w="60" w:type="dxa"/>
              <w:right w:w="90" w:type="dxa"/>
            </w:tcMar>
          </w:tcPr>
          <w:p w14:paraId="630531EC"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Presented the WA solution, the largest single piece of work in the cycle. Identified that the WEM changed market systems on 1 October 2023, which explains all three issues at once: the legacy directory supplies 30-minute operational demand for 1 January 2022 to 30 September 2023 — the route to the 2022 data missing from the current-market files — the current-market directory supplies 5-minute demand from 1 October 2023, and daily WEM files top up the tail because the current-year annual file lags by several days. Also demonstrated that column names differ across the three sources, so timestamp and demand columns are detected by structure, with detection deliberately rejecting any column containing "forecast" or "withdrawal".</w:t>
            </w:r>
          </w:p>
        </w:tc>
      </w:tr>
      <w:tr w:rsidR="00D00928" w:rsidRPr="005C30C4" w14:paraId="1BC38E37" w14:textId="77777777">
        <w:tblPrEx>
          <w:tblCellMar>
            <w:top w:w="0" w:type="dxa"/>
            <w:bottom w:w="0" w:type="dxa"/>
          </w:tblCellMar>
        </w:tblPrEx>
        <w:trPr>
          <w:cantSplit/>
        </w:trPr>
        <w:tc>
          <w:tcPr>
            <w:tcW w:w="2808" w:type="dxa"/>
            <w:shd w:val="clear" w:color="auto" w:fill="EDF2F8"/>
            <w:tcMar>
              <w:top w:w="60" w:type="dxa"/>
              <w:left w:w="90" w:type="dxa"/>
              <w:bottom w:w="60" w:type="dxa"/>
              <w:right w:w="90" w:type="dxa"/>
            </w:tcMar>
          </w:tcPr>
          <w:p w14:paraId="4BB477AA"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§2.3 — no resampling in acquisition</w:t>
            </w:r>
          </w:p>
        </w:tc>
        <w:tc>
          <w:tcPr>
            <w:tcW w:w="6552" w:type="dxa"/>
            <w:shd w:val="clear" w:color="auto" w:fill="EDF2F8"/>
            <w:tcMar>
              <w:top w:w="60" w:type="dxa"/>
              <w:left w:w="90" w:type="dxa"/>
              <w:bottom w:w="60" w:type="dxa"/>
              <w:right w:w="90" w:type="dxa"/>
            </w:tcMar>
          </w:tcPr>
          <w:p w14:paraId="655F8022"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Established that the 30-minute and 5-minute halves stay as published, with SOURCE and SOURCE_INTERVAL_MIN recording where every row came from and at what frequency.</w:t>
            </w:r>
          </w:p>
        </w:tc>
      </w:tr>
      <w:tr w:rsidR="00D00928" w:rsidRPr="005C30C4" w14:paraId="4E14EA64" w14:textId="77777777">
        <w:tblPrEx>
          <w:tblCellMar>
            <w:top w:w="0" w:type="dxa"/>
            <w:bottom w:w="0" w:type="dxa"/>
          </w:tblCellMar>
        </w:tblPrEx>
        <w:trPr>
          <w:cantSplit/>
        </w:trPr>
        <w:tc>
          <w:tcPr>
            <w:tcW w:w="2808" w:type="dxa"/>
            <w:tcMar>
              <w:top w:w="60" w:type="dxa"/>
              <w:left w:w="90" w:type="dxa"/>
              <w:bottom w:w="60" w:type="dxa"/>
              <w:right w:w="90" w:type="dxa"/>
            </w:tcMar>
          </w:tcPr>
          <w:p w14:paraId="3833A31B"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§3.3 Fix 1 — the silent stall</w:t>
            </w:r>
          </w:p>
        </w:tc>
        <w:tc>
          <w:tcPr>
            <w:tcW w:w="6552" w:type="dxa"/>
            <w:tcMar>
              <w:top w:w="60" w:type="dxa"/>
              <w:left w:w="90" w:type="dxa"/>
              <w:bottom w:w="60" w:type="dxa"/>
              <w:right w:w="90" w:type="dxa"/>
            </w:tcMar>
          </w:tcPr>
          <w:p w14:paraId="30051575"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 xml:space="preserve">Traced the empty dispatch folders to the WA daily top-up loop. When the current-year annual CSV fails to load, the start date falls back to 1 January and the loop issues roughly 250 requests at 30-second timeouts. The run was not crashing, it was stalling, and the dashboard step sat behind it and never executed. Added a </w:t>
            </w:r>
            <w:proofErr w:type="spellStart"/>
            <w:r w:rsidRPr="005C30C4">
              <w:rPr>
                <w:rFonts w:ascii="Times New Roman" w:hAnsi="Times New Roman" w:cs="Times New Roman"/>
                <w:color w:val="000000"/>
                <w:sz w:val="22"/>
                <w:szCs w:val="22"/>
              </w:rPr>
              <w:t>tail_days</w:t>
            </w:r>
            <w:proofErr w:type="spellEnd"/>
            <w:r w:rsidRPr="005C30C4">
              <w:rPr>
                <w:rFonts w:ascii="Times New Roman" w:hAnsi="Times New Roman" w:cs="Times New Roman"/>
                <w:color w:val="000000"/>
                <w:sz w:val="22"/>
                <w:szCs w:val="22"/>
              </w:rPr>
              <w:t xml:space="preserve"> parameter, default 14, to bound the loop. Tested with the annual file forced to fail: 15 requests instead of roughly 250, with a warning explaining why. The group noted this was the most useful failure of the cycle — an uncaught error would have been obvious, whereas a silent stall looked like working code.</w:t>
            </w:r>
          </w:p>
        </w:tc>
      </w:tr>
    </w:tbl>
    <w:p w14:paraId="1370E3B6" w14:textId="77777777" w:rsidR="00D00928" w:rsidRPr="005C30C4" w:rsidRDefault="00000000">
      <w:pPr>
        <w:pStyle w:val="Heading1"/>
        <w:spacing w:before="320" w:after="140"/>
        <w:rPr>
          <w:rFonts w:ascii="Times New Roman" w:hAnsi="Times New Roman" w:cs="Times New Roman"/>
          <w:sz w:val="22"/>
          <w:szCs w:val="22"/>
        </w:rPr>
      </w:pPr>
      <w:r w:rsidRPr="005C30C4">
        <w:rPr>
          <w:rFonts w:ascii="Times New Roman" w:hAnsi="Times New Roman" w:cs="Times New Roman"/>
          <w:b/>
          <w:bCs/>
          <w:color w:val="1F3864"/>
          <w:sz w:val="22"/>
          <w:szCs w:val="22"/>
        </w:rPr>
        <w:t>I. Collaboration with other members</w:t>
      </w:r>
    </w:p>
    <w:p w14:paraId="6CDC6760" w14:textId="77777777" w:rsidR="00D00928" w:rsidRPr="005C30C4" w:rsidRDefault="00000000">
      <w:pPr>
        <w:spacing w:after="110" w:line="264" w:lineRule="auto"/>
        <w:rPr>
          <w:rFonts w:ascii="Times New Roman" w:hAnsi="Times New Roman" w:cs="Times New Roman"/>
          <w:sz w:val="22"/>
          <w:szCs w:val="22"/>
        </w:rPr>
      </w:pPr>
      <w:r w:rsidRPr="005C30C4">
        <w:rPr>
          <w:rFonts w:ascii="Times New Roman" w:hAnsi="Times New Roman" w:cs="Times New Roman"/>
          <w:color w:val="000000"/>
          <w:sz w:val="22"/>
          <w:szCs w:val="22"/>
        </w:rPr>
        <w:t>Peer review pairs agreed on 19 August: Suraj with Sudip, Ashish with Bishal. All four members pushed a branch and opened a pull request before the 23 August session, so integration started from reviewed code.</w:t>
      </w:r>
    </w:p>
    <w:p w14:paraId="5E76B8CC" w14:textId="77777777" w:rsidR="00D00928" w:rsidRPr="005C30C4" w:rsidRDefault="00000000">
      <w:pPr>
        <w:spacing w:before="60" w:after="40"/>
        <w:rPr>
          <w:rFonts w:ascii="Times New Roman" w:hAnsi="Times New Roman" w:cs="Times New Roman"/>
          <w:sz w:val="22"/>
          <w:szCs w:val="22"/>
        </w:rPr>
      </w:pPr>
      <w:r w:rsidRPr="005C30C4">
        <w:rPr>
          <w:rFonts w:ascii="Times New Roman" w:hAnsi="Times New Roman" w:cs="Times New Roman"/>
          <w:i/>
          <w:iCs/>
          <w:color w:val="999999"/>
          <w:sz w:val="22"/>
          <w:szCs w:val="22"/>
        </w:rPr>
        <w:t>[Who you worked with, on what, and what changed as a result]</w:t>
      </w:r>
    </w:p>
    <w:p w14:paraId="0B9C4BBF" w14:textId="77777777" w:rsidR="00D00928" w:rsidRPr="005C30C4" w:rsidRDefault="00000000">
      <w:pPr>
        <w:pBdr>
          <w:bottom w:val="dotted" w:sz="6" w:space="6" w:color="CCCCCC"/>
        </w:pBdr>
        <w:spacing w:after="100"/>
        <w:rPr>
          <w:rFonts w:ascii="Times New Roman" w:hAnsi="Times New Roman" w:cs="Times New Roman"/>
          <w:sz w:val="22"/>
          <w:szCs w:val="22"/>
        </w:rPr>
      </w:pPr>
      <w:r w:rsidRPr="005C30C4">
        <w:rPr>
          <w:rFonts w:ascii="Times New Roman" w:hAnsi="Times New Roman" w:cs="Times New Roman"/>
          <w:sz w:val="22"/>
          <w:szCs w:val="22"/>
        </w:rPr>
        <w:t xml:space="preserve"> </w:t>
      </w:r>
    </w:p>
    <w:p w14:paraId="06128581" w14:textId="77777777" w:rsidR="00D00928" w:rsidRPr="005C30C4" w:rsidRDefault="00000000">
      <w:pPr>
        <w:pBdr>
          <w:bottom w:val="dotted" w:sz="6" w:space="6" w:color="CCCCCC"/>
        </w:pBdr>
        <w:spacing w:after="100"/>
        <w:rPr>
          <w:rFonts w:ascii="Times New Roman" w:hAnsi="Times New Roman" w:cs="Times New Roman"/>
          <w:sz w:val="22"/>
          <w:szCs w:val="22"/>
        </w:rPr>
      </w:pPr>
      <w:r w:rsidRPr="005C30C4">
        <w:rPr>
          <w:rFonts w:ascii="Times New Roman" w:hAnsi="Times New Roman" w:cs="Times New Roman"/>
          <w:sz w:val="22"/>
          <w:szCs w:val="22"/>
        </w:rPr>
        <w:t xml:space="preserve"> </w:t>
      </w:r>
    </w:p>
    <w:p w14:paraId="0F98524D" w14:textId="77777777" w:rsidR="00D00928" w:rsidRPr="005C30C4" w:rsidRDefault="00000000">
      <w:pPr>
        <w:pBdr>
          <w:bottom w:val="dotted" w:sz="6" w:space="6" w:color="CCCCCC"/>
        </w:pBdr>
        <w:spacing w:after="100"/>
        <w:rPr>
          <w:rFonts w:ascii="Times New Roman" w:hAnsi="Times New Roman" w:cs="Times New Roman"/>
          <w:sz w:val="22"/>
          <w:szCs w:val="22"/>
        </w:rPr>
      </w:pPr>
      <w:r w:rsidRPr="005C30C4">
        <w:rPr>
          <w:rFonts w:ascii="Times New Roman" w:hAnsi="Times New Roman" w:cs="Times New Roman"/>
          <w:sz w:val="22"/>
          <w:szCs w:val="22"/>
        </w:rPr>
        <w:t xml:space="preserve"> </w:t>
      </w:r>
    </w:p>
    <w:p w14:paraId="6199FC6F" w14:textId="77777777" w:rsidR="00D00928" w:rsidRPr="005C30C4" w:rsidRDefault="00000000">
      <w:pPr>
        <w:pStyle w:val="Heading1"/>
        <w:spacing w:before="320" w:after="140"/>
        <w:rPr>
          <w:rFonts w:ascii="Times New Roman" w:hAnsi="Times New Roman" w:cs="Times New Roman"/>
          <w:sz w:val="22"/>
          <w:szCs w:val="22"/>
        </w:rPr>
      </w:pPr>
      <w:r w:rsidRPr="005C30C4">
        <w:rPr>
          <w:rFonts w:ascii="Times New Roman" w:hAnsi="Times New Roman" w:cs="Times New Roman"/>
          <w:b/>
          <w:bCs/>
          <w:color w:val="1F3864"/>
          <w:sz w:val="22"/>
          <w:szCs w:val="22"/>
        </w:rPr>
        <w:t>J. Evidence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31"/>
        <w:gridCol w:w="5429"/>
      </w:tblGrid>
      <w:tr w:rsidR="00D00928" w:rsidRPr="005C30C4" w14:paraId="36F82B31" w14:textId="77777777">
        <w:tblPrEx>
          <w:tblCellMar>
            <w:top w:w="0" w:type="dxa"/>
            <w:bottom w:w="0" w:type="dxa"/>
          </w:tblCellMar>
        </w:tblPrEx>
        <w:trPr>
          <w:cantSplit/>
          <w:tblHeader/>
        </w:trPr>
        <w:tc>
          <w:tcPr>
            <w:tcW w:w="3931" w:type="dxa"/>
            <w:shd w:val="clear" w:color="auto" w:fill="1F3864"/>
            <w:tcMar>
              <w:top w:w="60" w:type="dxa"/>
              <w:left w:w="90" w:type="dxa"/>
              <w:bottom w:w="60" w:type="dxa"/>
              <w:right w:w="90" w:type="dxa"/>
            </w:tcMar>
          </w:tcPr>
          <w:p w14:paraId="6B760B75"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t>Artefact</w:t>
            </w:r>
          </w:p>
        </w:tc>
        <w:tc>
          <w:tcPr>
            <w:tcW w:w="5429" w:type="dxa"/>
            <w:shd w:val="clear" w:color="auto" w:fill="1F3864"/>
            <w:tcMar>
              <w:top w:w="60" w:type="dxa"/>
              <w:left w:w="90" w:type="dxa"/>
              <w:bottom w:w="60" w:type="dxa"/>
              <w:right w:w="90" w:type="dxa"/>
            </w:tcMar>
          </w:tcPr>
          <w:p w14:paraId="2AA27F3E"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t>Result</w:t>
            </w:r>
          </w:p>
        </w:tc>
      </w:tr>
      <w:tr w:rsidR="00D00928" w:rsidRPr="005C30C4" w14:paraId="36587C2D" w14:textId="77777777">
        <w:tblPrEx>
          <w:tblCellMar>
            <w:top w:w="0" w:type="dxa"/>
            <w:bottom w:w="0" w:type="dxa"/>
          </w:tblCellMar>
        </w:tblPrEx>
        <w:trPr>
          <w:cantSplit/>
        </w:trPr>
        <w:tc>
          <w:tcPr>
            <w:tcW w:w="3931" w:type="dxa"/>
            <w:tcMar>
              <w:top w:w="60" w:type="dxa"/>
              <w:left w:w="90" w:type="dxa"/>
              <w:bottom w:w="60" w:type="dxa"/>
              <w:right w:w="90" w:type="dxa"/>
            </w:tcMar>
          </w:tcPr>
          <w:p w14:paraId="699DBD15"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WA_demand_2022_2026.csv</w:t>
            </w:r>
          </w:p>
        </w:tc>
        <w:tc>
          <w:tcPr>
            <w:tcW w:w="5429" w:type="dxa"/>
            <w:tcMar>
              <w:top w:w="60" w:type="dxa"/>
              <w:left w:w="90" w:type="dxa"/>
              <w:bottom w:w="60" w:type="dxa"/>
              <w:right w:w="90" w:type="dxa"/>
            </w:tcMar>
          </w:tcPr>
          <w:p w14:paraId="636BB701"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341,072 rows, 6 columns, 0 duplicate timestamps</w:t>
            </w:r>
          </w:p>
        </w:tc>
      </w:tr>
      <w:tr w:rsidR="00D00928" w:rsidRPr="005C30C4" w14:paraId="2CE45667" w14:textId="77777777">
        <w:tblPrEx>
          <w:tblCellMar>
            <w:top w:w="0" w:type="dxa"/>
            <w:bottom w:w="0" w:type="dxa"/>
          </w:tblCellMar>
        </w:tblPrEx>
        <w:trPr>
          <w:cantSplit/>
        </w:trPr>
        <w:tc>
          <w:tcPr>
            <w:tcW w:w="3931" w:type="dxa"/>
            <w:shd w:val="clear" w:color="auto" w:fill="EDF2F8"/>
            <w:tcMar>
              <w:top w:w="60" w:type="dxa"/>
              <w:left w:w="90" w:type="dxa"/>
              <w:bottom w:w="60" w:type="dxa"/>
              <w:right w:w="90" w:type="dxa"/>
            </w:tcMar>
          </w:tcPr>
          <w:p w14:paraId="7BA0A9E1"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Legacy regime</w:t>
            </w:r>
          </w:p>
        </w:tc>
        <w:tc>
          <w:tcPr>
            <w:tcW w:w="5429" w:type="dxa"/>
            <w:shd w:val="clear" w:color="auto" w:fill="EDF2F8"/>
            <w:tcMar>
              <w:top w:w="60" w:type="dxa"/>
              <w:left w:w="90" w:type="dxa"/>
              <w:bottom w:w="60" w:type="dxa"/>
              <w:right w:w="90" w:type="dxa"/>
            </w:tcMar>
          </w:tcPr>
          <w:p w14:paraId="5DA20D47"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30,608 rows at 30-minute, 2022-01-01 to 2023-09-30</w:t>
            </w:r>
          </w:p>
        </w:tc>
      </w:tr>
      <w:tr w:rsidR="00D00928" w:rsidRPr="005C30C4" w14:paraId="173BB2BD" w14:textId="77777777">
        <w:tblPrEx>
          <w:tblCellMar>
            <w:top w:w="0" w:type="dxa"/>
            <w:bottom w:w="0" w:type="dxa"/>
          </w:tblCellMar>
        </w:tblPrEx>
        <w:trPr>
          <w:cantSplit/>
        </w:trPr>
        <w:tc>
          <w:tcPr>
            <w:tcW w:w="3931" w:type="dxa"/>
            <w:tcMar>
              <w:top w:w="60" w:type="dxa"/>
              <w:left w:w="90" w:type="dxa"/>
              <w:bottom w:w="60" w:type="dxa"/>
              <w:right w:w="90" w:type="dxa"/>
            </w:tcMar>
          </w:tcPr>
          <w:p w14:paraId="4ED37FB0"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Current-market regime</w:t>
            </w:r>
          </w:p>
        </w:tc>
        <w:tc>
          <w:tcPr>
            <w:tcW w:w="5429" w:type="dxa"/>
            <w:tcMar>
              <w:top w:w="60" w:type="dxa"/>
              <w:left w:w="90" w:type="dxa"/>
              <w:bottom w:w="60" w:type="dxa"/>
              <w:right w:w="90" w:type="dxa"/>
            </w:tcMar>
          </w:tcPr>
          <w:p w14:paraId="22D66DB6"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310,464 rows at 5-minute, 2023-10-01 onwards</w:t>
            </w:r>
          </w:p>
        </w:tc>
      </w:tr>
      <w:tr w:rsidR="00D00928" w:rsidRPr="005C30C4" w14:paraId="4F083F8E" w14:textId="77777777">
        <w:tblPrEx>
          <w:tblCellMar>
            <w:top w:w="0" w:type="dxa"/>
            <w:bottom w:w="0" w:type="dxa"/>
          </w:tblCellMar>
        </w:tblPrEx>
        <w:trPr>
          <w:cantSplit/>
        </w:trPr>
        <w:tc>
          <w:tcPr>
            <w:tcW w:w="3931" w:type="dxa"/>
            <w:shd w:val="clear" w:color="auto" w:fill="EDF2F8"/>
            <w:tcMar>
              <w:top w:w="60" w:type="dxa"/>
              <w:left w:w="90" w:type="dxa"/>
              <w:bottom w:w="60" w:type="dxa"/>
              <w:right w:w="90" w:type="dxa"/>
            </w:tcMar>
          </w:tcPr>
          <w:p w14:paraId="6844CB68"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Source provenance</w:t>
            </w:r>
          </w:p>
        </w:tc>
        <w:tc>
          <w:tcPr>
            <w:tcW w:w="5429" w:type="dxa"/>
            <w:shd w:val="clear" w:color="auto" w:fill="EDF2F8"/>
            <w:tcMar>
              <w:top w:w="60" w:type="dxa"/>
              <w:left w:w="90" w:type="dxa"/>
              <w:bottom w:w="60" w:type="dxa"/>
              <w:right w:w="90" w:type="dxa"/>
            </w:tcMar>
          </w:tcPr>
          <w:p w14:paraId="323C5150"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Six distinct SOURCE values recorded across the two regimes</w:t>
            </w:r>
          </w:p>
        </w:tc>
      </w:tr>
      <w:tr w:rsidR="00D00928" w:rsidRPr="005C30C4" w14:paraId="627DDB5A" w14:textId="77777777">
        <w:tblPrEx>
          <w:tblCellMar>
            <w:top w:w="0" w:type="dxa"/>
            <w:bottom w:w="0" w:type="dxa"/>
          </w:tblCellMar>
        </w:tblPrEx>
        <w:trPr>
          <w:cantSplit/>
        </w:trPr>
        <w:tc>
          <w:tcPr>
            <w:tcW w:w="3931" w:type="dxa"/>
            <w:tcMar>
              <w:top w:w="60" w:type="dxa"/>
              <w:left w:w="90" w:type="dxa"/>
              <w:bottom w:w="60" w:type="dxa"/>
              <w:right w:w="90" w:type="dxa"/>
            </w:tcMar>
          </w:tcPr>
          <w:p w14:paraId="0A7B0E18"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MarketRequirements-2026.csv</w:t>
            </w:r>
          </w:p>
        </w:tc>
        <w:tc>
          <w:tcPr>
            <w:tcW w:w="5429" w:type="dxa"/>
            <w:tcMar>
              <w:top w:w="60" w:type="dxa"/>
              <w:left w:w="90" w:type="dxa"/>
              <w:bottom w:w="60" w:type="dxa"/>
              <w:right w:w="90" w:type="dxa"/>
            </w:tcMar>
          </w:tcPr>
          <w:p w14:paraId="2DD86A97"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73,440 rows, 9 columns, separate folder</w:t>
            </w:r>
          </w:p>
        </w:tc>
      </w:tr>
      <w:tr w:rsidR="00D00928" w:rsidRPr="005C30C4" w14:paraId="131CD0D9" w14:textId="77777777">
        <w:tblPrEx>
          <w:tblCellMar>
            <w:top w:w="0" w:type="dxa"/>
            <w:bottom w:w="0" w:type="dxa"/>
          </w:tblCellMar>
        </w:tblPrEx>
        <w:trPr>
          <w:cantSplit/>
        </w:trPr>
        <w:tc>
          <w:tcPr>
            <w:tcW w:w="3931" w:type="dxa"/>
            <w:shd w:val="clear" w:color="auto" w:fill="EDF2F8"/>
            <w:tcMar>
              <w:top w:w="60" w:type="dxa"/>
              <w:left w:w="90" w:type="dxa"/>
              <w:bottom w:w="60" w:type="dxa"/>
              <w:right w:w="90" w:type="dxa"/>
            </w:tcMar>
          </w:tcPr>
          <w:p w14:paraId="1154E3E4"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Module</w:t>
            </w:r>
          </w:p>
        </w:tc>
        <w:tc>
          <w:tcPr>
            <w:tcW w:w="5429" w:type="dxa"/>
            <w:shd w:val="clear" w:color="auto" w:fill="EDF2F8"/>
            <w:tcMar>
              <w:top w:w="60" w:type="dxa"/>
              <w:left w:w="90" w:type="dxa"/>
              <w:bottom w:w="60" w:type="dxa"/>
              <w:right w:w="90" w:type="dxa"/>
            </w:tcMar>
          </w:tcPr>
          <w:p w14:paraId="00B74D4A"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 xml:space="preserve">code/wem_sources.py — </w:t>
            </w:r>
            <w:proofErr w:type="spellStart"/>
            <w:r w:rsidRPr="005C30C4">
              <w:rPr>
                <w:rFonts w:ascii="Times New Roman" w:hAnsi="Times New Roman" w:cs="Times New Roman"/>
                <w:color w:val="000000"/>
                <w:sz w:val="22"/>
                <w:szCs w:val="22"/>
              </w:rPr>
              <w:t>fetch_wa_demand</w:t>
            </w:r>
            <w:proofErr w:type="spellEnd"/>
            <w:r w:rsidRPr="005C30C4">
              <w:rPr>
                <w:rFonts w:ascii="Times New Roman" w:hAnsi="Times New Roman" w:cs="Times New Roman"/>
                <w:color w:val="000000"/>
                <w:sz w:val="22"/>
                <w:szCs w:val="22"/>
              </w:rPr>
              <w:t>(), fetch_wa_market_requirements_2026()</w:t>
            </w:r>
          </w:p>
        </w:tc>
      </w:tr>
    </w:tbl>
    <w:p w14:paraId="56928D14" w14:textId="000AC807" w:rsidR="00D00928" w:rsidRPr="005C30C4" w:rsidRDefault="005C30C4">
      <w:pPr>
        <w:pStyle w:val="Heading1"/>
        <w:spacing w:before="320" w:after="140"/>
        <w:rPr>
          <w:rFonts w:ascii="Times New Roman" w:hAnsi="Times New Roman" w:cs="Times New Roman"/>
          <w:sz w:val="22"/>
          <w:szCs w:val="22"/>
        </w:rPr>
      </w:pPr>
      <w:r>
        <w:rPr>
          <w:rFonts w:ascii="Times New Roman" w:hAnsi="Times New Roman" w:cs="Times New Roman"/>
          <w:b/>
          <w:bCs/>
          <w:color w:val="1F3864"/>
          <w:sz w:val="22"/>
          <w:szCs w:val="22"/>
        </w:rPr>
        <w:t>K</w:t>
      </w:r>
      <w:r w:rsidR="00000000" w:rsidRPr="005C30C4">
        <w:rPr>
          <w:rFonts w:ascii="Times New Roman" w:hAnsi="Times New Roman" w:cs="Times New Roman"/>
          <w:b/>
          <w:bCs/>
          <w:color w:val="1F3864"/>
          <w:sz w:val="22"/>
          <w:szCs w:val="22"/>
        </w:rPr>
        <w: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178"/>
        <w:gridCol w:w="3182"/>
      </w:tblGrid>
      <w:tr w:rsidR="00D00928" w:rsidRPr="005C30C4" w14:paraId="7CD74345" w14:textId="77777777">
        <w:tblPrEx>
          <w:tblCellMar>
            <w:top w:w="0" w:type="dxa"/>
            <w:bottom w:w="0" w:type="dxa"/>
          </w:tblCellMar>
        </w:tblPrEx>
        <w:trPr>
          <w:cantSplit/>
          <w:tblHeader/>
        </w:trPr>
        <w:tc>
          <w:tcPr>
            <w:tcW w:w="6178" w:type="dxa"/>
            <w:shd w:val="clear" w:color="auto" w:fill="1F3864"/>
            <w:tcMar>
              <w:top w:w="60" w:type="dxa"/>
              <w:left w:w="90" w:type="dxa"/>
              <w:bottom w:w="60" w:type="dxa"/>
              <w:right w:w="90" w:type="dxa"/>
            </w:tcMar>
          </w:tcPr>
          <w:p w14:paraId="4F3B2D61"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lastRenderedPageBreak/>
              <w:t>Item</w:t>
            </w:r>
          </w:p>
        </w:tc>
        <w:tc>
          <w:tcPr>
            <w:tcW w:w="3182" w:type="dxa"/>
            <w:shd w:val="clear" w:color="auto" w:fill="1F3864"/>
            <w:tcMar>
              <w:top w:w="60" w:type="dxa"/>
              <w:left w:w="90" w:type="dxa"/>
              <w:bottom w:w="60" w:type="dxa"/>
              <w:right w:w="90" w:type="dxa"/>
            </w:tcMar>
          </w:tcPr>
          <w:p w14:paraId="2C48B868"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b/>
                <w:bCs/>
                <w:color w:val="FFFFFF"/>
                <w:sz w:val="22"/>
                <w:szCs w:val="22"/>
              </w:rPr>
              <w:t>Status</w:t>
            </w:r>
          </w:p>
        </w:tc>
      </w:tr>
      <w:tr w:rsidR="00D00928" w:rsidRPr="005C30C4" w14:paraId="3318ADF2" w14:textId="77777777">
        <w:tblPrEx>
          <w:tblCellMar>
            <w:top w:w="0" w:type="dxa"/>
            <w:bottom w:w="0" w:type="dxa"/>
          </w:tblCellMar>
        </w:tblPrEx>
        <w:trPr>
          <w:cantSplit/>
        </w:trPr>
        <w:tc>
          <w:tcPr>
            <w:tcW w:w="6178" w:type="dxa"/>
            <w:tcMar>
              <w:top w:w="60" w:type="dxa"/>
              <w:left w:w="90" w:type="dxa"/>
              <w:bottom w:w="60" w:type="dxa"/>
              <w:right w:w="90" w:type="dxa"/>
            </w:tcMar>
          </w:tcPr>
          <w:p w14:paraId="693CB7EF"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Build the WA operational demand pipeline</w:t>
            </w:r>
          </w:p>
        </w:tc>
        <w:tc>
          <w:tcPr>
            <w:tcW w:w="3182" w:type="dxa"/>
            <w:tcMar>
              <w:top w:w="60" w:type="dxa"/>
              <w:left w:w="90" w:type="dxa"/>
              <w:bottom w:w="60" w:type="dxa"/>
              <w:right w:w="90" w:type="dxa"/>
            </w:tcMar>
          </w:tcPr>
          <w:p w14:paraId="59692E0E"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Complete</w:t>
            </w:r>
          </w:p>
        </w:tc>
      </w:tr>
      <w:tr w:rsidR="00D00928" w:rsidRPr="005C30C4" w14:paraId="4DF1ADD0" w14:textId="77777777">
        <w:tblPrEx>
          <w:tblCellMar>
            <w:top w:w="0" w:type="dxa"/>
            <w:bottom w:w="0" w:type="dxa"/>
          </w:tblCellMar>
        </w:tblPrEx>
        <w:trPr>
          <w:cantSplit/>
        </w:trPr>
        <w:tc>
          <w:tcPr>
            <w:tcW w:w="6178" w:type="dxa"/>
            <w:shd w:val="clear" w:color="auto" w:fill="EDF2F8"/>
            <w:tcMar>
              <w:top w:w="60" w:type="dxa"/>
              <w:left w:w="90" w:type="dxa"/>
              <w:bottom w:w="60" w:type="dxa"/>
              <w:right w:w="90" w:type="dxa"/>
            </w:tcMar>
          </w:tcPr>
          <w:p w14:paraId="54D5F51B"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Combine legacy, current-market and daily top-up sources</w:t>
            </w:r>
          </w:p>
        </w:tc>
        <w:tc>
          <w:tcPr>
            <w:tcW w:w="3182" w:type="dxa"/>
            <w:shd w:val="clear" w:color="auto" w:fill="EDF2F8"/>
            <w:tcMar>
              <w:top w:w="60" w:type="dxa"/>
              <w:left w:w="90" w:type="dxa"/>
              <w:bottom w:w="60" w:type="dxa"/>
              <w:right w:w="90" w:type="dxa"/>
            </w:tcMar>
          </w:tcPr>
          <w:p w14:paraId="2F28DEA2"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Complete</w:t>
            </w:r>
          </w:p>
        </w:tc>
      </w:tr>
      <w:tr w:rsidR="00D00928" w:rsidRPr="005C30C4" w14:paraId="080B61BE" w14:textId="77777777">
        <w:tblPrEx>
          <w:tblCellMar>
            <w:top w:w="0" w:type="dxa"/>
            <w:bottom w:w="0" w:type="dxa"/>
          </w:tblCellMar>
        </w:tblPrEx>
        <w:trPr>
          <w:cantSplit/>
        </w:trPr>
        <w:tc>
          <w:tcPr>
            <w:tcW w:w="6178" w:type="dxa"/>
            <w:tcMar>
              <w:top w:w="60" w:type="dxa"/>
              <w:left w:w="90" w:type="dxa"/>
              <w:bottom w:w="60" w:type="dxa"/>
              <w:right w:w="90" w:type="dxa"/>
            </w:tcMar>
          </w:tcPr>
          <w:p w14:paraId="4BA5F0E9"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Handle the 30-minute to 5-minute WA market cutover correctly</w:t>
            </w:r>
          </w:p>
        </w:tc>
        <w:tc>
          <w:tcPr>
            <w:tcW w:w="3182" w:type="dxa"/>
            <w:tcMar>
              <w:top w:w="60" w:type="dxa"/>
              <w:left w:w="90" w:type="dxa"/>
              <w:bottom w:w="60" w:type="dxa"/>
              <w:right w:w="90" w:type="dxa"/>
            </w:tcMar>
          </w:tcPr>
          <w:p w14:paraId="3817E726"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Complete</w:t>
            </w:r>
          </w:p>
        </w:tc>
      </w:tr>
      <w:tr w:rsidR="00D00928" w:rsidRPr="005C30C4" w14:paraId="60EB0C40" w14:textId="77777777">
        <w:tblPrEx>
          <w:tblCellMar>
            <w:top w:w="0" w:type="dxa"/>
            <w:bottom w:w="0" w:type="dxa"/>
          </w:tblCellMar>
        </w:tblPrEx>
        <w:trPr>
          <w:cantSplit/>
        </w:trPr>
        <w:tc>
          <w:tcPr>
            <w:tcW w:w="6178" w:type="dxa"/>
            <w:shd w:val="clear" w:color="auto" w:fill="EDF2F8"/>
            <w:tcMar>
              <w:top w:w="60" w:type="dxa"/>
              <w:left w:w="90" w:type="dxa"/>
              <w:bottom w:w="60" w:type="dxa"/>
              <w:right w:w="90" w:type="dxa"/>
            </w:tcMar>
          </w:tcPr>
          <w:p w14:paraId="37B16DB2"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Detect timestamp and demand columns structurally</w:t>
            </w:r>
          </w:p>
        </w:tc>
        <w:tc>
          <w:tcPr>
            <w:tcW w:w="3182" w:type="dxa"/>
            <w:shd w:val="clear" w:color="auto" w:fill="EDF2F8"/>
            <w:tcMar>
              <w:top w:w="60" w:type="dxa"/>
              <w:left w:w="90" w:type="dxa"/>
              <w:bottom w:w="60" w:type="dxa"/>
              <w:right w:w="90" w:type="dxa"/>
            </w:tcMar>
          </w:tcPr>
          <w:p w14:paraId="2CCA1DEE"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Complete</w:t>
            </w:r>
          </w:p>
        </w:tc>
      </w:tr>
      <w:tr w:rsidR="00D00928" w:rsidRPr="005C30C4" w14:paraId="41734344" w14:textId="77777777">
        <w:tblPrEx>
          <w:tblCellMar>
            <w:top w:w="0" w:type="dxa"/>
            <w:bottom w:w="0" w:type="dxa"/>
          </w:tblCellMar>
        </w:tblPrEx>
        <w:trPr>
          <w:cantSplit/>
        </w:trPr>
        <w:tc>
          <w:tcPr>
            <w:tcW w:w="6178" w:type="dxa"/>
            <w:tcMar>
              <w:top w:w="60" w:type="dxa"/>
              <w:left w:w="90" w:type="dxa"/>
              <w:bottom w:w="60" w:type="dxa"/>
              <w:right w:w="90" w:type="dxa"/>
            </w:tcMar>
          </w:tcPr>
          <w:p w14:paraId="3441D675"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Download MarketRequirements-2026.csv separately</w:t>
            </w:r>
          </w:p>
        </w:tc>
        <w:tc>
          <w:tcPr>
            <w:tcW w:w="3182" w:type="dxa"/>
            <w:tcMar>
              <w:top w:w="60" w:type="dxa"/>
              <w:left w:w="90" w:type="dxa"/>
              <w:bottom w:w="60" w:type="dxa"/>
              <w:right w:w="90" w:type="dxa"/>
            </w:tcMar>
          </w:tcPr>
          <w:p w14:paraId="5CCD0CDC" w14:textId="77777777" w:rsidR="00D00928" w:rsidRPr="005C30C4" w:rsidRDefault="00000000">
            <w:pPr>
              <w:rPr>
                <w:rFonts w:ascii="Times New Roman" w:hAnsi="Times New Roman" w:cs="Times New Roman"/>
                <w:sz w:val="22"/>
                <w:szCs w:val="22"/>
              </w:rPr>
            </w:pPr>
            <w:r w:rsidRPr="005C30C4">
              <w:rPr>
                <w:rFonts w:ascii="Times New Roman" w:hAnsi="Times New Roman" w:cs="Times New Roman"/>
                <w:color w:val="000000"/>
                <w:sz w:val="22"/>
                <w:szCs w:val="22"/>
              </w:rPr>
              <w:t>Complete</w:t>
            </w:r>
          </w:p>
        </w:tc>
      </w:tr>
    </w:tbl>
    <w:p w14:paraId="7DE85E64" w14:textId="77777777" w:rsidR="00D00928" w:rsidRPr="005C30C4" w:rsidRDefault="00000000">
      <w:pPr>
        <w:pStyle w:val="Heading1"/>
        <w:spacing w:before="320" w:after="140"/>
        <w:rPr>
          <w:rFonts w:ascii="Times New Roman" w:hAnsi="Times New Roman" w:cs="Times New Roman"/>
          <w:sz w:val="22"/>
          <w:szCs w:val="22"/>
        </w:rPr>
      </w:pPr>
      <w:r w:rsidRPr="005C30C4">
        <w:rPr>
          <w:rFonts w:ascii="Times New Roman" w:hAnsi="Times New Roman" w:cs="Times New Roman"/>
          <w:b/>
          <w:bCs/>
          <w:color w:val="1F3864"/>
          <w:sz w:val="22"/>
          <w:szCs w:val="22"/>
        </w:rPr>
        <w:t>M. Next task</w:t>
      </w:r>
    </w:p>
    <w:p w14:paraId="0694F856" w14:textId="37716439" w:rsidR="00D00928" w:rsidRPr="005C30C4" w:rsidRDefault="00000000" w:rsidP="005C30C4">
      <w:pPr>
        <w:pStyle w:val="ListParagraph"/>
        <w:numPr>
          <w:ilvl w:val="0"/>
          <w:numId w:val="2"/>
        </w:numPr>
        <w:spacing w:after="70" w:line="264" w:lineRule="auto"/>
        <w:rPr>
          <w:rFonts w:ascii="Times New Roman" w:hAnsi="Times New Roman" w:cs="Times New Roman"/>
          <w:sz w:val="22"/>
          <w:szCs w:val="22"/>
        </w:rPr>
      </w:pPr>
      <w:r w:rsidRPr="005C30C4">
        <w:rPr>
          <w:rFonts w:ascii="Times New Roman" w:hAnsi="Times New Roman" w:cs="Times New Roman"/>
          <w:sz w:val="22"/>
          <w:szCs w:val="22"/>
        </w:rPr>
        <w:t>Own WP2 workstream 2 — source integrity, WA cutover handling in preprocessing, gap register, missing-value policy and outlier classification.</w:t>
      </w:r>
    </w:p>
    <w:sectPr w:rsidR="00D00928" w:rsidRPr="005C30C4">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F61F1" w14:textId="77777777" w:rsidR="0004343D" w:rsidRDefault="0004343D">
      <w:r>
        <w:separator/>
      </w:r>
    </w:p>
  </w:endnote>
  <w:endnote w:type="continuationSeparator" w:id="0">
    <w:p w14:paraId="3493DB93" w14:textId="77777777" w:rsidR="0004343D" w:rsidRDefault="0004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4381B" w14:textId="77777777" w:rsidR="00D00928"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C30C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C30C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5204C" w14:textId="77777777" w:rsidR="0004343D" w:rsidRDefault="0004343D">
      <w:r>
        <w:separator/>
      </w:r>
    </w:p>
  </w:footnote>
  <w:footnote w:type="continuationSeparator" w:id="0">
    <w:p w14:paraId="43452DFD" w14:textId="77777777" w:rsidR="0004343D" w:rsidRDefault="000434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6020D"/>
    <w:multiLevelType w:val="hybridMultilevel"/>
    <w:tmpl w:val="A1386098"/>
    <w:lvl w:ilvl="0" w:tplc="34D8B150">
      <w:start w:val="1"/>
      <w:numFmt w:val="bullet"/>
      <w:lvlText w:val="•"/>
      <w:lvlJc w:val="left"/>
      <w:pPr>
        <w:ind w:left="360" w:hanging="200"/>
      </w:pPr>
    </w:lvl>
    <w:lvl w:ilvl="1" w:tplc="BA8864A4">
      <w:start w:val="1"/>
      <w:numFmt w:val="bullet"/>
      <w:lvlText w:val="◦"/>
      <w:lvlJc w:val="left"/>
      <w:pPr>
        <w:ind w:left="720" w:hanging="200"/>
      </w:pPr>
    </w:lvl>
    <w:lvl w:ilvl="2" w:tplc="608A1E64">
      <w:numFmt w:val="decimal"/>
      <w:lvlText w:val=""/>
      <w:lvlJc w:val="left"/>
    </w:lvl>
    <w:lvl w:ilvl="3" w:tplc="53404EC6">
      <w:numFmt w:val="decimal"/>
      <w:lvlText w:val=""/>
      <w:lvlJc w:val="left"/>
    </w:lvl>
    <w:lvl w:ilvl="4" w:tplc="62FE0E88">
      <w:numFmt w:val="decimal"/>
      <w:lvlText w:val=""/>
      <w:lvlJc w:val="left"/>
    </w:lvl>
    <w:lvl w:ilvl="5" w:tplc="B35A3A5E">
      <w:numFmt w:val="decimal"/>
      <w:lvlText w:val=""/>
      <w:lvlJc w:val="left"/>
    </w:lvl>
    <w:lvl w:ilvl="6" w:tplc="B87856AA">
      <w:numFmt w:val="decimal"/>
      <w:lvlText w:val=""/>
      <w:lvlJc w:val="left"/>
    </w:lvl>
    <w:lvl w:ilvl="7" w:tplc="54769CAA">
      <w:numFmt w:val="decimal"/>
      <w:lvlText w:val=""/>
      <w:lvlJc w:val="left"/>
    </w:lvl>
    <w:lvl w:ilvl="8" w:tplc="A5005B62">
      <w:numFmt w:val="decimal"/>
      <w:lvlText w:val=""/>
      <w:lvlJc w:val="left"/>
    </w:lvl>
  </w:abstractNum>
  <w:abstractNum w:abstractNumId="1" w15:restartNumberingAfterBreak="0">
    <w:nsid w:val="4D31127A"/>
    <w:multiLevelType w:val="hybridMultilevel"/>
    <w:tmpl w:val="213E9196"/>
    <w:lvl w:ilvl="0" w:tplc="99969006">
      <w:start w:val="1"/>
      <w:numFmt w:val="bullet"/>
      <w:lvlText w:val="●"/>
      <w:lvlJc w:val="left"/>
      <w:pPr>
        <w:ind w:left="720" w:hanging="360"/>
      </w:pPr>
    </w:lvl>
    <w:lvl w:ilvl="1" w:tplc="A762E528">
      <w:start w:val="1"/>
      <w:numFmt w:val="bullet"/>
      <w:lvlText w:val="○"/>
      <w:lvlJc w:val="left"/>
      <w:pPr>
        <w:ind w:left="1440" w:hanging="360"/>
      </w:pPr>
    </w:lvl>
    <w:lvl w:ilvl="2" w:tplc="B6D45E4E">
      <w:start w:val="1"/>
      <w:numFmt w:val="bullet"/>
      <w:lvlText w:val="■"/>
      <w:lvlJc w:val="left"/>
      <w:pPr>
        <w:ind w:left="2160" w:hanging="360"/>
      </w:pPr>
    </w:lvl>
    <w:lvl w:ilvl="3" w:tplc="5C049466">
      <w:start w:val="1"/>
      <w:numFmt w:val="bullet"/>
      <w:lvlText w:val="●"/>
      <w:lvlJc w:val="left"/>
      <w:pPr>
        <w:ind w:left="2880" w:hanging="360"/>
      </w:pPr>
    </w:lvl>
    <w:lvl w:ilvl="4" w:tplc="8FF08924">
      <w:start w:val="1"/>
      <w:numFmt w:val="bullet"/>
      <w:lvlText w:val="○"/>
      <w:lvlJc w:val="left"/>
      <w:pPr>
        <w:ind w:left="3600" w:hanging="360"/>
      </w:pPr>
    </w:lvl>
    <w:lvl w:ilvl="5" w:tplc="C3B0BCE8">
      <w:start w:val="1"/>
      <w:numFmt w:val="bullet"/>
      <w:lvlText w:val="■"/>
      <w:lvlJc w:val="left"/>
      <w:pPr>
        <w:ind w:left="4320" w:hanging="360"/>
      </w:pPr>
    </w:lvl>
    <w:lvl w:ilvl="6" w:tplc="C7F0B95C">
      <w:start w:val="1"/>
      <w:numFmt w:val="bullet"/>
      <w:lvlText w:val="●"/>
      <w:lvlJc w:val="left"/>
      <w:pPr>
        <w:ind w:left="5040" w:hanging="360"/>
      </w:pPr>
    </w:lvl>
    <w:lvl w:ilvl="7" w:tplc="AEC8A1F0">
      <w:start w:val="1"/>
      <w:numFmt w:val="bullet"/>
      <w:lvlText w:val="●"/>
      <w:lvlJc w:val="left"/>
      <w:pPr>
        <w:ind w:left="5760" w:hanging="360"/>
      </w:pPr>
    </w:lvl>
    <w:lvl w:ilvl="8" w:tplc="1E32AC60">
      <w:start w:val="1"/>
      <w:numFmt w:val="bullet"/>
      <w:lvlText w:val="●"/>
      <w:lvlJc w:val="left"/>
      <w:pPr>
        <w:ind w:left="6480" w:hanging="360"/>
      </w:pPr>
    </w:lvl>
  </w:abstractNum>
  <w:num w:numId="1" w16cid:durableId="1701854401">
    <w:abstractNumId w:val="1"/>
    <w:lvlOverride w:ilvl="0">
      <w:startOverride w:val="1"/>
    </w:lvlOverride>
  </w:num>
  <w:num w:numId="2" w16cid:durableId="1625572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928"/>
    <w:rsid w:val="0004343D"/>
    <w:rsid w:val="005C30C4"/>
    <w:rsid w:val="007E5A0C"/>
    <w:rsid w:val="00D009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47D5E"/>
  <w15:docId w15:val="{1E1373C2-6B4E-49C5-843C-B1A95BE01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C30C4"/>
    <w:pPr>
      <w:tabs>
        <w:tab w:val="center" w:pos="4513"/>
        <w:tab w:val="right" w:pos="9026"/>
      </w:tabs>
    </w:pPr>
  </w:style>
  <w:style w:type="character" w:customStyle="1" w:styleId="HeaderChar">
    <w:name w:val="Header Char"/>
    <w:basedOn w:val="DefaultParagraphFont"/>
    <w:link w:val="Header"/>
    <w:uiPriority w:val="99"/>
    <w:rsid w:val="005C30C4"/>
  </w:style>
  <w:style w:type="paragraph" w:styleId="Footer">
    <w:name w:val="footer"/>
    <w:basedOn w:val="Normal"/>
    <w:link w:val="FooterChar"/>
    <w:uiPriority w:val="99"/>
    <w:unhideWhenUsed/>
    <w:rsid w:val="005C30C4"/>
    <w:pPr>
      <w:tabs>
        <w:tab w:val="center" w:pos="4513"/>
        <w:tab w:val="right" w:pos="9026"/>
      </w:tabs>
    </w:pPr>
  </w:style>
  <w:style w:type="character" w:customStyle="1" w:styleId="FooterChar">
    <w:name w:val="Footer Char"/>
    <w:basedOn w:val="DefaultParagraphFont"/>
    <w:link w:val="Footer"/>
    <w:uiPriority w:val="99"/>
    <w:rsid w:val="005C3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1149</Words>
  <Characters>6552</Characters>
  <Application>Microsoft Office Word</Application>
  <DocSecurity>0</DocSecurity>
  <Lines>54</Lines>
  <Paragraphs>15</Paragraphs>
  <ScaleCrop>false</ScaleCrop>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Progress Report WP1 — Sudip Lamichhane</dc:title>
  <dc:creator>Dan6: Theme 2</dc:creator>
  <cp:lastModifiedBy>Ashish Shrestha</cp:lastModifiedBy>
  <cp:revision>2</cp:revision>
  <dcterms:created xsi:type="dcterms:W3CDTF">2026-09-13T05:51:00Z</dcterms:created>
  <dcterms:modified xsi:type="dcterms:W3CDTF">2026-09-13T05:51:00Z</dcterms:modified>
</cp:coreProperties>
</file>