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DD216" w14:textId="77777777" w:rsidR="001E40BC" w:rsidRPr="00EC28A7" w:rsidRDefault="00000000">
      <w:pPr>
        <w:spacing w:before="400" w:after="60"/>
        <w:jc w:val="center"/>
        <w:rPr>
          <w:rFonts w:ascii="Times New Roman" w:hAnsi="Times New Roman" w:cs="Times New Roman"/>
          <w:sz w:val="22"/>
          <w:szCs w:val="22"/>
        </w:rPr>
      </w:pPr>
      <w:r w:rsidRPr="00EC28A7">
        <w:rPr>
          <w:rFonts w:ascii="Times New Roman" w:hAnsi="Times New Roman" w:cs="Times New Roman"/>
          <w:b/>
          <w:bCs/>
          <w:color w:val="2E6DA4"/>
          <w:sz w:val="22"/>
          <w:szCs w:val="22"/>
        </w:rPr>
        <w:t>Dan6: Theme 2</w:t>
      </w:r>
    </w:p>
    <w:p w14:paraId="7D616E08" w14:textId="77777777" w:rsidR="001E40BC" w:rsidRPr="00EC28A7" w:rsidRDefault="00000000">
      <w:pPr>
        <w:spacing w:after="60"/>
        <w:jc w:val="center"/>
        <w:rPr>
          <w:rFonts w:ascii="Times New Roman" w:hAnsi="Times New Roman" w:cs="Times New Roman"/>
          <w:sz w:val="22"/>
          <w:szCs w:val="22"/>
        </w:rPr>
      </w:pPr>
      <w:r w:rsidRPr="00EC28A7">
        <w:rPr>
          <w:rFonts w:ascii="Times New Roman" w:hAnsi="Times New Roman" w:cs="Times New Roman"/>
          <w:b/>
          <w:bCs/>
          <w:color w:val="1F3864"/>
          <w:sz w:val="22"/>
          <w:szCs w:val="22"/>
        </w:rPr>
        <w:t>Individual Progress Report — WP1 Data Acquisition</w:t>
      </w:r>
    </w:p>
    <w:p w14:paraId="1DC71328" w14:textId="77777777" w:rsidR="001E40BC" w:rsidRPr="00EC28A7" w:rsidRDefault="00000000">
      <w:pPr>
        <w:pBdr>
          <w:bottom w:val="single" w:sz="8" w:space="10" w:color="2E6DA4"/>
        </w:pBdr>
        <w:spacing w:after="260"/>
        <w:jc w:val="center"/>
        <w:rPr>
          <w:rFonts w:ascii="Times New Roman" w:hAnsi="Times New Roman" w:cs="Times New Roman"/>
          <w:sz w:val="22"/>
          <w:szCs w:val="22"/>
        </w:rPr>
      </w:pPr>
      <w:r w:rsidRPr="00EC28A7">
        <w:rPr>
          <w:rFonts w:ascii="Times New Roman" w:hAnsi="Times New Roman" w:cs="Times New Roman"/>
          <w:color w:val="595959"/>
          <w:sz w:val="22"/>
          <w:szCs w:val="22"/>
        </w:rPr>
        <w:t>Ashish Shrestha  ·  Forecasting Lead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34"/>
        <w:gridCol w:w="6926"/>
      </w:tblGrid>
      <w:tr w:rsidR="001E40BC" w:rsidRPr="00EC28A7" w14:paraId="4B77F1AB" w14:textId="77777777">
        <w:tblPrEx>
          <w:tblCellMar>
            <w:top w:w="0" w:type="dxa"/>
            <w:bottom w:w="0" w:type="dxa"/>
          </w:tblCellMar>
        </w:tblPrEx>
        <w:trPr>
          <w:cantSplit/>
          <w:tblHeader/>
        </w:trPr>
        <w:tc>
          <w:tcPr>
            <w:tcW w:w="2434" w:type="dxa"/>
            <w:shd w:val="clear" w:color="auto" w:fill="1F3864"/>
            <w:tcMar>
              <w:top w:w="60" w:type="dxa"/>
              <w:left w:w="90" w:type="dxa"/>
              <w:bottom w:w="60" w:type="dxa"/>
              <w:right w:w="90" w:type="dxa"/>
            </w:tcMar>
          </w:tcPr>
          <w:p w14:paraId="7936AEE2"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b/>
                <w:bCs/>
                <w:color w:val="FFFFFF"/>
                <w:sz w:val="22"/>
                <w:szCs w:val="22"/>
              </w:rPr>
              <w:t>Field</w:t>
            </w:r>
          </w:p>
        </w:tc>
        <w:tc>
          <w:tcPr>
            <w:tcW w:w="6926" w:type="dxa"/>
            <w:shd w:val="clear" w:color="auto" w:fill="1F3864"/>
            <w:tcMar>
              <w:top w:w="60" w:type="dxa"/>
              <w:left w:w="90" w:type="dxa"/>
              <w:bottom w:w="60" w:type="dxa"/>
              <w:right w:w="90" w:type="dxa"/>
            </w:tcMar>
          </w:tcPr>
          <w:p w14:paraId="41E00DA3"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b/>
                <w:bCs/>
                <w:color w:val="FFFFFF"/>
                <w:sz w:val="22"/>
                <w:szCs w:val="22"/>
              </w:rPr>
              <w:t>Detail</w:t>
            </w:r>
          </w:p>
        </w:tc>
      </w:tr>
      <w:tr w:rsidR="001E40BC" w:rsidRPr="00EC28A7" w14:paraId="49DE04F1" w14:textId="77777777">
        <w:tblPrEx>
          <w:tblCellMar>
            <w:top w:w="0" w:type="dxa"/>
            <w:bottom w:w="0" w:type="dxa"/>
          </w:tblCellMar>
        </w:tblPrEx>
        <w:trPr>
          <w:cantSplit/>
        </w:trPr>
        <w:tc>
          <w:tcPr>
            <w:tcW w:w="2434" w:type="dxa"/>
            <w:tcMar>
              <w:top w:w="60" w:type="dxa"/>
              <w:left w:w="90" w:type="dxa"/>
              <w:bottom w:w="60" w:type="dxa"/>
              <w:right w:w="90" w:type="dxa"/>
            </w:tcMar>
          </w:tcPr>
          <w:p w14:paraId="537F0396"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Student</w:t>
            </w:r>
          </w:p>
        </w:tc>
        <w:tc>
          <w:tcPr>
            <w:tcW w:w="6926" w:type="dxa"/>
            <w:tcMar>
              <w:top w:w="60" w:type="dxa"/>
              <w:left w:w="90" w:type="dxa"/>
              <w:bottom w:w="60" w:type="dxa"/>
              <w:right w:w="90" w:type="dxa"/>
            </w:tcMar>
          </w:tcPr>
          <w:p w14:paraId="4AB982DC"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Ashish Shrestha</w:t>
            </w:r>
          </w:p>
        </w:tc>
      </w:tr>
      <w:tr w:rsidR="001E40BC" w:rsidRPr="00EC28A7" w14:paraId="6A4C4BF4" w14:textId="77777777">
        <w:tblPrEx>
          <w:tblCellMar>
            <w:top w:w="0" w:type="dxa"/>
            <w:bottom w:w="0" w:type="dxa"/>
          </w:tblCellMar>
        </w:tblPrEx>
        <w:trPr>
          <w:cantSplit/>
        </w:trPr>
        <w:tc>
          <w:tcPr>
            <w:tcW w:w="2434" w:type="dxa"/>
            <w:shd w:val="clear" w:color="auto" w:fill="EDF2F8"/>
            <w:tcMar>
              <w:top w:w="60" w:type="dxa"/>
              <w:left w:w="90" w:type="dxa"/>
              <w:bottom w:w="60" w:type="dxa"/>
              <w:right w:w="90" w:type="dxa"/>
            </w:tcMar>
          </w:tcPr>
          <w:p w14:paraId="65707547"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Student ID</w:t>
            </w:r>
          </w:p>
        </w:tc>
        <w:tc>
          <w:tcPr>
            <w:tcW w:w="6926" w:type="dxa"/>
            <w:shd w:val="clear" w:color="auto" w:fill="EDF2F8"/>
            <w:tcMar>
              <w:top w:w="60" w:type="dxa"/>
              <w:left w:w="90" w:type="dxa"/>
              <w:bottom w:w="60" w:type="dxa"/>
              <w:right w:w="90" w:type="dxa"/>
            </w:tcMar>
          </w:tcPr>
          <w:p w14:paraId="26501BEE"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S388084</w:t>
            </w:r>
          </w:p>
        </w:tc>
      </w:tr>
      <w:tr w:rsidR="001E40BC" w:rsidRPr="00EC28A7" w14:paraId="0BFF503D" w14:textId="77777777">
        <w:tblPrEx>
          <w:tblCellMar>
            <w:top w:w="0" w:type="dxa"/>
            <w:bottom w:w="0" w:type="dxa"/>
          </w:tblCellMar>
        </w:tblPrEx>
        <w:trPr>
          <w:cantSplit/>
        </w:trPr>
        <w:tc>
          <w:tcPr>
            <w:tcW w:w="2434" w:type="dxa"/>
            <w:tcMar>
              <w:top w:w="60" w:type="dxa"/>
              <w:left w:w="90" w:type="dxa"/>
              <w:bottom w:w="60" w:type="dxa"/>
              <w:right w:w="90" w:type="dxa"/>
            </w:tcMar>
          </w:tcPr>
          <w:p w14:paraId="0C0ACF52"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Unit</w:t>
            </w:r>
          </w:p>
        </w:tc>
        <w:tc>
          <w:tcPr>
            <w:tcW w:w="6926" w:type="dxa"/>
            <w:tcMar>
              <w:top w:w="60" w:type="dxa"/>
              <w:left w:w="90" w:type="dxa"/>
              <w:bottom w:w="60" w:type="dxa"/>
              <w:right w:w="90" w:type="dxa"/>
            </w:tcMar>
          </w:tcPr>
          <w:p w14:paraId="15C0440C"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PRT661 – Data Science Practice, Assessment 2</w:t>
            </w:r>
          </w:p>
        </w:tc>
      </w:tr>
      <w:tr w:rsidR="001E40BC" w:rsidRPr="00EC28A7" w14:paraId="16052BA2" w14:textId="77777777">
        <w:tblPrEx>
          <w:tblCellMar>
            <w:top w:w="0" w:type="dxa"/>
            <w:bottom w:w="0" w:type="dxa"/>
          </w:tblCellMar>
        </w:tblPrEx>
        <w:trPr>
          <w:cantSplit/>
        </w:trPr>
        <w:tc>
          <w:tcPr>
            <w:tcW w:w="2434" w:type="dxa"/>
            <w:shd w:val="clear" w:color="auto" w:fill="EDF2F8"/>
            <w:tcMar>
              <w:top w:w="60" w:type="dxa"/>
              <w:left w:w="90" w:type="dxa"/>
              <w:bottom w:w="60" w:type="dxa"/>
              <w:right w:w="90" w:type="dxa"/>
            </w:tcMar>
          </w:tcPr>
          <w:p w14:paraId="5CB5D966"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Group</w:t>
            </w:r>
          </w:p>
        </w:tc>
        <w:tc>
          <w:tcPr>
            <w:tcW w:w="6926" w:type="dxa"/>
            <w:shd w:val="clear" w:color="auto" w:fill="EDF2F8"/>
            <w:tcMar>
              <w:top w:w="60" w:type="dxa"/>
              <w:left w:w="90" w:type="dxa"/>
              <w:bottom w:w="60" w:type="dxa"/>
              <w:right w:w="90" w:type="dxa"/>
            </w:tcMar>
          </w:tcPr>
          <w:p w14:paraId="47620275"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Dan6: Theme 2</w:t>
            </w:r>
          </w:p>
        </w:tc>
      </w:tr>
      <w:tr w:rsidR="001E40BC" w:rsidRPr="00EC28A7" w14:paraId="5FC372AE" w14:textId="77777777">
        <w:tblPrEx>
          <w:tblCellMar>
            <w:top w:w="0" w:type="dxa"/>
            <w:bottom w:w="0" w:type="dxa"/>
          </w:tblCellMar>
        </w:tblPrEx>
        <w:trPr>
          <w:cantSplit/>
        </w:trPr>
        <w:tc>
          <w:tcPr>
            <w:tcW w:w="2434" w:type="dxa"/>
            <w:tcMar>
              <w:top w:w="60" w:type="dxa"/>
              <w:left w:w="90" w:type="dxa"/>
              <w:bottom w:w="60" w:type="dxa"/>
              <w:right w:w="90" w:type="dxa"/>
            </w:tcMar>
          </w:tcPr>
          <w:p w14:paraId="5F679342"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Work package</w:t>
            </w:r>
          </w:p>
        </w:tc>
        <w:tc>
          <w:tcPr>
            <w:tcW w:w="6926" w:type="dxa"/>
            <w:tcMar>
              <w:top w:w="60" w:type="dxa"/>
              <w:left w:w="90" w:type="dxa"/>
              <w:bottom w:w="60" w:type="dxa"/>
              <w:right w:w="90" w:type="dxa"/>
            </w:tcMar>
          </w:tcPr>
          <w:p w14:paraId="238927AA"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WP1 – Data Acquisition</w:t>
            </w:r>
          </w:p>
        </w:tc>
      </w:tr>
      <w:tr w:rsidR="001E40BC" w:rsidRPr="00EC28A7" w14:paraId="679B6C59" w14:textId="77777777">
        <w:tblPrEx>
          <w:tblCellMar>
            <w:top w:w="0" w:type="dxa"/>
            <w:bottom w:w="0" w:type="dxa"/>
          </w:tblCellMar>
        </w:tblPrEx>
        <w:trPr>
          <w:cantSplit/>
        </w:trPr>
        <w:tc>
          <w:tcPr>
            <w:tcW w:w="2434" w:type="dxa"/>
            <w:shd w:val="clear" w:color="auto" w:fill="EDF2F8"/>
            <w:tcMar>
              <w:top w:w="60" w:type="dxa"/>
              <w:left w:w="90" w:type="dxa"/>
              <w:bottom w:w="60" w:type="dxa"/>
              <w:right w:w="90" w:type="dxa"/>
            </w:tcMar>
          </w:tcPr>
          <w:p w14:paraId="681379D1"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Module owned</w:t>
            </w:r>
          </w:p>
        </w:tc>
        <w:tc>
          <w:tcPr>
            <w:tcW w:w="6926" w:type="dxa"/>
            <w:shd w:val="clear" w:color="auto" w:fill="EDF2F8"/>
            <w:tcMar>
              <w:top w:w="60" w:type="dxa"/>
              <w:left w:w="90" w:type="dxa"/>
              <w:bottom w:w="60" w:type="dxa"/>
              <w:right w:w="90" w:type="dxa"/>
            </w:tcMar>
          </w:tcPr>
          <w:p w14:paraId="4E352363"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nem_dispatch.py</w:t>
            </w:r>
          </w:p>
        </w:tc>
      </w:tr>
      <w:tr w:rsidR="001E40BC" w:rsidRPr="00EC28A7" w14:paraId="1C605CA1" w14:textId="77777777">
        <w:tblPrEx>
          <w:tblCellMar>
            <w:top w:w="0" w:type="dxa"/>
            <w:bottom w:w="0" w:type="dxa"/>
          </w:tblCellMar>
        </w:tblPrEx>
        <w:trPr>
          <w:cantSplit/>
        </w:trPr>
        <w:tc>
          <w:tcPr>
            <w:tcW w:w="2434" w:type="dxa"/>
            <w:tcMar>
              <w:top w:w="60" w:type="dxa"/>
              <w:left w:w="90" w:type="dxa"/>
              <w:bottom w:w="60" w:type="dxa"/>
              <w:right w:w="90" w:type="dxa"/>
            </w:tcMar>
          </w:tcPr>
          <w:p w14:paraId="509874F0"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Source system</w:t>
            </w:r>
          </w:p>
        </w:tc>
        <w:tc>
          <w:tcPr>
            <w:tcW w:w="6926" w:type="dxa"/>
            <w:tcMar>
              <w:top w:w="60" w:type="dxa"/>
              <w:left w:w="90" w:type="dxa"/>
              <w:bottom w:w="60" w:type="dxa"/>
              <w:right w:w="90" w:type="dxa"/>
            </w:tcMar>
          </w:tcPr>
          <w:p w14:paraId="03CAF687"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AEMO Dashboard API</w:t>
            </w:r>
          </w:p>
        </w:tc>
      </w:tr>
    </w:tbl>
    <w:p w14:paraId="37CE602F" w14:textId="77777777" w:rsidR="001E40BC" w:rsidRPr="00EC28A7" w:rsidRDefault="001E40BC">
      <w:pPr>
        <w:spacing w:after="110" w:line="264" w:lineRule="auto"/>
        <w:rPr>
          <w:rFonts w:ascii="Times New Roman" w:hAnsi="Times New Roman" w:cs="Times New Roman"/>
          <w:sz w:val="22"/>
          <w:szCs w:val="22"/>
        </w:rPr>
      </w:pPr>
    </w:p>
    <w:p w14:paraId="034CC0CC" w14:textId="77777777" w:rsidR="001E40BC" w:rsidRPr="00EC28A7" w:rsidRDefault="00000000">
      <w:pPr>
        <w:pStyle w:val="Heading1"/>
        <w:spacing w:before="320" w:after="140"/>
        <w:rPr>
          <w:rFonts w:ascii="Times New Roman" w:hAnsi="Times New Roman" w:cs="Times New Roman"/>
          <w:sz w:val="22"/>
          <w:szCs w:val="22"/>
        </w:rPr>
      </w:pPr>
      <w:r w:rsidRPr="00EC28A7">
        <w:rPr>
          <w:rFonts w:ascii="Times New Roman" w:hAnsi="Times New Roman" w:cs="Times New Roman"/>
          <w:b/>
          <w:bCs/>
          <w:color w:val="1F3864"/>
          <w:sz w:val="22"/>
          <w:szCs w:val="22"/>
        </w:rPr>
        <w:t>A. Role and module ownership</w:t>
      </w:r>
    </w:p>
    <w:p w14:paraId="328CFDCB" w14:textId="77777777" w:rsidR="001E40BC" w:rsidRPr="00EC28A7" w:rsidRDefault="00000000">
      <w:pPr>
        <w:spacing w:after="110" w:line="264" w:lineRule="auto"/>
        <w:rPr>
          <w:rFonts w:ascii="Times New Roman" w:hAnsi="Times New Roman" w:cs="Times New Roman"/>
          <w:sz w:val="22"/>
          <w:szCs w:val="22"/>
        </w:rPr>
      </w:pPr>
      <w:r w:rsidRPr="00EC28A7">
        <w:rPr>
          <w:rFonts w:ascii="Times New Roman" w:hAnsi="Times New Roman" w:cs="Times New Roman"/>
          <w:color w:val="000000"/>
          <w:sz w:val="22"/>
          <w:szCs w:val="22"/>
        </w:rPr>
        <w:t>Forecasting Lead. Module owner for nem_dispatch.py — Dispatch (actual) and pre-dispatch (forecast) views — ten raw files, five regions × two views.</w:t>
      </w:r>
    </w:p>
    <w:p w14:paraId="65F12A9D" w14:textId="77777777" w:rsidR="001E40BC" w:rsidRPr="00EC28A7" w:rsidRDefault="00000000">
      <w:pPr>
        <w:spacing w:after="110" w:line="264" w:lineRule="auto"/>
        <w:rPr>
          <w:rFonts w:ascii="Times New Roman" w:hAnsi="Times New Roman" w:cs="Times New Roman"/>
          <w:sz w:val="22"/>
          <w:szCs w:val="22"/>
        </w:rPr>
      </w:pPr>
      <w:r w:rsidRPr="00EC28A7">
        <w:rPr>
          <w:rFonts w:ascii="Times New Roman" w:hAnsi="Times New Roman" w:cs="Times New Roman"/>
          <w:color w:val="000000"/>
          <w:sz w:val="22"/>
          <w:szCs w:val="22"/>
        </w:rPr>
        <w:t>The acquisition pipeline was deliberately split by source rather than by task. Each member owned one source module end to end, and the integrator holds no source-specific logic. This keeps ownership clear and means two members can work on different sources without conflicting.</w:t>
      </w:r>
    </w:p>
    <w:p w14:paraId="6FFCC005" w14:textId="77777777" w:rsidR="001E40BC" w:rsidRPr="00EC28A7" w:rsidRDefault="00000000">
      <w:pPr>
        <w:pStyle w:val="Heading1"/>
        <w:spacing w:before="320" w:after="140"/>
        <w:rPr>
          <w:rFonts w:ascii="Times New Roman" w:hAnsi="Times New Roman" w:cs="Times New Roman"/>
          <w:sz w:val="22"/>
          <w:szCs w:val="22"/>
        </w:rPr>
      </w:pPr>
      <w:r w:rsidRPr="00EC28A7">
        <w:rPr>
          <w:rFonts w:ascii="Times New Roman" w:hAnsi="Times New Roman" w:cs="Times New Roman"/>
          <w:b/>
          <w:bCs/>
          <w:color w:val="1F3864"/>
          <w:sz w:val="22"/>
          <w:szCs w:val="22"/>
        </w:rPr>
        <w:t>B. WP1 responsibilities</w:t>
      </w:r>
    </w:p>
    <w:p w14:paraId="4E5F6ABD" w14:textId="77777777" w:rsidR="001E40BC" w:rsidRPr="00EC28A7" w:rsidRDefault="00000000">
      <w:pPr>
        <w:pStyle w:val="ListParagraph"/>
        <w:numPr>
          <w:ilvl w:val="0"/>
          <w:numId w:val="2"/>
        </w:numPr>
        <w:spacing w:after="70" w:line="264" w:lineRule="auto"/>
        <w:rPr>
          <w:rFonts w:ascii="Times New Roman" w:hAnsi="Times New Roman" w:cs="Times New Roman"/>
          <w:sz w:val="22"/>
          <w:szCs w:val="22"/>
        </w:rPr>
      </w:pPr>
      <w:r w:rsidRPr="00EC28A7">
        <w:rPr>
          <w:rFonts w:ascii="Times New Roman" w:hAnsi="Times New Roman" w:cs="Times New Roman"/>
          <w:sz w:val="22"/>
          <w:szCs w:val="22"/>
        </w:rPr>
        <w:t>Capture AEMO dashboard dispatch and pre-dispatch data</w:t>
      </w:r>
    </w:p>
    <w:p w14:paraId="3D8EB64B" w14:textId="77777777" w:rsidR="001E40BC" w:rsidRPr="00EC28A7" w:rsidRDefault="00000000">
      <w:pPr>
        <w:pStyle w:val="ListParagraph"/>
        <w:numPr>
          <w:ilvl w:val="0"/>
          <w:numId w:val="2"/>
        </w:numPr>
        <w:spacing w:after="70" w:line="264" w:lineRule="auto"/>
        <w:rPr>
          <w:rFonts w:ascii="Times New Roman" w:hAnsi="Times New Roman" w:cs="Times New Roman"/>
          <w:sz w:val="22"/>
          <w:szCs w:val="22"/>
        </w:rPr>
      </w:pPr>
      <w:r w:rsidRPr="00EC28A7">
        <w:rPr>
          <w:rFonts w:ascii="Times New Roman" w:hAnsi="Times New Roman" w:cs="Times New Roman"/>
          <w:sz w:val="22"/>
          <w:szCs w:val="22"/>
        </w:rPr>
        <w:t>Export ten raw output files: five regions × two views</w:t>
      </w:r>
    </w:p>
    <w:p w14:paraId="26F428B9" w14:textId="77777777" w:rsidR="001E40BC" w:rsidRPr="00EC28A7" w:rsidRDefault="00000000">
      <w:pPr>
        <w:pStyle w:val="ListParagraph"/>
        <w:numPr>
          <w:ilvl w:val="0"/>
          <w:numId w:val="2"/>
        </w:numPr>
        <w:spacing w:after="70" w:line="264" w:lineRule="auto"/>
        <w:rPr>
          <w:rFonts w:ascii="Times New Roman" w:hAnsi="Times New Roman" w:cs="Times New Roman"/>
          <w:sz w:val="22"/>
          <w:szCs w:val="22"/>
        </w:rPr>
      </w:pPr>
      <w:r w:rsidRPr="00EC28A7">
        <w:rPr>
          <w:rFonts w:ascii="Times New Roman" w:hAnsi="Times New Roman" w:cs="Times New Roman"/>
          <w:sz w:val="22"/>
          <w:szCs w:val="22"/>
        </w:rPr>
        <w:t>Keep dispatch and pre-dispatch fully separate to avoid leakage</w:t>
      </w:r>
    </w:p>
    <w:p w14:paraId="7FCB1400" w14:textId="77777777" w:rsidR="001E40BC" w:rsidRPr="00EC28A7" w:rsidRDefault="00000000">
      <w:pPr>
        <w:pStyle w:val="ListParagraph"/>
        <w:numPr>
          <w:ilvl w:val="0"/>
          <w:numId w:val="2"/>
        </w:numPr>
        <w:spacing w:after="70" w:line="264" w:lineRule="auto"/>
        <w:rPr>
          <w:rFonts w:ascii="Times New Roman" w:hAnsi="Times New Roman" w:cs="Times New Roman"/>
          <w:sz w:val="22"/>
          <w:szCs w:val="22"/>
        </w:rPr>
      </w:pPr>
      <w:r w:rsidRPr="00EC28A7">
        <w:rPr>
          <w:rFonts w:ascii="Times New Roman" w:hAnsi="Times New Roman" w:cs="Times New Roman"/>
          <w:sz w:val="22"/>
          <w:szCs w:val="22"/>
        </w:rPr>
        <w:t>Preserve PERIODTYPE and verify ACTUAL/FORECAST composition</w:t>
      </w:r>
    </w:p>
    <w:p w14:paraId="2CCB3930" w14:textId="77777777" w:rsidR="001E40BC" w:rsidRPr="00EC28A7" w:rsidRDefault="00000000">
      <w:pPr>
        <w:pStyle w:val="ListParagraph"/>
        <w:numPr>
          <w:ilvl w:val="0"/>
          <w:numId w:val="2"/>
        </w:numPr>
        <w:spacing w:after="70" w:line="264" w:lineRule="auto"/>
        <w:rPr>
          <w:rFonts w:ascii="Times New Roman" w:hAnsi="Times New Roman" w:cs="Times New Roman"/>
          <w:sz w:val="22"/>
          <w:szCs w:val="22"/>
        </w:rPr>
      </w:pPr>
      <w:r w:rsidRPr="00EC28A7">
        <w:rPr>
          <w:rFonts w:ascii="Times New Roman" w:hAnsi="Times New Roman" w:cs="Times New Roman"/>
          <w:sz w:val="22"/>
          <w:szCs w:val="22"/>
        </w:rPr>
        <w:t>Support timestamped snapshot storage for benchmark comparison</w:t>
      </w:r>
    </w:p>
    <w:p w14:paraId="0B5DC394" w14:textId="77777777" w:rsidR="001E40BC" w:rsidRPr="00EC28A7" w:rsidRDefault="00000000">
      <w:pPr>
        <w:pStyle w:val="Heading1"/>
        <w:spacing w:before="320" w:after="140"/>
        <w:rPr>
          <w:rFonts w:ascii="Times New Roman" w:hAnsi="Times New Roman" w:cs="Times New Roman"/>
          <w:sz w:val="22"/>
          <w:szCs w:val="22"/>
        </w:rPr>
      </w:pPr>
      <w:r w:rsidRPr="00EC28A7">
        <w:rPr>
          <w:rFonts w:ascii="Times New Roman" w:hAnsi="Times New Roman" w:cs="Times New Roman"/>
          <w:b/>
          <w:bCs/>
          <w:color w:val="1F3864"/>
          <w:sz w:val="22"/>
          <w:szCs w:val="22"/>
        </w:rPr>
        <w:t>C. Contribution at the 19 August meeting</w:t>
      </w:r>
    </w:p>
    <w:p w14:paraId="2724AFC7" w14:textId="77777777" w:rsidR="001E40BC" w:rsidRPr="00EC28A7" w:rsidRDefault="00000000">
      <w:pPr>
        <w:spacing w:after="110" w:line="264" w:lineRule="auto"/>
        <w:rPr>
          <w:rFonts w:ascii="Times New Roman" w:hAnsi="Times New Roman" w:cs="Times New Roman"/>
          <w:sz w:val="22"/>
          <w:szCs w:val="22"/>
        </w:rPr>
      </w:pPr>
      <w:r w:rsidRPr="00EC28A7">
        <w:rPr>
          <w:rFonts w:ascii="Times New Roman" w:hAnsi="Times New Roman" w:cs="Times New Roman"/>
          <w:color w:val="000000"/>
          <w:sz w:val="22"/>
          <w:szCs w:val="22"/>
        </w:rPr>
        <w:t>Investigation of the dispatch and pre-dispatch sources, and the overlap question that was carried forward as Issue 2.</w:t>
      </w:r>
    </w:p>
    <w:p w14:paraId="457822CF" w14:textId="77777777" w:rsidR="001E40BC" w:rsidRPr="00EC28A7" w:rsidRDefault="00000000">
      <w:pPr>
        <w:pStyle w:val="Heading1"/>
        <w:spacing w:before="320" w:after="140"/>
        <w:rPr>
          <w:rFonts w:ascii="Times New Roman" w:hAnsi="Times New Roman" w:cs="Times New Roman"/>
          <w:sz w:val="22"/>
          <w:szCs w:val="22"/>
        </w:rPr>
      </w:pPr>
      <w:r w:rsidRPr="00EC28A7">
        <w:rPr>
          <w:rFonts w:ascii="Times New Roman" w:hAnsi="Times New Roman" w:cs="Times New Roman"/>
          <w:b/>
          <w:bCs/>
          <w:color w:val="1F3864"/>
          <w:sz w:val="22"/>
          <w:szCs w:val="22"/>
        </w:rPr>
        <w:t>D. Design decisions taken and why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57"/>
        <w:gridCol w:w="5803"/>
      </w:tblGrid>
      <w:tr w:rsidR="001E40BC" w:rsidRPr="00EC28A7" w14:paraId="65309A9E" w14:textId="77777777">
        <w:tblPrEx>
          <w:tblCellMar>
            <w:top w:w="0" w:type="dxa"/>
            <w:bottom w:w="0" w:type="dxa"/>
          </w:tblCellMar>
        </w:tblPrEx>
        <w:trPr>
          <w:cantSplit/>
          <w:tblHeader/>
        </w:trPr>
        <w:tc>
          <w:tcPr>
            <w:tcW w:w="3557" w:type="dxa"/>
            <w:shd w:val="clear" w:color="auto" w:fill="1F3864"/>
            <w:tcMar>
              <w:top w:w="60" w:type="dxa"/>
              <w:left w:w="90" w:type="dxa"/>
              <w:bottom w:w="60" w:type="dxa"/>
              <w:right w:w="90" w:type="dxa"/>
            </w:tcMar>
          </w:tcPr>
          <w:p w14:paraId="2CDC3DE9"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b/>
                <w:bCs/>
                <w:color w:val="FFFFFF"/>
                <w:sz w:val="22"/>
                <w:szCs w:val="22"/>
              </w:rPr>
              <w:t>Decision</w:t>
            </w:r>
          </w:p>
        </w:tc>
        <w:tc>
          <w:tcPr>
            <w:tcW w:w="5803" w:type="dxa"/>
            <w:shd w:val="clear" w:color="auto" w:fill="1F3864"/>
            <w:tcMar>
              <w:top w:w="60" w:type="dxa"/>
              <w:left w:w="90" w:type="dxa"/>
              <w:bottom w:w="60" w:type="dxa"/>
              <w:right w:w="90" w:type="dxa"/>
            </w:tcMar>
          </w:tcPr>
          <w:p w14:paraId="183FDDE7"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b/>
                <w:bCs/>
                <w:color w:val="FFFFFF"/>
                <w:sz w:val="22"/>
                <w:szCs w:val="22"/>
              </w:rPr>
              <w:t>Reasoning</w:t>
            </w:r>
          </w:p>
        </w:tc>
      </w:tr>
      <w:tr w:rsidR="001E40BC" w:rsidRPr="00EC28A7" w14:paraId="4FE3182E" w14:textId="77777777">
        <w:tblPrEx>
          <w:tblCellMar>
            <w:top w:w="0" w:type="dxa"/>
            <w:bottom w:w="0" w:type="dxa"/>
          </w:tblCellMar>
        </w:tblPrEx>
        <w:trPr>
          <w:cantSplit/>
        </w:trPr>
        <w:tc>
          <w:tcPr>
            <w:tcW w:w="3557" w:type="dxa"/>
            <w:tcMar>
              <w:top w:w="60" w:type="dxa"/>
              <w:left w:w="90" w:type="dxa"/>
              <w:bottom w:w="60" w:type="dxa"/>
              <w:right w:w="90" w:type="dxa"/>
            </w:tcMar>
          </w:tcPr>
          <w:p w14:paraId="14A885FA"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Two dashboard requests instead of hundreds of NEMWEB downloads</w:t>
            </w:r>
          </w:p>
        </w:tc>
        <w:tc>
          <w:tcPr>
            <w:tcW w:w="5803" w:type="dxa"/>
            <w:tcMar>
              <w:top w:w="60" w:type="dxa"/>
              <w:left w:w="90" w:type="dxa"/>
              <w:bottom w:w="60" w:type="dxa"/>
              <w:right w:w="90" w:type="dxa"/>
            </w:tcMar>
          </w:tcPr>
          <w:p w14:paraId="202894D9"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The first draft was downloading individual NEMWEB files. Two dashboard requests return the same content, which removes hundreds of network calls and the failure modes that come with them.</w:t>
            </w:r>
          </w:p>
        </w:tc>
      </w:tr>
      <w:tr w:rsidR="001E40BC" w:rsidRPr="00EC28A7" w14:paraId="2EBB6C93" w14:textId="77777777">
        <w:tblPrEx>
          <w:tblCellMar>
            <w:top w:w="0" w:type="dxa"/>
            <w:bottom w:w="0" w:type="dxa"/>
          </w:tblCellMar>
        </w:tblPrEx>
        <w:trPr>
          <w:cantSplit/>
        </w:trPr>
        <w:tc>
          <w:tcPr>
            <w:tcW w:w="3557" w:type="dxa"/>
            <w:shd w:val="clear" w:color="auto" w:fill="EDF2F8"/>
            <w:tcMar>
              <w:top w:w="60" w:type="dxa"/>
              <w:left w:w="90" w:type="dxa"/>
              <w:bottom w:w="60" w:type="dxa"/>
              <w:right w:w="90" w:type="dxa"/>
            </w:tcMar>
          </w:tcPr>
          <w:p w14:paraId="56238443"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Dispatch and pre-dispatch written to separate folders, never merged</w:t>
            </w:r>
          </w:p>
        </w:tc>
        <w:tc>
          <w:tcPr>
            <w:tcW w:w="5803" w:type="dxa"/>
            <w:shd w:val="clear" w:color="auto" w:fill="EDF2F8"/>
            <w:tcMar>
              <w:top w:w="60" w:type="dxa"/>
              <w:left w:w="90" w:type="dxa"/>
              <w:bottom w:w="60" w:type="dxa"/>
              <w:right w:w="90" w:type="dxa"/>
            </w:tcMar>
          </w:tcPr>
          <w:p w14:paraId="2B95D93B"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Pre-dispatch is a forecast produced before the event. Merging it into the observed series would be a leakage source in every downstream model — as Forecasting Lead this is the constraint I am accountable for.</w:t>
            </w:r>
          </w:p>
        </w:tc>
      </w:tr>
      <w:tr w:rsidR="001E40BC" w:rsidRPr="00EC28A7" w14:paraId="4930156B" w14:textId="77777777">
        <w:tblPrEx>
          <w:tblCellMar>
            <w:top w:w="0" w:type="dxa"/>
            <w:bottom w:w="0" w:type="dxa"/>
          </w:tblCellMar>
        </w:tblPrEx>
        <w:trPr>
          <w:cantSplit/>
        </w:trPr>
        <w:tc>
          <w:tcPr>
            <w:tcW w:w="3557" w:type="dxa"/>
            <w:tcMar>
              <w:top w:w="60" w:type="dxa"/>
              <w:left w:w="90" w:type="dxa"/>
              <w:bottom w:w="60" w:type="dxa"/>
              <w:right w:w="90" w:type="dxa"/>
            </w:tcMar>
          </w:tcPr>
          <w:p w14:paraId="67410975"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lastRenderedPageBreak/>
              <w:t>PERIODTYPE preserved and composition verified on each pull</w:t>
            </w:r>
          </w:p>
        </w:tc>
        <w:tc>
          <w:tcPr>
            <w:tcW w:w="5803" w:type="dxa"/>
            <w:tcMar>
              <w:top w:w="60" w:type="dxa"/>
              <w:left w:w="90" w:type="dxa"/>
              <w:bottom w:w="60" w:type="dxa"/>
              <w:right w:w="90" w:type="dxa"/>
            </w:tcMar>
          </w:tcPr>
          <w:p w14:paraId="4514C756"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 xml:space="preserve">Both views return ACTUAL and FORECAST rows, so the distinction cannot be inferred from which endpoint the data came from. It </w:t>
            </w:r>
            <w:proofErr w:type="gramStart"/>
            <w:r w:rsidRPr="00EC28A7">
              <w:rPr>
                <w:rFonts w:ascii="Times New Roman" w:hAnsi="Times New Roman" w:cs="Times New Roman"/>
                <w:color w:val="000000"/>
                <w:sz w:val="22"/>
                <w:szCs w:val="22"/>
              </w:rPr>
              <w:t>has to</w:t>
            </w:r>
            <w:proofErr w:type="gramEnd"/>
            <w:r w:rsidRPr="00EC28A7">
              <w:rPr>
                <w:rFonts w:ascii="Times New Roman" w:hAnsi="Times New Roman" w:cs="Times New Roman"/>
                <w:color w:val="000000"/>
                <w:sz w:val="22"/>
                <w:szCs w:val="22"/>
              </w:rPr>
              <w:t xml:space="preserve"> be carried in the data.</w:t>
            </w:r>
          </w:p>
        </w:tc>
      </w:tr>
      <w:tr w:rsidR="001E40BC" w:rsidRPr="00EC28A7" w14:paraId="3ACC901A" w14:textId="77777777">
        <w:tblPrEx>
          <w:tblCellMar>
            <w:top w:w="0" w:type="dxa"/>
            <w:bottom w:w="0" w:type="dxa"/>
          </w:tblCellMar>
        </w:tblPrEx>
        <w:trPr>
          <w:cantSplit/>
        </w:trPr>
        <w:tc>
          <w:tcPr>
            <w:tcW w:w="3557" w:type="dxa"/>
            <w:shd w:val="clear" w:color="auto" w:fill="EDF2F8"/>
            <w:tcMar>
              <w:top w:w="60" w:type="dxa"/>
              <w:left w:w="90" w:type="dxa"/>
              <w:bottom w:w="60" w:type="dxa"/>
              <w:right w:w="90" w:type="dxa"/>
            </w:tcMar>
          </w:tcPr>
          <w:p w14:paraId="54B28848"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Timestamped snapshot storage</w:t>
            </w:r>
          </w:p>
        </w:tc>
        <w:tc>
          <w:tcPr>
            <w:tcW w:w="5803" w:type="dxa"/>
            <w:shd w:val="clear" w:color="auto" w:fill="EDF2F8"/>
            <w:tcMar>
              <w:top w:w="60" w:type="dxa"/>
              <w:left w:w="90" w:type="dxa"/>
              <w:bottom w:w="60" w:type="dxa"/>
              <w:right w:w="90" w:type="dxa"/>
            </w:tcMar>
          </w:tcPr>
          <w:p w14:paraId="602306E6"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The dashboard serves a rolling window, so a vintage not captured is gone. Snapshots make later benchmark comparison possible.</w:t>
            </w:r>
          </w:p>
        </w:tc>
      </w:tr>
    </w:tbl>
    <w:p w14:paraId="54C11A86" w14:textId="77777777" w:rsidR="001E40BC" w:rsidRPr="00EC28A7" w:rsidRDefault="00000000">
      <w:pPr>
        <w:pStyle w:val="Heading1"/>
        <w:spacing w:before="320" w:after="140"/>
        <w:rPr>
          <w:rFonts w:ascii="Times New Roman" w:hAnsi="Times New Roman" w:cs="Times New Roman"/>
          <w:sz w:val="22"/>
          <w:szCs w:val="22"/>
        </w:rPr>
      </w:pPr>
      <w:r w:rsidRPr="00EC28A7">
        <w:rPr>
          <w:rFonts w:ascii="Times New Roman" w:hAnsi="Times New Roman" w:cs="Times New Roman"/>
          <w:b/>
          <w:bCs/>
          <w:color w:val="1F3864"/>
          <w:sz w:val="22"/>
          <w:szCs w:val="22"/>
        </w:rPr>
        <w:t>E. Technical issues encountered</w:t>
      </w:r>
    </w:p>
    <w:p w14:paraId="0F2361CC" w14:textId="77777777" w:rsidR="001E40BC" w:rsidRPr="00EC28A7" w:rsidRDefault="00000000">
      <w:pPr>
        <w:spacing w:after="110" w:line="264" w:lineRule="auto"/>
        <w:rPr>
          <w:rFonts w:ascii="Times New Roman" w:hAnsi="Times New Roman" w:cs="Times New Roman"/>
          <w:sz w:val="22"/>
          <w:szCs w:val="22"/>
        </w:rPr>
      </w:pPr>
      <w:r w:rsidRPr="00EC28A7">
        <w:rPr>
          <w:rFonts w:ascii="Times New Roman" w:hAnsi="Times New Roman" w:cs="Times New Roman"/>
          <w:color w:val="000000"/>
          <w:sz w:val="22"/>
          <w:szCs w:val="22"/>
        </w:rPr>
        <w:t>Issues that arose in this module during WP1. Section F records how the cause was established in each case, and section G the resolution adopted.</w:t>
      </w:r>
    </w:p>
    <w:p w14:paraId="5B6B7DCA" w14:textId="77777777" w:rsidR="001E40BC" w:rsidRPr="00EC28A7" w:rsidRDefault="00000000">
      <w:pPr>
        <w:pStyle w:val="ListParagraph"/>
        <w:numPr>
          <w:ilvl w:val="0"/>
          <w:numId w:val="2"/>
        </w:numPr>
        <w:spacing w:after="70" w:line="264" w:lineRule="auto"/>
        <w:rPr>
          <w:rFonts w:ascii="Times New Roman" w:hAnsi="Times New Roman" w:cs="Times New Roman"/>
          <w:sz w:val="22"/>
          <w:szCs w:val="22"/>
        </w:rPr>
      </w:pPr>
      <w:r w:rsidRPr="00EC28A7">
        <w:rPr>
          <w:rFonts w:ascii="Times New Roman" w:hAnsi="Times New Roman" w:cs="Times New Roman"/>
          <w:sz w:val="22"/>
          <w:szCs w:val="22"/>
        </w:rPr>
        <w:t>E.1  The first draft issued hundreds of individual NEMWEB file requests.</w:t>
      </w:r>
    </w:p>
    <w:p w14:paraId="45C58E71" w14:textId="77777777" w:rsidR="001E40BC" w:rsidRPr="00EC28A7" w:rsidRDefault="00000000">
      <w:pPr>
        <w:pStyle w:val="ListParagraph"/>
        <w:numPr>
          <w:ilvl w:val="0"/>
          <w:numId w:val="2"/>
        </w:numPr>
        <w:spacing w:after="70" w:line="264" w:lineRule="auto"/>
        <w:rPr>
          <w:rFonts w:ascii="Times New Roman" w:hAnsi="Times New Roman" w:cs="Times New Roman"/>
          <w:sz w:val="22"/>
          <w:szCs w:val="22"/>
        </w:rPr>
      </w:pPr>
      <w:r w:rsidRPr="00EC28A7">
        <w:rPr>
          <w:rFonts w:ascii="Times New Roman" w:hAnsi="Times New Roman" w:cs="Times New Roman"/>
          <w:sz w:val="22"/>
          <w:szCs w:val="22"/>
        </w:rPr>
        <w:t>E.2  Both views return ACTUAL and FORECAST rows, so the endpoint does not identify the row type.</w:t>
      </w:r>
    </w:p>
    <w:p w14:paraId="46F659A5" w14:textId="77777777" w:rsidR="001E40BC" w:rsidRPr="00EC28A7" w:rsidRDefault="00000000">
      <w:pPr>
        <w:pStyle w:val="ListParagraph"/>
        <w:numPr>
          <w:ilvl w:val="0"/>
          <w:numId w:val="2"/>
        </w:numPr>
        <w:spacing w:after="70" w:line="264" w:lineRule="auto"/>
        <w:rPr>
          <w:rFonts w:ascii="Times New Roman" w:hAnsi="Times New Roman" w:cs="Times New Roman"/>
          <w:sz w:val="22"/>
          <w:szCs w:val="22"/>
        </w:rPr>
      </w:pPr>
      <w:r w:rsidRPr="00EC28A7">
        <w:rPr>
          <w:rFonts w:ascii="Times New Roman" w:hAnsi="Times New Roman" w:cs="Times New Roman"/>
          <w:sz w:val="22"/>
          <w:szCs w:val="22"/>
        </w:rPr>
        <w:t>E.3  An early step failing silently stopped later steps from running at all.</w:t>
      </w:r>
    </w:p>
    <w:p w14:paraId="73D9EB8D" w14:textId="77777777" w:rsidR="001E40BC" w:rsidRPr="00EC28A7" w:rsidRDefault="00000000">
      <w:pPr>
        <w:pStyle w:val="Heading1"/>
        <w:spacing w:before="320" w:after="140"/>
        <w:rPr>
          <w:rFonts w:ascii="Times New Roman" w:hAnsi="Times New Roman" w:cs="Times New Roman"/>
          <w:sz w:val="22"/>
          <w:szCs w:val="22"/>
        </w:rPr>
      </w:pPr>
      <w:r w:rsidRPr="00EC28A7">
        <w:rPr>
          <w:rFonts w:ascii="Times New Roman" w:hAnsi="Times New Roman" w:cs="Times New Roman"/>
          <w:b/>
          <w:bCs/>
          <w:color w:val="1F3864"/>
          <w:sz w:val="22"/>
          <w:szCs w:val="22"/>
        </w:rPr>
        <w:t>F. Investigation performed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744"/>
        <w:gridCol w:w="5616"/>
      </w:tblGrid>
      <w:tr w:rsidR="001E40BC" w:rsidRPr="00EC28A7" w14:paraId="0E2D7EE2" w14:textId="77777777">
        <w:tblPrEx>
          <w:tblCellMar>
            <w:top w:w="0" w:type="dxa"/>
            <w:bottom w:w="0" w:type="dxa"/>
          </w:tblCellMar>
        </w:tblPrEx>
        <w:trPr>
          <w:cantSplit/>
          <w:tblHeader/>
        </w:trPr>
        <w:tc>
          <w:tcPr>
            <w:tcW w:w="3744" w:type="dxa"/>
            <w:shd w:val="clear" w:color="auto" w:fill="1F3864"/>
            <w:tcMar>
              <w:top w:w="60" w:type="dxa"/>
              <w:left w:w="90" w:type="dxa"/>
              <w:bottom w:w="60" w:type="dxa"/>
              <w:right w:w="90" w:type="dxa"/>
            </w:tcMar>
          </w:tcPr>
          <w:p w14:paraId="0A2E6D8C"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b/>
                <w:bCs/>
                <w:color w:val="FFFFFF"/>
                <w:sz w:val="22"/>
                <w:szCs w:val="22"/>
              </w:rPr>
              <w:t>Issue</w:t>
            </w:r>
          </w:p>
        </w:tc>
        <w:tc>
          <w:tcPr>
            <w:tcW w:w="5616" w:type="dxa"/>
            <w:shd w:val="clear" w:color="auto" w:fill="1F3864"/>
            <w:tcMar>
              <w:top w:w="60" w:type="dxa"/>
              <w:left w:w="90" w:type="dxa"/>
              <w:bottom w:w="60" w:type="dxa"/>
              <w:right w:w="90" w:type="dxa"/>
            </w:tcMar>
          </w:tcPr>
          <w:p w14:paraId="322D47F0"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b/>
                <w:bCs/>
                <w:color w:val="FFFFFF"/>
                <w:sz w:val="22"/>
                <w:szCs w:val="22"/>
              </w:rPr>
              <w:t>How the cause was established</w:t>
            </w:r>
          </w:p>
        </w:tc>
      </w:tr>
      <w:tr w:rsidR="001E40BC" w:rsidRPr="00EC28A7" w14:paraId="29C5E0DD" w14:textId="77777777">
        <w:tblPrEx>
          <w:tblCellMar>
            <w:top w:w="0" w:type="dxa"/>
            <w:bottom w:w="0" w:type="dxa"/>
          </w:tblCellMar>
        </w:tblPrEx>
        <w:trPr>
          <w:cantSplit/>
        </w:trPr>
        <w:tc>
          <w:tcPr>
            <w:tcW w:w="3744" w:type="dxa"/>
            <w:tcMar>
              <w:top w:w="60" w:type="dxa"/>
              <w:left w:w="90" w:type="dxa"/>
              <w:bottom w:w="60" w:type="dxa"/>
              <w:right w:w="90" w:type="dxa"/>
            </w:tcMar>
          </w:tcPr>
          <w:p w14:paraId="02695C87"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The first draft issued hundreds of individual NEMWEB file requests.</w:t>
            </w:r>
          </w:p>
        </w:tc>
        <w:tc>
          <w:tcPr>
            <w:tcW w:w="5616" w:type="dxa"/>
            <w:tcMar>
              <w:top w:w="60" w:type="dxa"/>
              <w:left w:w="90" w:type="dxa"/>
              <w:bottom w:w="60" w:type="dxa"/>
              <w:right w:w="90" w:type="dxa"/>
            </w:tcMar>
          </w:tcPr>
          <w:p w14:paraId="1F0F51E7"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Examined the dashboard API payload and confirmed it returns the same content for all five regions in one response per view.</w:t>
            </w:r>
          </w:p>
        </w:tc>
      </w:tr>
      <w:tr w:rsidR="001E40BC" w:rsidRPr="00EC28A7" w14:paraId="7898F547" w14:textId="77777777">
        <w:tblPrEx>
          <w:tblCellMar>
            <w:top w:w="0" w:type="dxa"/>
            <w:bottom w:w="0" w:type="dxa"/>
          </w:tblCellMar>
        </w:tblPrEx>
        <w:trPr>
          <w:cantSplit/>
        </w:trPr>
        <w:tc>
          <w:tcPr>
            <w:tcW w:w="3744" w:type="dxa"/>
            <w:shd w:val="clear" w:color="auto" w:fill="EDF2F8"/>
            <w:tcMar>
              <w:top w:w="60" w:type="dxa"/>
              <w:left w:w="90" w:type="dxa"/>
              <w:bottom w:w="60" w:type="dxa"/>
              <w:right w:w="90" w:type="dxa"/>
            </w:tcMar>
          </w:tcPr>
          <w:p w14:paraId="275055E1"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Both views return ACTUAL and FORECAST rows, so the endpoint does not identify the row type.</w:t>
            </w:r>
          </w:p>
        </w:tc>
        <w:tc>
          <w:tcPr>
            <w:tcW w:w="5616" w:type="dxa"/>
            <w:shd w:val="clear" w:color="auto" w:fill="EDF2F8"/>
            <w:tcMar>
              <w:top w:w="60" w:type="dxa"/>
              <w:left w:w="90" w:type="dxa"/>
              <w:bottom w:w="60" w:type="dxa"/>
              <w:right w:w="90" w:type="dxa"/>
            </w:tcMar>
          </w:tcPr>
          <w:p w14:paraId="4FFB592D"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Inspected the composition of both responses rather than assuming dispatch = actual and pre-dispatch = forecast.</w:t>
            </w:r>
          </w:p>
        </w:tc>
      </w:tr>
      <w:tr w:rsidR="001E40BC" w:rsidRPr="00EC28A7" w14:paraId="4D3EF32D" w14:textId="77777777">
        <w:tblPrEx>
          <w:tblCellMar>
            <w:top w:w="0" w:type="dxa"/>
            <w:bottom w:w="0" w:type="dxa"/>
          </w:tblCellMar>
        </w:tblPrEx>
        <w:trPr>
          <w:cantSplit/>
        </w:trPr>
        <w:tc>
          <w:tcPr>
            <w:tcW w:w="3744" w:type="dxa"/>
            <w:tcMar>
              <w:top w:w="60" w:type="dxa"/>
              <w:left w:w="90" w:type="dxa"/>
              <w:bottom w:w="60" w:type="dxa"/>
              <w:right w:w="90" w:type="dxa"/>
            </w:tcMar>
          </w:tcPr>
          <w:p w14:paraId="1F068E25"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An early step failing silently stopped later steps from running at all.</w:t>
            </w:r>
          </w:p>
        </w:tc>
        <w:tc>
          <w:tcPr>
            <w:tcW w:w="5616" w:type="dxa"/>
            <w:tcMar>
              <w:top w:w="60" w:type="dxa"/>
              <w:left w:w="90" w:type="dxa"/>
              <w:bottom w:w="60" w:type="dxa"/>
              <w:right w:w="90" w:type="dxa"/>
            </w:tcMar>
          </w:tcPr>
          <w:p w14:paraId="5987E3E7"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Reproduced by forcing three steps to fail simultaneously.</w:t>
            </w:r>
          </w:p>
        </w:tc>
      </w:tr>
    </w:tbl>
    <w:p w14:paraId="0303F286" w14:textId="77777777" w:rsidR="001E40BC" w:rsidRPr="00EC28A7" w:rsidRDefault="00000000">
      <w:pPr>
        <w:pStyle w:val="Heading1"/>
        <w:spacing w:before="320" w:after="140"/>
        <w:rPr>
          <w:rFonts w:ascii="Times New Roman" w:hAnsi="Times New Roman" w:cs="Times New Roman"/>
          <w:sz w:val="22"/>
          <w:szCs w:val="22"/>
        </w:rPr>
      </w:pPr>
      <w:r w:rsidRPr="00EC28A7">
        <w:rPr>
          <w:rFonts w:ascii="Times New Roman" w:hAnsi="Times New Roman" w:cs="Times New Roman"/>
          <w:b/>
          <w:bCs/>
          <w:color w:val="1F3864"/>
          <w:sz w:val="22"/>
          <w:szCs w:val="22"/>
        </w:rPr>
        <w:t>G. Decision taken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744"/>
        <w:gridCol w:w="5616"/>
      </w:tblGrid>
      <w:tr w:rsidR="001E40BC" w:rsidRPr="00EC28A7" w14:paraId="731702DA" w14:textId="77777777">
        <w:tblPrEx>
          <w:tblCellMar>
            <w:top w:w="0" w:type="dxa"/>
            <w:bottom w:w="0" w:type="dxa"/>
          </w:tblCellMar>
        </w:tblPrEx>
        <w:trPr>
          <w:cantSplit/>
          <w:tblHeader/>
        </w:trPr>
        <w:tc>
          <w:tcPr>
            <w:tcW w:w="3744" w:type="dxa"/>
            <w:shd w:val="clear" w:color="auto" w:fill="1F3864"/>
            <w:tcMar>
              <w:top w:w="60" w:type="dxa"/>
              <w:left w:w="90" w:type="dxa"/>
              <w:bottom w:w="60" w:type="dxa"/>
              <w:right w:w="90" w:type="dxa"/>
            </w:tcMar>
          </w:tcPr>
          <w:p w14:paraId="497BA4BE"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b/>
                <w:bCs/>
                <w:color w:val="FFFFFF"/>
                <w:sz w:val="22"/>
                <w:szCs w:val="22"/>
              </w:rPr>
              <w:t>Issue</w:t>
            </w:r>
          </w:p>
        </w:tc>
        <w:tc>
          <w:tcPr>
            <w:tcW w:w="5616" w:type="dxa"/>
            <w:shd w:val="clear" w:color="auto" w:fill="1F3864"/>
            <w:tcMar>
              <w:top w:w="60" w:type="dxa"/>
              <w:left w:w="90" w:type="dxa"/>
              <w:bottom w:w="60" w:type="dxa"/>
              <w:right w:w="90" w:type="dxa"/>
            </w:tcMar>
          </w:tcPr>
          <w:p w14:paraId="276BF15B"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b/>
                <w:bCs/>
                <w:color w:val="FFFFFF"/>
                <w:sz w:val="22"/>
                <w:szCs w:val="22"/>
              </w:rPr>
              <w:t>Resolution</w:t>
            </w:r>
          </w:p>
        </w:tc>
      </w:tr>
      <w:tr w:rsidR="001E40BC" w:rsidRPr="00EC28A7" w14:paraId="4FE8AA08" w14:textId="77777777">
        <w:tblPrEx>
          <w:tblCellMar>
            <w:top w:w="0" w:type="dxa"/>
            <w:bottom w:w="0" w:type="dxa"/>
          </w:tblCellMar>
        </w:tblPrEx>
        <w:trPr>
          <w:cantSplit/>
        </w:trPr>
        <w:tc>
          <w:tcPr>
            <w:tcW w:w="3744" w:type="dxa"/>
            <w:tcMar>
              <w:top w:w="60" w:type="dxa"/>
              <w:left w:w="90" w:type="dxa"/>
              <w:bottom w:w="60" w:type="dxa"/>
              <w:right w:w="90" w:type="dxa"/>
            </w:tcMar>
          </w:tcPr>
          <w:p w14:paraId="54D55A62"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The first draft issued hundreds of individual NEMWEB file requests.</w:t>
            </w:r>
          </w:p>
        </w:tc>
        <w:tc>
          <w:tcPr>
            <w:tcW w:w="5616" w:type="dxa"/>
            <w:tcMar>
              <w:top w:w="60" w:type="dxa"/>
              <w:left w:w="90" w:type="dxa"/>
              <w:bottom w:w="60" w:type="dxa"/>
              <w:right w:w="90" w:type="dxa"/>
            </w:tcMar>
          </w:tcPr>
          <w:p w14:paraId="17F93EBD"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Replaced with two requests. Hundreds of network calls removed.</w:t>
            </w:r>
          </w:p>
        </w:tc>
      </w:tr>
      <w:tr w:rsidR="001E40BC" w:rsidRPr="00EC28A7" w14:paraId="5BFD5130" w14:textId="77777777">
        <w:tblPrEx>
          <w:tblCellMar>
            <w:top w:w="0" w:type="dxa"/>
            <w:bottom w:w="0" w:type="dxa"/>
          </w:tblCellMar>
        </w:tblPrEx>
        <w:trPr>
          <w:cantSplit/>
        </w:trPr>
        <w:tc>
          <w:tcPr>
            <w:tcW w:w="3744" w:type="dxa"/>
            <w:shd w:val="clear" w:color="auto" w:fill="EDF2F8"/>
            <w:tcMar>
              <w:top w:w="60" w:type="dxa"/>
              <w:left w:w="90" w:type="dxa"/>
              <w:bottom w:w="60" w:type="dxa"/>
              <w:right w:w="90" w:type="dxa"/>
            </w:tcMar>
          </w:tcPr>
          <w:p w14:paraId="2BCFD8CA"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Both views return ACTUAL and FORECAST rows, so the endpoint does not identify the row type.</w:t>
            </w:r>
          </w:p>
        </w:tc>
        <w:tc>
          <w:tcPr>
            <w:tcW w:w="5616" w:type="dxa"/>
            <w:shd w:val="clear" w:color="auto" w:fill="EDF2F8"/>
            <w:tcMar>
              <w:top w:w="60" w:type="dxa"/>
              <w:left w:w="90" w:type="dxa"/>
              <w:bottom w:w="60" w:type="dxa"/>
              <w:right w:w="90" w:type="dxa"/>
            </w:tcMar>
          </w:tcPr>
          <w:p w14:paraId="5FBC75BA"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PERIODTYPE preserved in the output and composition verified on each pull. Files kept separate so a later merge cannot happen by accident.</w:t>
            </w:r>
          </w:p>
        </w:tc>
      </w:tr>
      <w:tr w:rsidR="001E40BC" w:rsidRPr="00EC28A7" w14:paraId="72EBA54A" w14:textId="77777777">
        <w:tblPrEx>
          <w:tblCellMar>
            <w:top w:w="0" w:type="dxa"/>
            <w:bottom w:w="0" w:type="dxa"/>
          </w:tblCellMar>
        </w:tblPrEx>
        <w:trPr>
          <w:cantSplit/>
        </w:trPr>
        <w:tc>
          <w:tcPr>
            <w:tcW w:w="3744" w:type="dxa"/>
            <w:tcMar>
              <w:top w:w="60" w:type="dxa"/>
              <w:left w:w="90" w:type="dxa"/>
              <w:bottom w:w="60" w:type="dxa"/>
              <w:right w:w="90" w:type="dxa"/>
            </w:tcMar>
          </w:tcPr>
          <w:p w14:paraId="20207881"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An early step failing silently stopped later steps from running at all.</w:t>
            </w:r>
          </w:p>
        </w:tc>
        <w:tc>
          <w:tcPr>
            <w:tcW w:w="5616" w:type="dxa"/>
            <w:tcMar>
              <w:top w:w="60" w:type="dxa"/>
              <w:left w:w="90" w:type="dxa"/>
              <w:bottom w:w="60" w:type="dxa"/>
              <w:right w:w="90" w:type="dxa"/>
            </w:tcMar>
          </w:tcPr>
          <w:p w14:paraId="18BBAD14"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Per-step error boundary added; all ten dispatch files were still written under induced failure.</w:t>
            </w:r>
          </w:p>
        </w:tc>
      </w:tr>
    </w:tbl>
    <w:p w14:paraId="5530FD98" w14:textId="77777777" w:rsidR="001E40BC" w:rsidRPr="00EC28A7" w:rsidRDefault="00000000">
      <w:pPr>
        <w:pStyle w:val="Heading1"/>
        <w:spacing w:before="320" w:after="140"/>
        <w:rPr>
          <w:rFonts w:ascii="Times New Roman" w:hAnsi="Times New Roman" w:cs="Times New Roman"/>
          <w:sz w:val="22"/>
          <w:szCs w:val="22"/>
        </w:rPr>
      </w:pPr>
      <w:r w:rsidRPr="00EC28A7">
        <w:rPr>
          <w:rFonts w:ascii="Times New Roman" w:hAnsi="Times New Roman" w:cs="Times New Roman"/>
          <w:b/>
          <w:bCs/>
          <w:color w:val="1F3864"/>
          <w:sz w:val="22"/>
          <w:szCs w:val="22"/>
        </w:rPr>
        <w:t>H. Contribution at the 23 August meeting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08"/>
        <w:gridCol w:w="6552"/>
      </w:tblGrid>
      <w:tr w:rsidR="001E40BC" w:rsidRPr="00EC28A7" w14:paraId="21202189" w14:textId="77777777">
        <w:tblPrEx>
          <w:tblCellMar>
            <w:top w:w="0" w:type="dxa"/>
            <w:bottom w:w="0" w:type="dxa"/>
          </w:tblCellMar>
        </w:tblPrEx>
        <w:trPr>
          <w:cantSplit/>
          <w:tblHeader/>
        </w:trPr>
        <w:tc>
          <w:tcPr>
            <w:tcW w:w="2808" w:type="dxa"/>
            <w:shd w:val="clear" w:color="auto" w:fill="1F3864"/>
            <w:tcMar>
              <w:top w:w="60" w:type="dxa"/>
              <w:left w:w="90" w:type="dxa"/>
              <w:bottom w:w="60" w:type="dxa"/>
              <w:right w:w="90" w:type="dxa"/>
            </w:tcMar>
          </w:tcPr>
          <w:p w14:paraId="537D97D8"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b/>
                <w:bCs/>
                <w:color w:val="FFFFFF"/>
                <w:sz w:val="22"/>
                <w:szCs w:val="22"/>
              </w:rPr>
              <w:t>Minute reference</w:t>
            </w:r>
          </w:p>
        </w:tc>
        <w:tc>
          <w:tcPr>
            <w:tcW w:w="6552" w:type="dxa"/>
            <w:shd w:val="clear" w:color="auto" w:fill="1F3864"/>
            <w:tcMar>
              <w:top w:w="60" w:type="dxa"/>
              <w:left w:w="90" w:type="dxa"/>
              <w:bottom w:w="60" w:type="dxa"/>
              <w:right w:w="90" w:type="dxa"/>
            </w:tcMar>
          </w:tcPr>
          <w:p w14:paraId="14371B54"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b/>
                <w:bCs/>
                <w:color w:val="FFFFFF"/>
                <w:sz w:val="22"/>
                <w:szCs w:val="22"/>
              </w:rPr>
              <w:t>Contribution</w:t>
            </w:r>
          </w:p>
        </w:tc>
      </w:tr>
      <w:tr w:rsidR="001E40BC" w:rsidRPr="00EC28A7" w14:paraId="08A9DFAE" w14:textId="77777777">
        <w:tblPrEx>
          <w:tblCellMar>
            <w:top w:w="0" w:type="dxa"/>
            <w:bottom w:w="0" w:type="dxa"/>
          </w:tblCellMar>
        </w:tblPrEx>
        <w:trPr>
          <w:cantSplit/>
        </w:trPr>
        <w:tc>
          <w:tcPr>
            <w:tcW w:w="2808" w:type="dxa"/>
            <w:tcMar>
              <w:top w:w="60" w:type="dxa"/>
              <w:left w:w="90" w:type="dxa"/>
              <w:bottom w:w="60" w:type="dxa"/>
              <w:right w:w="90" w:type="dxa"/>
            </w:tcMar>
          </w:tcPr>
          <w:p w14:paraId="68B34B33"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§2.2 — dispatch and pre-dispatch overlap (Issue 2) RESOLVED</w:t>
            </w:r>
          </w:p>
        </w:tc>
        <w:tc>
          <w:tcPr>
            <w:tcW w:w="6552" w:type="dxa"/>
            <w:tcMar>
              <w:top w:w="60" w:type="dxa"/>
              <w:left w:w="90" w:type="dxa"/>
              <w:bottom w:w="60" w:type="dxa"/>
              <w:right w:w="90" w:type="dxa"/>
            </w:tcMar>
          </w:tcPr>
          <w:p w14:paraId="4158D9D7"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Confirmed that both views return ACTUAL and FORECAST rows, and that two dashboard requests replace the hundreds of individual NEMWEB file downloads the first draft was making. The group reviewed the output and agreed the separation decided on 19 August holds: ten raw files, five regions × two views, written to separate folders, PERIODTYPE preserved, never merged.</w:t>
            </w:r>
          </w:p>
        </w:tc>
      </w:tr>
      <w:tr w:rsidR="001E40BC" w:rsidRPr="00EC28A7" w14:paraId="2F776AA9" w14:textId="77777777">
        <w:tblPrEx>
          <w:tblCellMar>
            <w:top w:w="0" w:type="dxa"/>
            <w:bottom w:w="0" w:type="dxa"/>
          </w:tblCellMar>
        </w:tblPrEx>
        <w:trPr>
          <w:cantSplit/>
        </w:trPr>
        <w:tc>
          <w:tcPr>
            <w:tcW w:w="2808" w:type="dxa"/>
            <w:shd w:val="clear" w:color="auto" w:fill="EDF2F8"/>
            <w:tcMar>
              <w:top w:w="60" w:type="dxa"/>
              <w:left w:w="90" w:type="dxa"/>
              <w:bottom w:w="60" w:type="dxa"/>
              <w:right w:w="90" w:type="dxa"/>
            </w:tcMar>
          </w:tcPr>
          <w:p w14:paraId="77F6D021"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lastRenderedPageBreak/>
              <w:t>§3.3 — narrowing the empty-folder failure</w:t>
            </w:r>
          </w:p>
        </w:tc>
        <w:tc>
          <w:tcPr>
            <w:tcW w:w="6552" w:type="dxa"/>
            <w:shd w:val="clear" w:color="auto" w:fill="EDF2F8"/>
            <w:tcMar>
              <w:top w:w="60" w:type="dxa"/>
              <w:left w:w="90" w:type="dxa"/>
              <w:bottom w:w="60" w:type="dxa"/>
              <w:right w:w="90" w:type="dxa"/>
            </w:tcMar>
          </w:tcPr>
          <w:p w14:paraId="529B6B7D"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 xml:space="preserve">When Bishal found dispatch/ and </w:t>
            </w:r>
            <w:proofErr w:type="spellStart"/>
            <w:r w:rsidRPr="00EC28A7">
              <w:rPr>
                <w:rFonts w:ascii="Times New Roman" w:hAnsi="Times New Roman" w:cs="Times New Roman"/>
                <w:color w:val="000000"/>
                <w:sz w:val="22"/>
                <w:szCs w:val="22"/>
              </w:rPr>
              <w:t>predispatch</w:t>
            </w:r>
            <w:proofErr w:type="spellEnd"/>
            <w:r w:rsidRPr="00EC28A7">
              <w:rPr>
                <w:rFonts w:ascii="Times New Roman" w:hAnsi="Times New Roman" w:cs="Times New Roman"/>
                <w:color w:val="000000"/>
                <w:sz w:val="22"/>
                <w:szCs w:val="22"/>
              </w:rPr>
              <w:t>/ empty despite every step logging success, confirmed the module worked when run on its own. That narrowed the fault to the integration rather than the module, which is what let Sudip trace it to the WA top-up loop.</w:t>
            </w:r>
          </w:p>
        </w:tc>
      </w:tr>
      <w:tr w:rsidR="001E40BC" w:rsidRPr="00EC28A7" w14:paraId="40EC66E5" w14:textId="77777777">
        <w:tblPrEx>
          <w:tblCellMar>
            <w:top w:w="0" w:type="dxa"/>
            <w:bottom w:w="0" w:type="dxa"/>
          </w:tblCellMar>
        </w:tblPrEx>
        <w:trPr>
          <w:cantSplit/>
        </w:trPr>
        <w:tc>
          <w:tcPr>
            <w:tcW w:w="2808" w:type="dxa"/>
            <w:tcMar>
              <w:top w:w="60" w:type="dxa"/>
              <w:left w:w="90" w:type="dxa"/>
              <w:bottom w:w="60" w:type="dxa"/>
              <w:right w:w="90" w:type="dxa"/>
            </w:tcMar>
          </w:tcPr>
          <w:p w14:paraId="13439D7B"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§3.3 Fix 3 — per-step error boundaries</w:t>
            </w:r>
          </w:p>
        </w:tc>
        <w:tc>
          <w:tcPr>
            <w:tcW w:w="6552" w:type="dxa"/>
            <w:tcMar>
              <w:top w:w="60" w:type="dxa"/>
              <w:left w:w="90" w:type="dxa"/>
              <w:bottom w:w="60" w:type="dxa"/>
              <w:right w:w="90" w:type="dxa"/>
            </w:tcMar>
          </w:tcPr>
          <w:p w14:paraId="23FD211F"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Implemented an error boundary around every pipeline step, so one unreachable or slow source cannot stop the rest. Verified by forcing three steps to fail at once and confirming all ten dispatch files were still written.</w:t>
            </w:r>
          </w:p>
        </w:tc>
      </w:tr>
      <w:tr w:rsidR="001E40BC" w:rsidRPr="00EC28A7" w14:paraId="37D14EBA" w14:textId="77777777">
        <w:tblPrEx>
          <w:tblCellMar>
            <w:top w:w="0" w:type="dxa"/>
            <w:bottom w:w="0" w:type="dxa"/>
          </w:tblCellMar>
        </w:tblPrEx>
        <w:trPr>
          <w:cantSplit/>
        </w:trPr>
        <w:tc>
          <w:tcPr>
            <w:tcW w:w="2808" w:type="dxa"/>
            <w:shd w:val="clear" w:color="auto" w:fill="EDF2F8"/>
            <w:tcMar>
              <w:top w:w="60" w:type="dxa"/>
              <w:left w:w="90" w:type="dxa"/>
              <w:bottom w:w="60" w:type="dxa"/>
              <w:right w:w="90" w:type="dxa"/>
            </w:tcMar>
          </w:tcPr>
          <w:p w14:paraId="483447B7"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§6 — forecasting constraint noted for the report</w:t>
            </w:r>
          </w:p>
        </w:tc>
        <w:tc>
          <w:tcPr>
            <w:tcW w:w="6552" w:type="dxa"/>
            <w:shd w:val="clear" w:color="auto" w:fill="EDF2F8"/>
            <w:tcMar>
              <w:top w:w="60" w:type="dxa"/>
              <w:left w:w="90" w:type="dxa"/>
              <w:bottom w:w="60" w:type="dxa"/>
              <w:right w:w="90" w:type="dxa"/>
            </w:tcMar>
          </w:tcPr>
          <w:p w14:paraId="18B0203C"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Raised that forecast vintages only accumulate from the date the schedule starts, so scheduling is time-critical and cannot be left to the end.</w:t>
            </w:r>
          </w:p>
        </w:tc>
      </w:tr>
    </w:tbl>
    <w:p w14:paraId="73C6007F" w14:textId="77777777" w:rsidR="001E40BC" w:rsidRPr="00EC28A7" w:rsidRDefault="00000000">
      <w:pPr>
        <w:pStyle w:val="Heading1"/>
        <w:spacing w:before="320" w:after="140"/>
        <w:rPr>
          <w:rFonts w:ascii="Times New Roman" w:hAnsi="Times New Roman" w:cs="Times New Roman"/>
          <w:sz w:val="22"/>
          <w:szCs w:val="22"/>
        </w:rPr>
      </w:pPr>
      <w:r w:rsidRPr="00EC28A7">
        <w:rPr>
          <w:rFonts w:ascii="Times New Roman" w:hAnsi="Times New Roman" w:cs="Times New Roman"/>
          <w:b/>
          <w:bCs/>
          <w:color w:val="1F3864"/>
          <w:sz w:val="22"/>
          <w:szCs w:val="22"/>
        </w:rPr>
        <w:t>I. Collaboration with other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85"/>
        <w:gridCol w:w="7675"/>
      </w:tblGrid>
      <w:tr w:rsidR="001E40BC" w:rsidRPr="00EC28A7" w14:paraId="6451182B" w14:textId="77777777">
        <w:tblPrEx>
          <w:tblCellMar>
            <w:top w:w="0" w:type="dxa"/>
            <w:bottom w:w="0" w:type="dxa"/>
          </w:tblCellMar>
        </w:tblPrEx>
        <w:trPr>
          <w:cantSplit/>
          <w:tblHeader/>
        </w:trPr>
        <w:tc>
          <w:tcPr>
            <w:tcW w:w="1685" w:type="dxa"/>
            <w:shd w:val="clear" w:color="auto" w:fill="1F3864"/>
            <w:tcMar>
              <w:top w:w="60" w:type="dxa"/>
              <w:left w:w="90" w:type="dxa"/>
              <w:bottom w:w="60" w:type="dxa"/>
              <w:right w:w="90" w:type="dxa"/>
            </w:tcMar>
          </w:tcPr>
          <w:p w14:paraId="0E0DFA8E"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b/>
                <w:bCs/>
                <w:color w:val="FFFFFF"/>
                <w:sz w:val="22"/>
                <w:szCs w:val="22"/>
              </w:rPr>
              <w:t>With</w:t>
            </w:r>
          </w:p>
        </w:tc>
        <w:tc>
          <w:tcPr>
            <w:tcW w:w="7675" w:type="dxa"/>
            <w:shd w:val="clear" w:color="auto" w:fill="1F3864"/>
            <w:tcMar>
              <w:top w:w="60" w:type="dxa"/>
              <w:left w:w="90" w:type="dxa"/>
              <w:bottom w:w="60" w:type="dxa"/>
              <w:right w:w="90" w:type="dxa"/>
            </w:tcMar>
          </w:tcPr>
          <w:p w14:paraId="4951DB26"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b/>
                <w:bCs/>
                <w:color w:val="FFFFFF"/>
                <w:sz w:val="22"/>
                <w:szCs w:val="22"/>
              </w:rPr>
              <w:t>Interaction</w:t>
            </w:r>
          </w:p>
        </w:tc>
      </w:tr>
      <w:tr w:rsidR="001E40BC" w:rsidRPr="00EC28A7" w14:paraId="6DBC5221" w14:textId="77777777">
        <w:tblPrEx>
          <w:tblCellMar>
            <w:top w:w="0" w:type="dxa"/>
            <w:bottom w:w="0" w:type="dxa"/>
          </w:tblCellMar>
        </w:tblPrEx>
        <w:trPr>
          <w:cantSplit/>
        </w:trPr>
        <w:tc>
          <w:tcPr>
            <w:tcW w:w="1685" w:type="dxa"/>
            <w:tcMar>
              <w:top w:w="60" w:type="dxa"/>
              <w:left w:w="90" w:type="dxa"/>
              <w:bottom w:w="60" w:type="dxa"/>
              <w:right w:w="90" w:type="dxa"/>
            </w:tcMar>
          </w:tcPr>
          <w:p w14:paraId="161921E2"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Bishal Dahal</w:t>
            </w:r>
          </w:p>
        </w:tc>
        <w:tc>
          <w:tcPr>
            <w:tcW w:w="7675" w:type="dxa"/>
            <w:tcMar>
              <w:top w:w="60" w:type="dxa"/>
              <w:left w:w="90" w:type="dxa"/>
              <w:bottom w:w="60" w:type="dxa"/>
              <w:right w:w="90" w:type="dxa"/>
            </w:tcMar>
          </w:tcPr>
          <w:p w14:paraId="5D35A308"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Peer review pair. Bishal found the empty dispatch folders during verification; I confirmed my module ran correctly in isolation, which narrowed the fault to integration rather than to the module.</w:t>
            </w:r>
          </w:p>
        </w:tc>
      </w:tr>
      <w:tr w:rsidR="001E40BC" w:rsidRPr="00EC28A7" w14:paraId="5376AD14" w14:textId="77777777">
        <w:tblPrEx>
          <w:tblCellMar>
            <w:top w:w="0" w:type="dxa"/>
            <w:bottom w:w="0" w:type="dxa"/>
          </w:tblCellMar>
        </w:tblPrEx>
        <w:trPr>
          <w:cantSplit/>
        </w:trPr>
        <w:tc>
          <w:tcPr>
            <w:tcW w:w="1685" w:type="dxa"/>
            <w:shd w:val="clear" w:color="auto" w:fill="EDF2F8"/>
            <w:tcMar>
              <w:top w:w="60" w:type="dxa"/>
              <w:left w:w="90" w:type="dxa"/>
              <w:bottom w:w="60" w:type="dxa"/>
              <w:right w:w="90" w:type="dxa"/>
            </w:tcMar>
          </w:tcPr>
          <w:p w14:paraId="6CA7AF3A"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Sudip Lamichhane</w:t>
            </w:r>
          </w:p>
        </w:tc>
        <w:tc>
          <w:tcPr>
            <w:tcW w:w="7675" w:type="dxa"/>
            <w:shd w:val="clear" w:color="auto" w:fill="EDF2F8"/>
            <w:tcMar>
              <w:top w:w="60" w:type="dxa"/>
              <w:left w:w="90" w:type="dxa"/>
              <w:bottom w:w="60" w:type="dxa"/>
              <w:right w:w="90" w:type="dxa"/>
            </w:tcMar>
          </w:tcPr>
          <w:p w14:paraId="77FA2BFE"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 xml:space="preserve">Sudip traced the stall to the WA top-up loop once the fault was narrowed. His </w:t>
            </w:r>
            <w:proofErr w:type="spellStart"/>
            <w:r w:rsidRPr="00EC28A7">
              <w:rPr>
                <w:rFonts w:ascii="Times New Roman" w:hAnsi="Times New Roman" w:cs="Times New Roman"/>
                <w:color w:val="000000"/>
                <w:sz w:val="22"/>
                <w:szCs w:val="22"/>
              </w:rPr>
              <w:t>tail_days</w:t>
            </w:r>
            <w:proofErr w:type="spellEnd"/>
            <w:r w:rsidRPr="00EC28A7">
              <w:rPr>
                <w:rFonts w:ascii="Times New Roman" w:hAnsi="Times New Roman" w:cs="Times New Roman"/>
                <w:color w:val="000000"/>
                <w:sz w:val="22"/>
                <w:szCs w:val="22"/>
              </w:rPr>
              <w:t xml:space="preserve"> cap and my per-step error boundaries address the same failure from two directions — one bounds the slow </w:t>
            </w:r>
            <w:proofErr w:type="gramStart"/>
            <w:r w:rsidRPr="00EC28A7">
              <w:rPr>
                <w:rFonts w:ascii="Times New Roman" w:hAnsi="Times New Roman" w:cs="Times New Roman"/>
                <w:color w:val="000000"/>
                <w:sz w:val="22"/>
                <w:szCs w:val="22"/>
              </w:rPr>
              <w:t>step,</w:t>
            </w:r>
            <w:proofErr w:type="gramEnd"/>
            <w:r w:rsidRPr="00EC28A7">
              <w:rPr>
                <w:rFonts w:ascii="Times New Roman" w:hAnsi="Times New Roman" w:cs="Times New Roman"/>
                <w:color w:val="000000"/>
                <w:sz w:val="22"/>
                <w:szCs w:val="22"/>
              </w:rPr>
              <w:t xml:space="preserve"> the other stops any slow step from blocking the rest.</w:t>
            </w:r>
          </w:p>
        </w:tc>
      </w:tr>
      <w:tr w:rsidR="001E40BC" w:rsidRPr="00EC28A7" w14:paraId="0EE05C63" w14:textId="77777777">
        <w:tblPrEx>
          <w:tblCellMar>
            <w:top w:w="0" w:type="dxa"/>
            <w:bottom w:w="0" w:type="dxa"/>
          </w:tblCellMar>
        </w:tblPrEx>
        <w:trPr>
          <w:cantSplit/>
        </w:trPr>
        <w:tc>
          <w:tcPr>
            <w:tcW w:w="1685" w:type="dxa"/>
            <w:tcMar>
              <w:top w:w="60" w:type="dxa"/>
              <w:left w:w="90" w:type="dxa"/>
              <w:bottom w:w="60" w:type="dxa"/>
              <w:right w:w="90" w:type="dxa"/>
            </w:tcMar>
          </w:tcPr>
          <w:p w14:paraId="0ADAB136"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Suraj Raut</w:t>
            </w:r>
          </w:p>
        </w:tc>
        <w:tc>
          <w:tcPr>
            <w:tcW w:w="7675" w:type="dxa"/>
            <w:tcMar>
              <w:top w:w="60" w:type="dxa"/>
              <w:left w:w="90" w:type="dxa"/>
              <w:bottom w:w="60" w:type="dxa"/>
              <w:right w:w="90" w:type="dxa"/>
            </w:tcMar>
          </w:tcPr>
          <w:p w14:paraId="02CD0909"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 xml:space="preserve">Suraj's reordering put the dashboard step first, which matters specifically for my module: the dashboard serves a rolling </w:t>
            </w:r>
            <w:proofErr w:type="gramStart"/>
            <w:r w:rsidRPr="00EC28A7">
              <w:rPr>
                <w:rFonts w:ascii="Times New Roman" w:hAnsi="Times New Roman" w:cs="Times New Roman"/>
                <w:color w:val="000000"/>
                <w:sz w:val="22"/>
                <w:szCs w:val="22"/>
              </w:rPr>
              <w:t>window</w:t>
            </w:r>
            <w:proofErr w:type="gramEnd"/>
            <w:r w:rsidRPr="00EC28A7">
              <w:rPr>
                <w:rFonts w:ascii="Times New Roman" w:hAnsi="Times New Roman" w:cs="Times New Roman"/>
                <w:color w:val="000000"/>
                <w:sz w:val="22"/>
                <w:szCs w:val="22"/>
              </w:rPr>
              <w:t xml:space="preserve"> and a missed vintage cannot be recovered.</w:t>
            </w:r>
          </w:p>
        </w:tc>
      </w:tr>
    </w:tbl>
    <w:p w14:paraId="50450BB2" w14:textId="77777777" w:rsidR="001E40BC" w:rsidRPr="00EC28A7" w:rsidRDefault="00000000">
      <w:pPr>
        <w:pStyle w:val="Heading1"/>
        <w:spacing w:before="320" w:after="140"/>
        <w:rPr>
          <w:rFonts w:ascii="Times New Roman" w:hAnsi="Times New Roman" w:cs="Times New Roman"/>
          <w:sz w:val="22"/>
          <w:szCs w:val="22"/>
        </w:rPr>
      </w:pPr>
      <w:r w:rsidRPr="00EC28A7">
        <w:rPr>
          <w:rFonts w:ascii="Times New Roman" w:hAnsi="Times New Roman" w:cs="Times New Roman"/>
          <w:b/>
          <w:bCs/>
          <w:color w:val="1F3864"/>
          <w:sz w:val="22"/>
          <w:szCs w:val="22"/>
        </w:rPr>
        <w:t>J. Evidence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931"/>
        <w:gridCol w:w="5429"/>
      </w:tblGrid>
      <w:tr w:rsidR="001E40BC" w:rsidRPr="00EC28A7" w14:paraId="71635776" w14:textId="77777777">
        <w:tblPrEx>
          <w:tblCellMar>
            <w:top w:w="0" w:type="dxa"/>
            <w:bottom w:w="0" w:type="dxa"/>
          </w:tblCellMar>
        </w:tblPrEx>
        <w:trPr>
          <w:cantSplit/>
          <w:tblHeader/>
        </w:trPr>
        <w:tc>
          <w:tcPr>
            <w:tcW w:w="3931" w:type="dxa"/>
            <w:shd w:val="clear" w:color="auto" w:fill="1F3864"/>
            <w:tcMar>
              <w:top w:w="60" w:type="dxa"/>
              <w:left w:w="90" w:type="dxa"/>
              <w:bottom w:w="60" w:type="dxa"/>
              <w:right w:w="90" w:type="dxa"/>
            </w:tcMar>
          </w:tcPr>
          <w:p w14:paraId="03DE9252"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b/>
                <w:bCs/>
                <w:color w:val="FFFFFF"/>
                <w:sz w:val="22"/>
                <w:szCs w:val="22"/>
              </w:rPr>
              <w:t>Artefact</w:t>
            </w:r>
          </w:p>
        </w:tc>
        <w:tc>
          <w:tcPr>
            <w:tcW w:w="5429" w:type="dxa"/>
            <w:shd w:val="clear" w:color="auto" w:fill="1F3864"/>
            <w:tcMar>
              <w:top w:w="60" w:type="dxa"/>
              <w:left w:w="90" w:type="dxa"/>
              <w:bottom w:w="60" w:type="dxa"/>
              <w:right w:w="90" w:type="dxa"/>
            </w:tcMar>
          </w:tcPr>
          <w:p w14:paraId="0CA0016D"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b/>
                <w:bCs/>
                <w:color w:val="FFFFFF"/>
                <w:sz w:val="22"/>
                <w:szCs w:val="22"/>
              </w:rPr>
              <w:t>Result</w:t>
            </w:r>
          </w:p>
        </w:tc>
      </w:tr>
      <w:tr w:rsidR="001E40BC" w:rsidRPr="00EC28A7" w14:paraId="3767DA4E" w14:textId="77777777">
        <w:tblPrEx>
          <w:tblCellMar>
            <w:top w:w="0" w:type="dxa"/>
            <w:bottom w:w="0" w:type="dxa"/>
          </w:tblCellMar>
        </w:tblPrEx>
        <w:trPr>
          <w:cantSplit/>
        </w:trPr>
        <w:tc>
          <w:tcPr>
            <w:tcW w:w="3931" w:type="dxa"/>
            <w:tcMar>
              <w:top w:w="60" w:type="dxa"/>
              <w:left w:w="90" w:type="dxa"/>
              <w:bottom w:w="60" w:type="dxa"/>
              <w:right w:w="90" w:type="dxa"/>
            </w:tcMar>
          </w:tcPr>
          <w:p w14:paraId="0B1F31CC"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dispatch_NSW1/QLD1/VIC1/SA1/TAS1.csv</w:t>
            </w:r>
          </w:p>
        </w:tc>
        <w:tc>
          <w:tcPr>
            <w:tcW w:w="5429" w:type="dxa"/>
            <w:tcMar>
              <w:top w:w="60" w:type="dxa"/>
              <w:left w:w="90" w:type="dxa"/>
              <w:bottom w:w="60" w:type="dxa"/>
              <w:right w:w="90" w:type="dxa"/>
            </w:tcMar>
          </w:tcPr>
          <w:p w14:paraId="46C61030"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576 rows each, 10 columns, 0 duplicate timestamps</w:t>
            </w:r>
          </w:p>
        </w:tc>
      </w:tr>
      <w:tr w:rsidR="001E40BC" w:rsidRPr="00EC28A7" w14:paraId="7328E959" w14:textId="77777777">
        <w:tblPrEx>
          <w:tblCellMar>
            <w:top w:w="0" w:type="dxa"/>
            <w:bottom w:w="0" w:type="dxa"/>
          </w:tblCellMar>
        </w:tblPrEx>
        <w:trPr>
          <w:cantSplit/>
        </w:trPr>
        <w:tc>
          <w:tcPr>
            <w:tcW w:w="3931" w:type="dxa"/>
            <w:shd w:val="clear" w:color="auto" w:fill="EDF2F8"/>
            <w:tcMar>
              <w:top w:w="60" w:type="dxa"/>
              <w:left w:w="90" w:type="dxa"/>
              <w:bottom w:w="60" w:type="dxa"/>
              <w:right w:w="90" w:type="dxa"/>
            </w:tcMar>
          </w:tcPr>
          <w:p w14:paraId="262EA626"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predispatch_NSW1/QLD1/VIC1/SA1/TAS1.csv</w:t>
            </w:r>
          </w:p>
        </w:tc>
        <w:tc>
          <w:tcPr>
            <w:tcW w:w="5429" w:type="dxa"/>
            <w:shd w:val="clear" w:color="auto" w:fill="EDF2F8"/>
            <w:tcMar>
              <w:top w:w="60" w:type="dxa"/>
              <w:left w:w="90" w:type="dxa"/>
              <w:bottom w:w="60" w:type="dxa"/>
              <w:right w:w="90" w:type="dxa"/>
            </w:tcMar>
          </w:tcPr>
          <w:p w14:paraId="66A8C20A"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320 rows each, 10 columns, 0 duplicate timestamps</w:t>
            </w:r>
          </w:p>
        </w:tc>
      </w:tr>
      <w:tr w:rsidR="001E40BC" w:rsidRPr="00EC28A7" w14:paraId="36FC1FEA" w14:textId="77777777">
        <w:tblPrEx>
          <w:tblCellMar>
            <w:top w:w="0" w:type="dxa"/>
            <w:bottom w:w="0" w:type="dxa"/>
          </w:tblCellMar>
        </w:tblPrEx>
        <w:trPr>
          <w:cantSplit/>
        </w:trPr>
        <w:tc>
          <w:tcPr>
            <w:tcW w:w="3931" w:type="dxa"/>
            <w:tcMar>
              <w:top w:w="60" w:type="dxa"/>
              <w:left w:w="90" w:type="dxa"/>
              <w:bottom w:w="60" w:type="dxa"/>
              <w:right w:w="90" w:type="dxa"/>
            </w:tcMar>
          </w:tcPr>
          <w:p w14:paraId="038CF4DF"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Module</w:t>
            </w:r>
          </w:p>
        </w:tc>
        <w:tc>
          <w:tcPr>
            <w:tcW w:w="5429" w:type="dxa"/>
            <w:tcMar>
              <w:top w:w="60" w:type="dxa"/>
              <w:left w:w="90" w:type="dxa"/>
              <w:bottom w:w="60" w:type="dxa"/>
              <w:right w:w="90" w:type="dxa"/>
            </w:tcMar>
          </w:tcPr>
          <w:p w14:paraId="519AB41A"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 xml:space="preserve">code/nem_dispatch.py — </w:t>
            </w:r>
            <w:proofErr w:type="spellStart"/>
            <w:r w:rsidRPr="00EC28A7">
              <w:rPr>
                <w:rFonts w:ascii="Times New Roman" w:hAnsi="Times New Roman" w:cs="Times New Roman"/>
                <w:color w:val="000000"/>
                <w:sz w:val="22"/>
                <w:szCs w:val="22"/>
              </w:rPr>
              <w:t>fetch_dispatch_and_predispatch</w:t>
            </w:r>
            <w:proofErr w:type="spellEnd"/>
            <w:r w:rsidRPr="00EC28A7">
              <w:rPr>
                <w:rFonts w:ascii="Times New Roman" w:hAnsi="Times New Roman" w:cs="Times New Roman"/>
                <w:color w:val="000000"/>
                <w:sz w:val="22"/>
                <w:szCs w:val="22"/>
              </w:rPr>
              <w:t>()</w:t>
            </w:r>
          </w:p>
        </w:tc>
      </w:tr>
      <w:tr w:rsidR="001E40BC" w:rsidRPr="00EC28A7" w14:paraId="516BDAE7" w14:textId="77777777">
        <w:tblPrEx>
          <w:tblCellMar>
            <w:top w:w="0" w:type="dxa"/>
            <w:bottom w:w="0" w:type="dxa"/>
          </w:tblCellMar>
        </w:tblPrEx>
        <w:trPr>
          <w:cantSplit/>
        </w:trPr>
        <w:tc>
          <w:tcPr>
            <w:tcW w:w="3931" w:type="dxa"/>
            <w:shd w:val="clear" w:color="auto" w:fill="EDF2F8"/>
            <w:tcMar>
              <w:top w:w="60" w:type="dxa"/>
              <w:left w:w="90" w:type="dxa"/>
              <w:bottom w:w="60" w:type="dxa"/>
              <w:right w:w="90" w:type="dxa"/>
            </w:tcMar>
          </w:tcPr>
          <w:p w14:paraId="01611F04"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Leakage separation</w:t>
            </w:r>
          </w:p>
        </w:tc>
        <w:tc>
          <w:tcPr>
            <w:tcW w:w="5429" w:type="dxa"/>
            <w:shd w:val="clear" w:color="auto" w:fill="EDF2F8"/>
            <w:tcMar>
              <w:top w:w="60" w:type="dxa"/>
              <w:left w:w="90" w:type="dxa"/>
              <w:bottom w:w="60" w:type="dxa"/>
              <w:right w:w="90" w:type="dxa"/>
            </w:tcMar>
          </w:tcPr>
          <w:p w14:paraId="05EF891D"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Two folders, never merged; PERIODTYPE retained</w:t>
            </w:r>
          </w:p>
        </w:tc>
      </w:tr>
      <w:tr w:rsidR="001E40BC" w:rsidRPr="00EC28A7" w14:paraId="5DBA00FB" w14:textId="77777777">
        <w:tblPrEx>
          <w:tblCellMar>
            <w:top w:w="0" w:type="dxa"/>
            <w:bottom w:w="0" w:type="dxa"/>
          </w:tblCellMar>
        </w:tblPrEx>
        <w:trPr>
          <w:cantSplit/>
        </w:trPr>
        <w:tc>
          <w:tcPr>
            <w:tcW w:w="3931" w:type="dxa"/>
            <w:tcMar>
              <w:top w:w="60" w:type="dxa"/>
              <w:left w:w="90" w:type="dxa"/>
              <w:bottom w:w="60" w:type="dxa"/>
              <w:right w:w="90" w:type="dxa"/>
            </w:tcMar>
          </w:tcPr>
          <w:p w14:paraId="31B9AC30"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Error boundary</w:t>
            </w:r>
          </w:p>
        </w:tc>
        <w:tc>
          <w:tcPr>
            <w:tcW w:w="5429" w:type="dxa"/>
            <w:tcMar>
              <w:top w:w="60" w:type="dxa"/>
              <w:left w:w="90" w:type="dxa"/>
              <w:bottom w:w="60" w:type="dxa"/>
              <w:right w:w="90" w:type="dxa"/>
            </w:tcMar>
          </w:tcPr>
          <w:p w14:paraId="3B0F86FA" w14:textId="77777777" w:rsidR="001E40BC" w:rsidRPr="00EC28A7" w:rsidRDefault="00000000">
            <w:pPr>
              <w:rPr>
                <w:rFonts w:ascii="Times New Roman" w:hAnsi="Times New Roman" w:cs="Times New Roman"/>
                <w:sz w:val="22"/>
                <w:szCs w:val="22"/>
              </w:rPr>
            </w:pPr>
            <w:proofErr w:type="spellStart"/>
            <w:r w:rsidRPr="00EC28A7">
              <w:rPr>
                <w:rFonts w:ascii="Times New Roman" w:hAnsi="Times New Roman" w:cs="Times New Roman"/>
                <w:color w:val="000000"/>
                <w:sz w:val="22"/>
                <w:szCs w:val="22"/>
              </w:rPr>
              <w:t>run_step</w:t>
            </w:r>
            <w:proofErr w:type="spellEnd"/>
            <w:r w:rsidRPr="00EC28A7">
              <w:rPr>
                <w:rFonts w:ascii="Times New Roman" w:hAnsi="Times New Roman" w:cs="Times New Roman"/>
                <w:color w:val="000000"/>
                <w:sz w:val="22"/>
                <w:szCs w:val="22"/>
              </w:rPr>
              <w:t>() in Data_Acquisition_final.py, verified under induced failure</w:t>
            </w:r>
          </w:p>
        </w:tc>
      </w:tr>
    </w:tbl>
    <w:p w14:paraId="314BF330" w14:textId="77777777" w:rsidR="001E40BC" w:rsidRPr="00EC28A7" w:rsidRDefault="00000000">
      <w:pPr>
        <w:pStyle w:val="Heading1"/>
        <w:spacing w:before="320" w:after="140"/>
        <w:rPr>
          <w:rFonts w:ascii="Times New Roman" w:hAnsi="Times New Roman" w:cs="Times New Roman"/>
          <w:sz w:val="22"/>
          <w:szCs w:val="22"/>
        </w:rPr>
      </w:pPr>
      <w:r w:rsidRPr="00EC28A7">
        <w:rPr>
          <w:rFonts w:ascii="Times New Roman" w:hAnsi="Times New Roman" w:cs="Times New Roman"/>
          <w:b/>
          <w:bCs/>
          <w:color w:val="1F3864"/>
          <w:sz w:val="22"/>
          <w:szCs w:val="22"/>
        </w:rPr>
        <w:t>L.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178"/>
        <w:gridCol w:w="3182"/>
      </w:tblGrid>
      <w:tr w:rsidR="001E40BC" w:rsidRPr="00EC28A7" w14:paraId="53367B89" w14:textId="77777777">
        <w:tblPrEx>
          <w:tblCellMar>
            <w:top w:w="0" w:type="dxa"/>
            <w:bottom w:w="0" w:type="dxa"/>
          </w:tblCellMar>
        </w:tblPrEx>
        <w:trPr>
          <w:cantSplit/>
          <w:tblHeader/>
        </w:trPr>
        <w:tc>
          <w:tcPr>
            <w:tcW w:w="6178" w:type="dxa"/>
            <w:shd w:val="clear" w:color="auto" w:fill="1F3864"/>
            <w:tcMar>
              <w:top w:w="60" w:type="dxa"/>
              <w:left w:w="90" w:type="dxa"/>
              <w:bottom w:w="60" w:type="dxa"/>
              <w:right w:w="90" w:type="dxa"/>
            </w:tcMar>
          </w:tcPr>
          <w:p w14:paraId="49BD4A1C"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b/>
                <w:bCs/>
                <w:color w:val="FFFFFF"/>
                <w:sz w:val="22"/>
                <w:szCs w:val="22"/>
              </w:rPr>
              <w:t>Item</w:t>
            </w:r>
          </w:p>
        </w:tc>
        <w:tc>
          <w:tcPr>
            <w:tcW w:w="3182" w:type="dxa"/>
            <w:shd w:val="clear" w:color="auto" w:fill="1F3864"/>
            <w:tcMar>
              <w:top w:w="60" w:type="dxa"/>
              <w:left w:w="90" w:type="dxa"/>
              <w:bottom w:w="60" w:type="dxa"/>
              <w:right w:w="90" w:type="dxa"/>
            </w:tcMar>
          </w:tcPr>
          <w:p w14:paraId="7DD0ED8F"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b/>
                <w:bCs/>
                <w:color w:val="FFFFFF"/>
                <w:sz w:val="22"/>
                <w:szCs w:val="22"/>
              </w:rPr>
              <w:t>Status</w:t>
            </w:r>
          </w:p>
        </w:tc>
      </w:tr>
      <w:tr w:rsidR="001E40BC" w:rsidRPr="00EC28A7" w14:paraId="49C4C815" w14:textId="77777777">
        <w:tblPrEx>
          <w:tblCellMar>
            <w:top w:w="0" w:type="dxa"/>
            <w:bottom w:w="0" w:type="dxa"/>
          </w:tblCellMar>
        </w:tblPrEx>
        <w:trPr>
          <w:cantSplit/>
        </w:trPr>
        <w:tc>
          <w:tcPr>
            <w:tcW w:w="6178" w:type="dxa"/>
            <w:tcMar>
              <w:top w:w="60" w:type="dxa"/>
              <w:left w:w="90" w:type="dxa"/>
              <w:bottom w:w="60" w:type="dxa"/>
              <w:right w:w="90" w:type="dxa"/>
            </w:tcMar>
          </w:tcPr>
          <w:p w14:paraId="6C2E28E2"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Capture AEMO dashboard dispatch and pre-dispatch data</w:t>
            </w:r>
          </w:p>
        </w:tc>
        <w:tc>
          <w:tcPr>
            <w:tcW w:w="3182" w:type="dxa"/>
            <w:tcMar>
              <w:top w:w="60" w:type="dxa"/>
              <w:left w:w="90" w:type="dxa"/>
              <w:bottom w:w="60" w:type="dxa"/>
              <w:right w:w="90" w:type="dxa"/>
            </w:tcMar>
          </w:tcPr>
          <w:p w14:paraId="41E35871"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Complete</w:t>
            </w:r>
          </w:p>
        </w:tc>
      </w:tr>
      <w:tr w:rsidR="001E40BC" w:rsidRPr="00EC28A7" w14:paraId="66413384" w14:textId="77777777">
        <w:tblPrEx>
          <w:tblCellMar>
            <w:top w:w="0" w:type="dxa"/>
            <w:bottom w:w="0" w:type="dxa"/>
          </w:tblCellMar>
        </w:tblPrEx>
        <w:trPr>
          <w:cantSplit/>
        </w:trPr>
        <w:tc>
          <w:tcPr>
            <w:tcW w:w="6178" w:type="dxa"/>
            <w:shd w:val="clear" w:color="auto" w:fill="EDF2F8"/>
            <w:tcMar>
              <w:top w:w="60" w:type="dxa"/>
              <w:left w:w="90" w:type="dxa"/>
              <w:bottom w:w="60" w:type="dxa"/>
              <w:right w:w="90" w:type="dxa"/>
            </w:tcMar>
          </w:tcPr>
          <w:p w14:paraId="1D3CB016"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Export ten raw output files: five regions × two views</w:t>
            </w:r>
          </w:p>
        </w:tc>
        <w:tc>
          <w:tcPr>
            <w:tcW w:w="3182" w:type="dxa"/>
            <w:shd w:val="clear" w:color="auto" w:fill="EDF2F8"/>
            <w:tcMar>
              <w:top w:w="60" w:type="dxa"/>
              <w:left w:w="90" w:type="dxa"/>
              <w:bottom w:w="60" w:type="dxa"/>
              <w:right w:w="90" w:type="dxa"/>
            </w:tcMar>
          </w:tcPr>
          <w:p w14:paraId="3C3C0965"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Complete</w:t>
            </w:r>
          </w:p>
        </w:tc>
      </w:tr>
      <w:tr w:rsidR="001E40BC" w:rsidRPr="00EC28A7" w14:paraId="4AFF2D7D" w14:textId="77777777">
        <w:tblPrEx>
          <w:tblCellMar>
            <w:top w:w="0" w:type="dxa"/>
            <w:bottom w:w="0" w:type="dxa"/>
          </w:tblCellMar>
        </w:tblPrEx>
        <w:trPr>
          <w:cantSplit/>
        </w:trPr>
        <w:tc>
          <w:tcPr>
            <w:tcW w:w="6178" w:type="dxa"/>
            <w:tcMar>
              <w:top w:w="60" w:type="dxa"/>
              <w:left w:w="90" w:type="dxa"/>
              <w:bottom w:w="60" w:type="dxa"/>
              <w:right w:w="90" w:type="dxa"/>
            </w:tcMar>
          </w:tcPr>
          <w:p w14:paraId="6E624842"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Keep dispatch and pre-dispatch fully separate to avoid leakage</w:t>
            </w:r>
          </w:p>
        </w:tc>
        <w:tc>
          <w:tcPr>
            <w:tcW w:w="3182" w:type="dxa"/>
            <w:tcMar>
              <w:top w:w="60" w:type="dxa"/>
              <w:left w:w="90" w:type="dxa"/>
              <w:bottom w:w="60" w:type="dxa"/>
              <w:right w:w="90" w:type="dxa"/>
            </w:tcMar>
          </w:tcPr>
          <w:p w14:paraId="4B7B0F1A"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Complete</w:t>
            </w:r>
          </w:p>
        </w:tc>
      </w:tr>
      <w:tr w:rsidR="001E40BC" w:rsidRPr="00EC28A7" w14:paraId="3789320D" w14:textId="77777777">
        <w:tblPrEx>
          <w:tblCellMar>
            <w:top w:w="0" w:type="dxa"/>
            <w:bottom w:w="0" w:type="dxa"/>
          </w:tblCellMar>
        </w:tblPrEx>
        <w:trPr>
          <w:cantSplit/>
        </w:trPr>
        <w:tc>
          <w:tcPr>
            <w:tcW w:w="6178" w:type="dxa"/>
            <w:shd w:val="clear" w:color="auto" w:fill="EDF2F8"/>
            <w:tcMar>
              <w:top w:w="60" w:type="dxa"/>
              <w:left w:w="90" w:type="dxa"/>
              <w:bottom w:w="60" w:type="dxa"/>
              <w:right w:w="90" w:type="dxa"/>
            </w:tcMar>
          </w:tcPr>
          <w:p w14:paraId="3A80F478"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Preserve PERIODTYPE and verify ACTUAL/FORECAST composition</w:t>
            </w:r>
          </w:p>
        </w:tc>
        <w:tc>
          <w:tcPr>
            <w:tcW w:w="3182" w:type="dxa"/>
            <w:shd w:val="clear" w:color="auto" w:fill="EDF2F8"/>
            <w:tcMar>
              <w:top w:w="60" w:type="dxa"/>
              <w:left w:w="90" w:type="dxa"/>
              <w:bottom w:w="60" w:type="dxa"/>
              <w:right w:w="90" w:type="dxa"/>
            </w:tcMar>
          </w:tcPr>
          <w:p w14:paraId="002F7431"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Complete</w:t>
            </w:r>
          </w:p>
        </w:tc>
      </w:tr>
      <w:tr w:rsidR="001E40BC" w:rsidRPr="00EC28A7" w14:paraId="607F1EA8" w14:textId="77777777">
        <w:tblPrEx>
          <w:tblCellMar>
            <w:top w:w="0" w:type="dxa"/>
            <w:bottom w:w="0" w:type="dxa"/>
          </w:tblCellMar>
        </w:tblPrEx>
        <w:trPr>
          <w:cantSplit/>
        </w:trPr>
        <w:tc>
          <w:tcPr>
            <w:tcW w:w="6178" w:type="dxa"/>
            <w:tcMar>
              <w:top w:w="60" w:type="dxa"/>
              <w:left w:w="90" w:type="dxa"/>
              <w:bottom w:w="60" w:type="dxa"/>
              <w:right w:w="90" w:type="dxa"/>
            </w:tcMar>
          </w:tcPr>
          <w:p w14:paraId="2551E3AF"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lastRenderedPageBreak/>
              <w:t>Support timestamped snapshot storage for benchmark comparison</w:t>
            </w:r>
          </w:p>
        </w:tc>
        <w:tc>
          <w:tcPr>
            <w:tcW w:w="3182" w:type="dxa"/>
            <w:tcMar>
              <w:top w:w="60" w:type="dxa"/>
              <w:left w:w="90" w:type="dxa"/>
              <w:bottom w:w="60" w:type="dxa"/>
              <w:right w:w="90" w:type="dxa"/>
            </w:tcMar>
          </w:tcPr>
          <w:p w14:paraId="519872F6" w14:textId="77777777" w:rsidR="001E40BC" w:rsidRPr="00EC28A7" w:rsidRDefault="00000000">
            <w:pPr>
              <w:rPr>
                <w:rFonts w:ascii="Times New Roman" w:hAnsi="Times New Roman" w:cs="Times New Roman"/>
                <w:sz w:val="22"/>
                <w:szCs w:val="22"/>
              </w:rPr>
            </w:pPr>
            <w:r w:rsidRPr="00EC28A7">
              <w:rPr>
                <w:rFonts w:ascii="Times New Roman" w:hAnsi="Times New Roman" w:cs="Times New Roman"/>
                <w:color w:val="000000"/>
                <w:sz w:val="22"/>
                <w:szCs w:val="22"/>
              </w:rPr>
              <w:t>Complete</w:t>
            </w:r>
          </w:p>
        </w:tc>
      </w:tr>
    </w:tbl>
    <w:p w14:paraId="07C80454" w14:textId="77777777" w:rsidR="001E40BC" w:rsidRPr="00EC28A7" w:rsidRDefault="00000000">
      <w:pPr>
        <w:pStyle w:val="Heading1"/>
        <w:spacing w:before="320" w:after="140"/>
        <w:rPr>
          <w:rFonts w:ascii="Times New Roman" w:hAnsi="Times New Roman" w:cs="Times New Roman"/>
          <w:sz w:val="22"/>
          <w:szCs w:val="22"/>
        </w:rPr>
      </w:pPr>
      <w:r w:rsidRPr="00EC28A7">
        <w:rPr>
          <w:rFonts w:ascii="Times New Roman" w:hAnsi="Times New Roman" w:cs="Times New Roman"/>
          <w:b/>
          <w:bCs/>
          <w:color w:val="1F3864"/>
          <w:sz w:val="22"/>
          <w:szCs w:val="22"/>
        </w:rPr>
        <w:t>M. Next task</w:t>
      </w:r>
    </w:p>
    <w:p w14:paraId="1F5AB035" w14:textId="77777777" w:rsidR="001E40BC" w:rsidRPr="00EC28A7" w:rsidRDefault="00000000">
      <w:pPr>
        <w:pStyle w:val="ListParagraph"/>
        <w:numPr>
          <w:ilvl w:val="0"/>
          <w:numId w:val="2"/>
        </w:numPr>
        <w:spacing w:after="70" w:line="264" w:lineRule="auto"/>
        <w:rPr>
          <w:rFonts w:ascii="Times New Roman" w:hAnsi="Times New Roman" w:cs="Times New Roman"/>
          <w:sz w:val="22"/>
          <w:szCs w:val="22"/>
        </w:rPr>
      </w:pPr>
      <w:r w:rsidRPr="00EC28A7">
        <w:rPr>
          <w:rFonts w:ascii="Times New Roman" w:hAnsi="Times New Roman" w:cs="Times New Roman"/>
          <w:sz w:val="22"/>
          <w:szCs w:val="22"/>
        </w:rPr>
        <w:t>Own WP2 workstream 3 — forecast-readiness EDA, distribution diagnostics, lag and rolling features, and leakage control.</w:t>
      </w:r>
    </w:p>
    <w:p w14:paraId="7526A2BD" w14:textId="77777777" w:rsidR="001E40BC" w:rsidRPr="00EC28A7" w:rsidRDefault="00000000">
      <w:pPr>
        <w:pStyle w:val="Heading1"/>
        <w:spacing w:before="320" w:after="140"/>
        <w:rPr>
          <w:rFonts w:ascii="Times New Roman" w:hAnsi="Times New Roman" w:cs="Times New Roman"/>
          <w:sz w:val="22"/>
          <w:szCs w:val="22"/>
        </w:rPr>
      </w:pPr>
      <w:r w:rsidRPr="00EC28A7">
        <w:rPr>
          <w:rFonts w:ascii="Times New Roman" w:hAnsi="Times New Roman" w:cs="Times New Roman"/>
          <w:b/>
          <w:bCs/>
          <w:color w:val="1F3864"/>
          <w:sz w:val="22"/>
          <w:szCs w:val="22"/>
        </w:rPr>
        <w:t>N. Reflection</w:t>
      </w:r>
    </w:p>
    <w:p w14:paraId="663E236B" w14:textId="77777777" w:rsidR="001E40BC" w:rsidRPr="00EC28A7" w:rsidRDefault="00000000">
      <w:pPr>
        <w:spacing w:after="110" w:line="264" w:lineRule="auto"/>
        <w:rPr>
          <w:rFonts w:ascii="Times New Roman" w:hAnsi="Times New Roman" w:cs="Times New Roman"/>
          <w:sz w:val="22"/>
          <w:szCs w:val="22"/>
        </w:rPr>
      </w:pPr>
      <w:r w:rsidRPr="00EC28A7">
        <w:rPr>
          <w:rFonts w:ascii="Times New Roman" w:hAnsi="Times New Roman" w:cs="Times New Roman"/>
          <w:color w:val="000000"/>
          <w:sz w:val="22"/>
          <w:szCs w:val="22"/>
        </w:rPr>
        <w:t>The decision I care most about from WP1 is the one that produced no visible output: keeping dispatch and pre-dispatch in separate folders. It would have been more convenient to merge them into one file per region, and nothing would have failed. The cost would have arrived much later, as a model that scored well because it had been given a forecast of the thing it was supposed to be forecasting.</w:t>
      </w:r>
    </w:p>
    <w:p w14:paraId="78E1BC53" w14:textId="77777777" w:rsidR="001E40BC" w:rsidRPr="00EC28A7" w:rsidRDefault="00000000">
      <w:pPr>
        <w:spacing w:after="110" w:line="264" w:lineRule="auto"/>
        <w:rPr>
          <w:rFonts w:ascii="Times New Roman" w:hAnsi="Times New Roman" w:cs="Times New Roman"/>
          <w:sz w:val="22"/>
          <w:szCs w:val="22"/>
        </w:rPr>
      </w:pPr>
      <w:r w:rsidRPr="00EC28A7">
        <w:rPr>
          <w:rFonts w:ascii="Times New Roman" w:hAnsi="Times New Roman" w:cs="Times New Roman"/>
          <w:color w:val="000000"/>
          <w:sz w:val="22"/>
          <w:szCs w:val="22"/>
        </w:rPr>
        <w:t>The empty-folder failure taught me something more practical. Every step had logged success, so the logs were actively misleading. What made it tractable was being able to run my module in isolation and show it worked — which is an argument for source-aligned modules that I had previously thought of as just a convenience for avoiding merge conflicts.</w:t>
      </w:r>
    </w:p>
    <w:p w14:paraId="6D95FD22" w14:textId="77777777" w:rsidR="00EC28A7" w:rsidRPr="00EC28A7" w:rsidRDefault="00EC28A7">
      <w:pPr>
        <w:spacing w:after="110" w:line="264" w:lineRule="auto"/>
        <w:rPr>
          <w:rFonts w:ascii="Times New Roman" w:hAnsi="Times New Roman" w:cs="Times New Roman"/>
          <w:sz w:val="22"/>
          <w:szCs w:val="22"/>
        </w:rPr>
      </w:pPr>
    </w:p>
    <w:sectPr w:rsidR="00EC28A7" w:rsidRPr="00EC28A7">
      <w:footerReference w:type="default" r:id="rId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30B59" w14:textId="77777777" w:rsidR="007B3613" w:rsidRDefault="007B3613">
      <w:r>
        <w:separator/>
      </w:r>
    </w:p>
  </w:endnote>
  <w:endnote w:type="continuationSeparator" w:id="0">
    <w:p w14:paraId="6ADDC742" w14:textId="77777777" w:rsidR="007B3613" w:rsidRDefault="007B36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6698" w14:textId="77777777" w:rsidR="001E40BC"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EC28A7">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EC28A7">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53F25" w14:textId="77777777" w:rsidR="007B3613" w:rsidRDefault="007B3613">
      <w:r>
        <w:separator/>
      </w:r>
    </w:p>
  </w:footnote>
  <w:footnote w:type="continuationSeparator" w:id="0">
    <w:p w14:paraId="11CEA9E9" w14:textId="77777777" w:rsidR="007B3613" w:rsidRDefault="007B36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5C48"/>
    <w:multiLevelType w:val="hybridMultilevel"/>
    <w:tmpl w:val="2446E546"/>
    <w:lvl w:ilvl="0" w:tplc="4784210A">
      <w:start w:val="1"/>
      <w:numFmt w:val="bullet"/>
      <w:lvlText w:val="●"/>
      <w:lvlJc w:val="left"/>
      <w:pPr>
        <w:ind w:left="720" w:hanging="360"/>
      </w:pPr>
    </w:lvl>
    <w:lvl w:ilvl="1" w:tplc="013A8C1E">
      <w:start w:val="1"/>
      <w:numFmt w:val="bullet"/>
      <w:lvlText w:val="○"/>
      <w:lvlJc w:val="left"/>
      <w:pPr>
        <w:ind w:left="1440" w:hanging="360"/>
      </w:pPr>
    </w:lvl>
    <w:lvl w:ilvl="2" w:tplc="CDF01D48">
      <w:start w:val="1"/>
      <w:numFmt w:val="bullet"/>
      <w:lvlText w:val="■"/>
      <w:lvlJc w:val="left"/>
      <w:pPr>
        <w:ind w:left="2160" w:hanging="360"/>
      </w:pPr>
    </w:lvl>
    <w:lvl w:ilvl="3" w:tplc="C9E024AA">
      <w:start w:val="1"/>
      <w:numFmt w:val="bullet"/>
      <w:lvlText w:val="●"/>
      <w:lvlJc w:val="left"/>
      <w:pPr>
        <w:ind w:left="2880" w:hanging="360"/>
      </w:pPr>
    </w:lvl>
    <w:lvl w:ilvl="4" w:tplc="F7622A4C">
      <w:start w:val="1"/>
      <w:numFmt w:val="bullet"/>
      <w:lvlText w:val="○"/>
      <w:lvlJc w:val="left"/>
      <w:pPr>
        <w:ind w:left="3600" w:hanging="360"/>
      </w:pPr>
    </w:lvl>
    <w:lvl w:ilvl="5" w:tplc="2E723336">
      <w:start w:val="1"/>
      <w:numFmt w:val="bullet"/>
      <w:lvlText w:val="■"/>
      <w:lvlJc w:val="left"/>
      <w:pPr>
        <w:ind w:left="4320" w:hanging="360"/>
      </w:pPr>
    </w:lvl>
    <w:lvl w:ilvl="6" w:tplc="E466DF74">
      <w:start w:val="1"/>
      <w:numFmt w:val="bullet"/>
      <w:lvlText w:val="●"/>
      <w:lvlJc w:val="left"/>
      <w:pPr>
        <w:ind w:left="5040" w:hanging="360"/>
      </w:pPr>
    </w:lvl>
    <w:lvl w:ilvl="7" w:tplc="F23EE5E2">
      <w:start w:val="1"/>
      <w:numFmt w:val="bullet"/>
      <w:lvlText w:val="●"/>
      <w:lvlJc w:val="left"/>
      <w:pPr>
        <w:ind w:left="5760" w:hanging="360"/>
      </w:pPr>
    </w:lvl>
    <w:lvl w:ilvl="8" w:tplc="C4466BFA">
      <w:start w:val="1"/>
      <w:numFmt w:val="bullet"/>
      <w:lvlText w:val="●"/>
      <w:lvlJc w:val="left"/>
      <w:pPr>
        <w:ind w:left="6480" w:hanging="360"/>
      </w:pPr>
    </w:lvl>
  </w:abstractNum>
  <w:abstractNum w:abstractNumId="1" w15:restartNumberingAfterBreak="0">
    <w:nsid w:val="2D235039"/>
    <w:multiLevelType w:val="hybridMultilevel"/>
    <w:tmpl w:val="DF5ED77E"/>
    <w:lvl w:ilvl="0" w:tplc="7708D984">
      <w:start w:val="1"/>
      <w:numFmt w:val="bullet"/>
      <w:lvlText w:val="•"/>
      <w:lvlJc w:val="left"/>
      <w:pPr>
        <w:ind w:left="360" w:hanging="200"/>
      </w:pPr>
    </w:lvl>
    <w:lvl w:ilvl="1" w:tplc="4BFA2958">
      <w:start w:val="1"/>
      <w:numFmt w:val="bullet"/>
      <w:lvlText w:val="◦"/>
      <w:lvlJc w:val="left"/>
      <w:pPr>
        <w:ind w:left="720" w:hanging="200"/>
      </w:pPr>
    </w:lvl>
    <w:lvl w:ilvl="2" w:tplc="A35691B4">
      <w:numFmt w:val="decimal"/>
      <w:lvlText w:val=""/>
      <w:lvlJc w:val="left"/>
    </w:lvl>
    <w:lvl w:ilvl="3" w:tplc="4D729C5A">
      <w:numFmt w:val="decimal"/>
      <w:lvlText w:val=""/>
      <w:lvlJc w:val="left"/>
    </w:lvl>
    <w:lvl w:ilvl="4" w:tplc="D75C69F2">
      <w:numFmt w:val="decimal"/>
      <w:lvlText w:val=""/>
      <w:lvlJc w:val="left"/>
    </w:lvl>
    <w:lvl w:ilvl="5" w:tplc="09C2D9CA">
      <w:numFmt w:val="decimal"/>
      <w:lvlText w:val=""/>
      <w:lvlJc w:val="left"/>
    </w:lvl>
    <w:lvl w:ilvl="6" w:tplc="B9EAF19E">
      <w:numFmt w:val="decimal"/>
      <w:lvlText w:val=""/>
      <w:lvlJc w:val="left"/>
    </w:lvl>
    <w:lvl w:ilvl="7" w:tplc="C9B6C70E">
      <w:numFmt w:val="decimal"/>
      <w:lvlText w:val=""/>
      <w:lvlJc w:val="left"/>
    </w:lvl>
    <w:lvl w:ilvl="8" w:tplc="0F5230B4">
      <w:numFmt w:val="decimal"/>
      <w:lvlText w:val=""/>
      <w:lvlJc w:val="left"/>
    </w:lvl>
  </w:abstractNum>
  <w:num w:numId="1" w16cid:durableId="1197738816">
    <w:abstractNumId w:val="0"/>
    <w:lvlOverride w:ilvl="0">
      <w:startOverride w:val="1"/>
    </w:lvlOverride>
  </w:num>
  <w:num w:numId="2" w16cid:durableId="8085211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0BC"/>
    <w:rsid w:val="00173AB5"/>
    <w:rsid w:val="001E40BC"/>
    <w:rsid w:val="007206C2"/>
    <w:rsid w:val="007B3613"/>
    <w:rsid w:val="00EC28A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EE377"/>
  <w15:docId w15:val="{9533C279-C524-4E46-A7A9-7204C7341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C28A7"/>
    <w:pPr>
      <w:tabs>
        <w:tab w:val="center" w:pos="4513"/>
        <w:tab w:val="right" w:pos="9026"/>
      </w:tabs>
    </w:pPr>
  </w:style>
  <w:style w:type="character" w:customStyle="1" w:styleId="HeaderChar">
    <w:name w:val="Header Char"/>
    <w:basedOn w:val="DefaultParagraphFont"/>
    <w:link w:val="Header"/>
    <w:uiPriority w:val="99"/>
    <w:rsid w:val="00EC28A7"/>
  </w:style>
  <w:style w:type="paragraph" w:styleId="Footer">
    <w:name w:val="footer"/>
    <w:basedOn w:val="Normal"/>
    <w:link w:val="FooterChar"/>
    <w:uiPriority w:val="99"/>
    <w:unhideWhenUsed/>
    <w:rsid w:val="00EC28A7"/>
    <w:pPr>
      <w:tabs>
        <w:tab w:val="center" w:pos="4513"/>
        <w:tab w:val="right" w:pos="9026"/>
      </w:tabs>
    </w:pPr>
  </w:style>
  <w:style w:type="character" w:customStyle="1" w:styleId="FooterChar">
    <w:name w:val="Footer Char"/>
    <w:basedOn w:val="DefaultParagraphFont"/>
    <w:link w:val="Footer"/>
    <w:uiPriority w:val="99"/>
    <w:rsid w:val="00EC28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1115</Words>
  <Characters>6357</Characters>
  <Application>Microsoft Office Word</Application>
  <DocSecurity>0</DocSecurity>
  <Lines>52</Lines>
  <Paragraphs>14</Paragraphs>
  <ScaleCrop>false</ScaleCrop>
  <Company/>
  <LinksUpToDate>false</LinksUpToDate>
  <CharactersWithSpaces>7458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Progress Report WP1 — Ashish Shrestha</dc:title>
  <dc:creator>Dan6: Theme 2</dc:creator>
  <cp:lastModifiedBy>Ashish Shrestha</cp:lastModifiedBy>
  <cp:revision>2</cp:revision>
  <dcterms:created xsi:type="dcterms:W3CDTF">2026-09-13T05:46:00Z</dcterms:created>
  <dcterms:modified xsi:type="dcterms:W3CDTF">2026-09-13T05:46:00Z</dcterms:modified>
</cp:coreProperties>
</file>