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360"/>
        <w:jc w:val="center"/>
      </w:pPr>
      <w:r>
        <w:rPr>
          <w:b/>
          <w:color w:val="2B8C82"/>
          <w:sz w:val="20"/>
        </w:rPr>
        <w:t>PRT661 – DATA SCIENCE PRACTICE</w:t>
      </w:r>
    </w:p>
    <w:p>
      <w:pPr>
        <w:jc w:val="center"/>
      </w:pPr>
      <w:r>
        <w:rPr>
          <w:b/>
          <w:color w:val="173A63"/>
          <w:sz w:val="48"/>
        </w:rPr>
        <w:t>WP1 Individual Contribution</w:t>
        <w:br/>
        <w:t>and Progress Report</w:t>
      </w:r>
    </w:p>
    <w:p>
      <w:pPr>
        <w:jc w:val="center"/>
      </w:pPr>
      <w:r>
        <w:rPr>
          <w:color w:val="667085"/>
          <w:sz w:val="22"/>
        </w:rPr>
        <w:t>Bishal Dahal · Verification &amp; Dashboard Lead</w:t>
      </w:r>
    </w:p>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2448"/>
            <w:shd w:fill="173A63"/>
            <w:vAlign w:val="center"/>
            <w:tcMar>
              <w:top w:w="70" w:type="dxa"/>
              <w:start w:w="80" w:type="dxa"/>
              <w:bottom w:w="70" w:type="dxa"/>
              <w:end w:w="80" w:type="dxa"/>
            </w:tcMar>
          </w:tcPr>
          <w:p>
            <w:r>
              <w:rPr>
                <w:b/>
                <w:color w:val="FFFFFF"/>
                <w:sz w:val="17"/>
              </w:rPr>
              <w:t>Field</w:t>
            </w:r>
          </w:p>
        </w:tc>
        <w:tc>
          <w:tcPr>
            <w:tcW w:type="dxa" w:w="7056"/>
            <w:shd w:fill="173A63"/>
            <w:vAlign w:val="center"/>
            <w:tcMar>
              <w:top w:w="70" w:type="dxa"/>
              <w:start w:w="80" w:type="dxa"/>
              <w:bottom w:w="70" w:type="dxa"/>
              <w:end w:w="80" w:type="dxa"/>
            </w:tcMar>
          </w:tcPr>
          <w:p>
            <w:r>
              <w:rPr>
                <w:b/>
                <w:color w:val="FFFFFF"/>
                <w:sz w:val="17"/>
              </w:rPr>
              <w:t>Detail</w:t>
            </w:r>
          </w:p>
        </w:tc>
      </w:tr>
      <w:tr>
        <w:trPr>
          <w:cantSplit/>
        </w:trPr>
        <w:tc>
          <w:tcPr>
            <w:tcW w:type="dxa" w:w="2448"/>
            <w:vAlign w:val="top"/>
            <w:tcMar>
              <w:top w:w="70" w:type="dxa"/>
              <w:start w:w="80" w:type="dxa"/>
              <w:bottom w:w="70" w:type="dxa"/>
              <w:end w:w="80" w:type="dxa"/>
            </w:tcMar>
          </w:tcPr>
          <w:p>
            <w:pPr>
              <w:spacing w:after="0"/>
            </w:pPr>
            <w:r>
              <w:rPr>
                <w:color w:val="1F2937"/>
                <w:sz w:val="17"/>
              </w:rPr>
              <w:t>Student</w:t>
            </w:r>
          </w:p>
        </w:tc>
        <w:tc>
          <w:tcPr>
            <w:tcW w:type="dxa" w:w="7056"/>
            <w:vAlign w:val="top"/>
            <w:tcMar>
              <w:top w:w="70" w:type="dxa"/>
              <w:start w:w="80" w:type="dxa"/>
              <w:bottom w:w="70" w:type="dxa"/>
              <w:end w:w="80" w:type="dxa"/>
            </w:tcMar>
          </w:tcPr>
          <w:p>
            <w:pPr>
              <w:spacing w:after="0"/>
            </w:pPr>
            <w:r>
              <w:rPr>
                <w:color w:val="1F2937"/>
                <w:sz w:val="17"/>
              </w:rPr>
              <w:t>Bishal Dahal</w:t>
            </w:r>
          </w:p>
        </w:tc>
      </w:tr>
      <w:tr>
        <w:trPr>
          <w:cantSplit/>
        </w:trPr>
        <w:tc>
          <w:tcPr>
            <w:tcW w:type="dxa" w:w="2448"/>
            <w:vAlign w:val="top"/>
            <w:shd w:fill="F6F8FB"/>
            <w:tcMar>
              <w:top w:w="70" w:type="dxa"/>
              <w:start w:w="80" w:type="dxa"/>
              <w:bottom w:w="70" w:type="dxa"/>
              <w:end w:w="80" w:type="dxa"/>
            </w:tcMar>
          </w:tcPr>
          <w:p>
            <w:pPr>
              <w:spacing w:after="0"/>
            </w:pPr>
            <w:r>
              <w:rPr>
                <w:color w:val="1F2937"/>
                <w:sz w:val="17"/>
              </w:rPr>
              <w:t>Student ID</w:t>
            </w:r>
          </w:p>
        </w:tc>
        <w:tc>
          <w:tcPr>
            <w:tcW w:type="dxa" w:w="7056"/>
            <w:vAlign w:val="top"/>
            <w:shd w:fill="F6F8FB"/>
            <w:tcMar>
              <w:top w:w="70" w:type="dxa"/>
              <w:start w:w="80" w:type="dxa"/>
              <w:bottom w:w="70" w:type="dxa"/>
              <w:end w:w="80" w:type="dxa"/>
            </w:tcMar>
          </w:tcPr>
          <w:p>
            <w:pPr>
              <w:spacing w:after="0"/>
            </w:pPr>
            <w:r>
              <w:rPr>
                <w:color w:val="1F2937"/>
                <w:sz w:val="17"/>
              </w:rPr>
              <w:t>S388095</w:t>
            </w:r>
          </w:p>
        </w:tc>
      </w:tr>
      <w:tr>
        <w:trPr>
          <w:cantSplit/>
        </w:trPr>
        <w:tc>
          <w:tcPr>
            <w:tcW w:type="dxa" w:w="2448"/>
            <w:vAlign w:val="top"/>
            <w:tcMar>
              <w:top w:w="70" w:type="dxa"/>
              <w:start w:w="80" w:type="dxa"/>
              <w:bottom w:w="70" w:type="dxa"/>
              <w:end w:w="80" w:type="dxa"/>
            </w:tcMar>
          </w:tcPr>
          <w:p>
            <w:pPr>
              <w:spacing w:after="0"/>
            </w:pPr>
            <w:r>
              <w:rPr>
                <w:color w:val="1F2937"/>
                <w:sz w:val="17"/>
              </w:rPr>
              <w:t>Role</w:t>
            </w:r>
          </w:p>
        </w:tc>
        <w:tc>
          <w:tcPr>
            <w:tcW w:type="dxa" w:w="7056"/>
            <w:vAlign w:val="top"/>
            <w:tcMar>
              <w:top w:w="70" w:type="dxa"/>
              <w:start w:w="80" w:type="dxa"/>
              <w:bottom w:w="70" w:type="dxa"/>
              <w:end w:w="80" w:type="dxa"/>
            </w:tcMar>
          </w:tcPr>
          <w:p>
            <w:pPr>
              <w:spacing w:after="0"/>
            </w:pPr>
            <w:r>
              <w:rPr>
                <w:color w:val="1F2937"/>
                <w:sz w:val="17"/>
              </w:rPr>
              <w:t>Verification &amp; Dashboard Lead</w:t>
            </w:r>
          </w:p>
        </w:tc>
      </w:tr>
      <w:tr>
        <w:trPr>
          <w:cantSplit/>
        </w:trPr>
        <w:tc>
          <w:tcPr>
            <w:tcW w:type="dxa" w:w="2448"/>
            <w:vAlign w:val="top"/>
            <w:shd w:fill="F6F8FB"/>
            <w:tcMar>
              <w:top w:w="70" w:type="dxa"/>
              <w:start w:w="80" w:type="dxa"/>
              <w:bottom w:w="70" w:type="dxa"/>
              <w:end w:w="80" w:type="dxa"/>
            </w:tcMar>
          </w:tcPr>
          <w:p>
            <w:pPr>
              <w:spacing w:after="0"/>
            </w:pPr>
            <w:r>
              <w:rPr>
                <w:color w:val="1F2937"/>
                <w:sz w:val="17"/>
              </w:rPr>
              <w:t>Work package</w:t>
            </w:r>
          </w:p>
        </w:tc>
        <w:tc>
          <w:tcPr>
            <w:tcW w:type="dxa" w:w="7056"/>
            <w:vAlign w:val="top"/>
            <w:shd w:fill="F6F8FB"/>
            <w:tcMar>
              <w:top w:w="70" w:type="dxa"/>
              <w:start w:w="80" w:type="dxa"/>
              <w:bottom w:w="70" w:type="dxa"/>
              <w:end w:w="80" w:type="dxa"/>
            </w:tcMar>
          </w:tcPr>
          <w:p>
            <w:pPr>
              <w:spacing w:after="0"/>
            </w:pPr>
            <w:r>
              <w:rPr>
                <w:color w:val="1F2937"/>
                <w:sz w:val="17"/>
              </w:rPr>
              <w:t>WP1 – Stage 1 Data Acquisition</w:t>
            </w:r>
          </w:p>
        </w:tc>
      </w:tr>
      <w:tr>
        <w:trPr>
          <w:cantSplit/>
        </w:trPr>
        <w:tc>
          <w:tcPr>
            <w:tcW w:type="dxa" w:w="2448"/>
            <w:vAlign w:val="top"/>
            <w:tcMar>
              <w:top w:w="70" w:type="dxa"/>
              <w:start w:w="80" w:type="dxa"/>
              <w:bottom w:w="70" w:type="dxa"/>
              <w:end w:w="80" w:type="dxa"/>
            </w:tcMar>
          </w:tcPr>
          <w:p>
            <w:pPr>
              <w:spacing w:after="0"/>
            </w:pPr>
            <w:r>
              <w:rPr>
                <w:color w:val="1F2937"/>
                <w:sz w:val="17"/>
              </w:rPr>
              <w:t>Individual code artefact</w:t>
            </w:r>
          </w:p>
        </w:tc>
        <w:tc>
          <w:tcPr>
            <w:tcW w:type="dxa" w:w="7056"/>
            <w:vAlign w:val="top"/>
            <w:tcMar>
              <w:top w:w="70" w:type="dxa"/>
              <w:start w:w="80" w:type="dxa"/>
              <w:bottom w:w="70" w:type="dxa"/>
              <w:end w:w="80" w:type="dxa"/>
            </w:tcMar>
          </w:tcPr>
          <w:p>
            <w:pPr>
              <w:spacing w:after="0"/>
            </w:pPr>
            <w:r>
              <w:rPr>
                <w:color w:val="1F2937"/>
                <w:sz w:val="17"/>
              </w:rPr>
              <w:t>04_Bishal_Dahal_Weather_Holidays.py</w:t>
            </w:r>
          </w:p>
        </w:tc>
      </w:tr>
      <w:tr>
        <w:trPr>
          <w:cantSplit/>
        </w:trPr>
        <w:tc>
          <w:tcPr>
            <w:tcW w:type="dxa" w:w="2448"/>
            <w:vAlign w:val="top"/>
            <w:shd w:fill="F6F8FB"/>
            <w:tcMar>
              <w:top w:w="70" w:type="dxa"/>
              <w:start w:w="80" w:type="dxa"/>
              <w:bottom w:w="70" w:type="dxa"/>
              <w:end w:w="80" w:type="dxa"/>
            </w:tcMar>
          </w:tcPr>
          <w:p>
            <w:pPr>
              <w:spacing w:after="0"/>
            </w:pPr>
            <w:r>
              <w:rPr>
                <w:color w:val="1F2937"/>
                <w:sz w:val="17"/>
              </w:rPr>
              <w:t>Integrated pipeline</w:t>
            </w:r>
          </w:p>
        </w:tc>
        <w:tc>
          <w:tcPr>
            <w:tcW w:type="dxa" w:w="7056"/>
            <w:vAlign w:val="top"/>
            <w:shd w:fill="F6F8FB"/>
            <w:tcMar>
              <w:top w:w="70" w:type="dxa"/>
              <w:start w:w="80" w:type="dxa"/>
              <w:bottom w:w="70" w:type="dxa"/>
              <w:end w:w="80" w:type="dxa"/>
            </w:tcMar>
          </w:tcPr>
          <w:p>
            <w:pPr>
              <w:spacing w:after="0"/>
            </w:pPr>
            <w:r>
              <w:rPr>
                <w:color w:val="1F2937"/>
                <w:sz w:val="17"/>
              </w:rPr>
              <w:t>01_Data_Acquisition_Final_Integrated.py</w:t>
            </w:r>
          </w:p>
        </w:tc>
      </w:tr>
      <w:tr>
        <w:trPr>
          <w:cantSplit/>
        </w:trPr>
        <w:tc>
          <w:tcPr>
            <w:tcW w:type="dxa" w:w="2448"/>
            <w:vAlign w:val="top"/>
            <w:tcMar>
              <w:top w:w="70" w:type="dxa"/>
              <w:start w:w="80" w:type="dxa"/>
              <w:bottom w:w="70" w:type="dxa"/>
              <w:end w:w="80" w:type="dxa"/>
            </w:tcMar>
          </w:tcPr>
          <w:p>
            <w:pPr>
              <w:spacing w:after="0"/>
            </w:pPr>
            <w:r>
              <w:rPr>
                <w:color w:val="1F2937"/>
                <w:sz w:val="17"/>
              </w:rPr>
              <w:t>Evidence run</w:t>
            </w:r>
          </w:p>
        </w:tc>
        <w:tc>
          <w:tcPr>
            <w:tcW w:type="dxa" w:w="7056"/>
            <w:vAlign w:val="top"/>
            <w:tcMar>
              <w:top w:w="70" w:type="dxa"/>
              <w:start w:w="80" w:type="dxa"/>
              <w:bottom w:w="70" w:type="dxa"/>
              <w:end w:w="80" w:type="dxa"/>
            </w:tcMar>
          </w:tcPr>
          <w:p>
            <w:pPr>
              <w:spacing w:after="0"/>
            </w:pPr>
            <w:r>
              <w:rPr>
                <w:color w:val="1F2937"/>
                <w:sz w:val="17"/>
              </w:rPr>
              <w:t>Data.zip – current verified acquisition output</w:t>
            </w:r>
          </w:p>
        </w:tc>
      </w:tr>
    </w:tbl>
    <w:p>
      <w:pPr>
        <w:pStyle w:val="Heading1"/>
      </w:pPr>
      <w:r>
        <w:t>1. Contribution overview</w:t>
      </w:r>
    </w:p>
    <w:p>
      <w:r>
        <w:t>My Stage 1 contribution owns the external driver layer and independent source checking. The work changed substantially after the original BOM acquisition path proved unreliable in the automated pipeline. Rather than silently using malformed weather files, the final design was rebuilt around historical ERA5 reanalysis, a seven-day ECMWF IFS HRES forecast path and state-specific public-holiday calendars, with explicit provenance and archived forecast vintages.</w:t>
      </w:r>
    </w:p>
    <w:tbl>
      <w:tblPr>
        <w:tblStyle w:val="TableGrid"/>
        <w:tblW w:type="auto" w:w="0"/>
        <w:jc w:val="center"/>
        <w:tblLook w:firstColumn="1" w:firstRow="1" w:lastColumn="0" w:lastRow="0" w:noHBand="0" w:noVBand="1" w:val="04A0"/>
      </w:tblPr>
      <w:tblGrid>
        <w:gridCol w:w="10166"/>
      </w:tblGrid>
      <w:tr>
        <w:tc>
          <w:tcPr>
            <w:tcW w:type="dxa" w:w="10166"/>
            <w:shd w:fill="EFF4F8"/>
            <w:tcMar>
              <w:top w:w="100" w:type="dxa"/>
              <w:start w:w="130" w:type="dxa"/>
              <w:bottom w:w="100" w:type="dxa"/>
              <w:end w:w="130" w:type="dxa"/>
            </w:tcMar>
          </w:tcPr>
          <w:p>
            <w:r>
              <w:rPr>
                <w:b/>
                <w:color w:val="2D6CA2"/>
                <w:sz w:val="20"/>
              </w:rPr>
              <w:t>Contribution boundary</w:t>
              <w:br/>
            </w:r>
            <w:r>
              <w:rPr>
                <w:color w:val="1F2937"/>
                <w:sz w:val="19"/>
              </w:rPr>
              <w:t>This report records the member’s primary source workstream and the functions carried into the integrated pipeline. Shared CLI, directories, source contract, final integration and cross-source decisions are team responsibilities. The individual code module is a role-aligned reconstruction from the final integrated code and WP1 records; it is not presented as an invented historical Git snapshot.</w:t>
            </w:r>
          </w:p>
        </w:tc>
      </w:tr>
    </w:tbl>
    <w:p>
      <w:pPr>
        <w:pStyle w:val="Heading1"/>
      </w:pPr>
      <w:r>
        <w:t>2. From the initial design to the final source module</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3888"/>
            <w:shd w:fill="173A63"/>
            <w:vAlign w:val="center"/>
            <w:tcMar>
              <w:top w:w="70" w:type="dxa"/>
              <w:start w:w="80" w:type="dxa"/>
              <w:bottom w:w="70" w:type="dxa"/>
              <w:end w:w="80" w:type="dxa"/>
            </w:tcMar>
          </w:tcPr>
          <w:p>
            <w:r>
              <w:rPr>
                <w:b/>
                <w:color w:val="FFFFFF"/>
                <w:sz w:val="17"/>
              </w:rPr>
              <w:t>Initial plan / requirement</w:t>
            </w:r>
          </w:p>
        </w:tc>
        <w:tc>
          <w:tcPr>
            <w:tcW w:type="dxa" w:w="5616"/>
            <w:shd w:fill="173A63"/>
            <w:vAlign w:val="center"/>
            <w:tcMar>
              <w:top w:w="70" w:type="dxa"/>
              <w:start w:w="80" w:type="dxa"/>
              <w:bottom w:w="70" w:type="dxa"/>
              <w:end w:w="80" w:type="dxa"/>
            </w:tcMar>
          </w:tcPr>
          <w:p>
            <w:r>
              <w:rPr>
                <w:b/>
                <w:color w:val="FFFFFF"/>
                <w:sz w:val="17"/>
              </w:rPr>
              <w:t>How it evolved in Stage 1</w:t>
            </w:r>
          </w:p>
        </w:tc>
      </w:tr>
      <w:tr>
        <w:trPr>
          <w:cantSplit/>
        </w:trPr>
        <w:tc>
          <w:tcPr>
            <w:tcW w:type="dxa" w:w="3888"/>
            <w:vAlign w:val="top"/>
            <w:tcMar>
              <w:top w:w="70" w:type="dxa"/>
              <w:start w:w="80" w:type="dxa"/>
              <w:bottom w:w="70" w:type="dxa"/>
              <w:end w:w="80" w:type="dxa"/>
            </w:tcMar>
          </w:tcPr>
          <w:p>
            <w:pPr>
              <w:spacing w:after="0"/>
            </w:pPr>
            <w:r>
              <w:rPr>
                <w:color w:val="1F2937"/>
                <w:sz w:val="17"/>
              </w:rPr>
              <w:t>Assessment 1 proposed BOM Climate Data Online temperature and HDD/CDD.</w:t>
            </w:r>
          </w:p>
        </w:tc>
        <w:tc>
          <w:tcPr>
            <w:tcW w:type="dxa" w:w="5616"/>
            <w:vAlign w:val="top"/>
            <w:tcMar>
              <w:top w:w="70" w:type="dxa"/>
              <w:start w:w="80" w:type="dxa"/>
              <w:bottom w:w="70" w:type="dxa"/>
              <w:end w:w="80" w:type="dxa"/>
            </w:tcMar>
          </w:tcPr>
          <w:p>
            <w:pPr>
              <w:spacing w:after="0"/>
            </w:pPr>
            <w:r>
              <w:rPr>
                <w:color w:val="1F2937"/>
                <w:sz w:val="17"/>
              </w:rPr>
              <w:t>Initial BOM retrievals produced HTML/archive artefacts instead of consistently usable weather observations. The source design was therefore changed rather than fabricating weather.</w:t>
            </w:r>
          </w:p>
        </w:tc>
      </w:tr>
      <w:tr>
        <w:trPr>
          <w:cantSplit/>
        </w:trPr>
        <w:tc>
          <w:tcPr>
            <w:tcW w:type="dxa" w:w="3888"/>
            <w:vAlign w:val="top"/>
            <w:shd w:fill="F6F8FB"/>
            <w:tcMar>
              <w:top w:w="70" w:type="dxa"/>
              <w:start w:w="80" w:type="dxa"/>
              <w:bottom w:w="70" w:type="dxa"/>
              <w:end w:w="80" w:type="dxa"/>
            </w:tcMar>
          </w:tcPr>
          <w:p>
            <w:pPr>
              <w:spacing w:after="0"/>
            </w:pPr>
            <w:r>
              <w:rPr>
                <w:color w:val="1F2937"/>
                <w:sz w:val="17"/>
              </w:rPr>
              <w:t>Weather was initially daily and station-file based.</w:t>
            </w:r>
          </w:p>
        </w:tc>
        <w:tc>
          <w:tcPr>
            <w:tcW w:type="dxa" w:w="5616"/>
            <w:vAlign w:val="top"/>
            <w:shd w:fill="F6F8FB"/>
            <w:tcMar>
              <w:top w:w="70" w:type="dxa"/>
              <w:start w:w="80" w:type="dxa"/>
              <w:bottom w:w="70" w:type="dxa"/>
              <w:end w:w="80" w:type="dxa"/>
            </w:tcMar>
          </w:tcPr>
          <w:p>
            <w:pPr>
              <w:spacing w:after="0"/>
            </w:pPr>
            <w:r>
              <w:rPr>
                <w:color w:val="1F2937"/>
                <w:sz w:val="17"/>
              </w:rPr>
              <w:t>Final Stage 1 stores historical daily and hourly weather plus a live hourly forecast, giving later stages a consistent temperature/humidity/rainfall schema.</w:t>
            </w:r>
          </w:p>
        </w:tc>
      </w:tr>
      <w:tr>
        <w:trPr>
          <w:cantSplit/>
        </w:trPr>
        <w:tc>
          <w:tcPr>
            <w:tcW w:type="dxa" w:w="3888"/>
            <w:vAlign w:val="top"/>
            <w:tcMar>
              <w:top w:w="70" w:type="dxa"/>
              <w:start w:w="80" w:type="dxa"/>
              <w:bottom w:w="70" w:type="dxa"/>
              <w:end w:w="80" w:type="dxa"/>
            </w:tcMar>
          </w:tcPr>
          <w:p>
            <w:pPr>
              <w:spacing w:after="0"/>
            </w:pPr>
            <w:r>
              <w:rPr>
                <w:color w:val="1F2937"/>
                <w:sz w:val="17"/>
              </w:rPr>
              <w:t>A live forecast changes every run.</w:t>
            </w:r>
          </w:p>
        </w:tc>
        <w:tc>
          <w:tcPr>
            <w:tcW w:type="dxa" w:w="5616"/>
            <w:vAlign w:val="top"/>
            <w:tcMar>
              <w:top w:w="70" w:type="dxa"/>
              <w:start w:w="80" w:type="dxa"/>
              <w:bottom w:w="70" w:type="dxa"/>
              <w:end w:w="80" w:type="dxa"/>
            </w:tcMar>
          </w:tcPr>
          <w:p>
            <w:pPr>
              <w:spacing w:after="0"/>
            </w:pPr>
            <w:r>
              <w:rPr>
                <w:color w:val="1F2937"/>
                <w:sz w:val="17"/>
              </w:rPr>
              <w:t>The final design writes latest/ for current use and archive/&lt;timestamp&gt;/ for immutable forecast vintages.</w:t>
            </w:r>
          </w:p>
        </w:tc>
      </w:tr>
      <w:tr>
        <w:trPr>
          <w:cantSplit/>
        </w:trPr>
        <w:tc>
          <w:tcPr>
            <w:tcW w:type="dxa" w:w="3888"/>
            <w:vAlign w:val="top"/>
            <w:shd w:fill="F6F8FB"/>
            <w:tcMar>
              <w:top w:w="70" w:type="dxa"/>
              <w:start w:w="80" w:type="dxa"/>
              <w:bottom w:w="70" w:type="dxa"/>
              <w:end w:w="80" w:type="dxa"/>
            </w:tcMar>
          </w:tcPr>
          <w:p>
            <w:pPr>
              <w:spacing w:after="0"/>
            </w:pPr>
            <w:r>
              <w:rPr>
                <w:color w:val="1F2937"/>
                <w:sz w:val="17"/>
              </w:rPr>
              <w:t>The seven-region feature idea included NT.</w:t>
            </w:r>
          </w:p>
        </w:tc>
        <w:tc>
          <w:tcPr>
            <w:tcW w:type="dxa" w:w="5616"/>
            <w:vAlign w:val="top"/>
            <w:shd w:fill="F6F8FB"/>
            <w:tcMar>
              <w:top w:w="70" w:type="dxa"/>
              <w:start w:w="80" w:type="dxa"/>
              <w:bottom w:w="70" w:type="dxa"/>
              <w:end w:w="80" w:type="dxa"/>
            </w:tcMar>
          </w:tcPr>
          <w:p>
            <w:pPr>
              <w:spacing w:after="0"/>
            </w:pPr>
            <w:r>
              <w:rPr>
                <w:color w:val="1F2937"/>
                <w:sz w:val="17"/>
              </w:rPr>
              <w:t>When NT demand was removed from the automated target scope, weather/holiday acquisition was also reduced to the six implemented demand regions.</w:t>
            </w:r>
          </w:p>
        </w:tc>
      </w:tr>
    </w:tbl>
    <w:p>
      <w:pPr>
        <w:pStyle w:val="Heading1"/>
      </w:pPr>
      <w:r>
        <w:t>3. Work completed</w:t>
      </w:r>
    </w:p>
    <w:p>
      <w:pPr>
        <w:pStyle w:val="Heading2"/>
      </w:pPr>
      <w:r>
        <w:t>3.1 Non-technical explanation</w:t>
      </w:r>
    </w:p>
    <w:p>
      <w:pPr>
        <w:pStyle w:val="ListBullet"/>
        <w:spacing w:after="60"/>
      </w:pPr>
      <w:r>
        <w:t>Acquire historical weather for all six demand regions using representative capital-city coordinates and local civil time zones.</w:t>
      </w:r>
    </w:p>
    <w:p>
      <w:pPr>
        <w:pStyle w:val="ListBullet"/>
        <w:spacing w:after="60"/>
      </w:pPr>
      <w:r>
        <w:t>Acquire the next seven full local days from the ECMWF IFS HRES endpoint through Open-Meteo, with a named generic fallback if required.</w:t>
      </w:r>
    </w:p>
    <w:p>
      <w:pPr>
        <w:pStyle w:val="ListBullet"/>
        <w:spacing w:after="60"/>
      </w:pPr>
      <w:r>
        <w:t>Store source type, model, retrieval time, forecast origin, target date and lead day so future values cannot be mistaken for observations.</w:t>
      </w:r>
    </w:p>
    <w:p>
      <w:pPr>
        <w:pStyle w:val="ListBullet"/>
        <w:spacing w:after="60"/>
      </w:pPr>
      <w:r>
        <w:t>Write both current forecast files and immutable timestamped archive copies.</w:t>
      </w:r>
    </w:p>
    <w:p>
      <w:pPr>
        <w:pStyle w:val="ListBullet"/>
        <w:spacing w:after="60"/>
      </w:pPr>
      <w:r>
        <w:t>Generate state-specific public-holiday calendars through the end of the year so future known holidays are already available.</w:t>
      </w:r>
    </w:p>
    <w:p>
      <w:pPr>
        <w:pStyle w:val="Heading2"/>
      </w:pPr>
      <w:r>
        <w:t>3.2 Technical code responsibility</w:t>
      </w:r>
    </w:p>
    <w:p>
      <w:r>
        <w:t>The accompanying 04_Bishal_Dahal_Weather_Holidays.py isolates this workstream from the final integrated acquisition file so the source logic can be read and tested independently before merge.</w:t>
      </w:r>
    </w:p>
    <w:p>
      <w:pPr>
        <w:pStyle w:val="Heading1"/>
      </w:pPr>
      <w:r>
        <w:t>4. Evidence from the current verified acquisition output</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2448"/>
            <w:shd w:fill="173A63"/>
            <w:vAlign w:val="center"/>
            <w:tcMar>
              <w:top w:w="70" w:type="dxa"/>
              <w:start w:w="80" w:type="dxa"/>
              <w:bottom w:w="70" w:type="dxa"/>
              <w:end w:w="80" w:type="dxa"/>
            </w:tcMar>
          </w:tcPr>
          <w:p>
            <w:r>
              <w:rPr>
                <w:b/>
                <w:color w:val="FFFFFF"/>
                <w:sz w:val="16"/>
              </w:rPr>
              <w:t>Evidence</w:t>
            </w:r>
          </w:p>
        </w:tc>
        <w:tc>
          <w:tcPr>
            <w:tcW w:type="dxa" w:w="3024"/>
            <w:shd w:fill="173A63"/>
            <w:vAlign w:val="center"/>
            <w:tcMar>
              <w:top w:w="70" w:type="dxa"/>
              <w:start w:w="80" w:type="dxa"/>
              <w:bottom w:w="70" w:type="dxa"/>
              <w:end w:w="80" w:type="dxa"/>
            </w:tcMar>
          </w:tcPr>
          <w:p>
            <w:r>
              <w:rPr>
                <w:b/>
                <w:color w:val="FFFFFF"/>
                <w:sz w:val="16"/>
              </w:rPr>
              <w:t>Current verified result</w:t>
            </w:r>
          </w:p>
        </w:tc>
        <w:tc>
          <w:tcPr>
            <w:tcW w:type="dxa" w:w="4032"/>
            <w:shd w:fill="173A63"/>
            <w:vAlign w:val="center"/>
            <w:tcMar>
              <w:top w:w="70" w:type="dxa"/>
              <w:start w:w="80" w:type="dxa"/>
              <w:bottom w:w="70" w:type="dxa"/>
              <w:end w:w="80" w:type="dxa"/>
            </w:tcMar>
          </w:tcPr>
          <w:p>
            <w:r>
              <w:rPr>
                <w:b/>
                <w:color w:val="FFFFFF"/>
                <w:sz w:val="16"/>
              </w:rPr>
              <w:t>What it demonstrates</w:t>
            </w:r>
          </w:p>
        </w:tc>
      </w:tr>
      <w:tr>
        <w:trPr>
          <w:cantSplit/>
        </w:trPr>
        <w:tc>
          <w:tcPr>
            <w:tcW w:type="dxa" w:w="2448"/>
            <w:vAlign w:val="top"/>
            <w:tcMar>
              <w:top w:w="70" w:type="dxa"/>
              <w:start w:w="80" w:type="dxa"/>
              <w:bottom w:w="70" w:type="dxa"/>
              <w:end w:w="80" w:type="dxa"/>
            </w:tcMar>
          </w:tcPr>
          <w:p>
            <w:pPr>
              <w:spacing w:after="0"/>
            </w:pPr>
            <w:r>
              <w:rPr>
                <w:color w:val="1F2937"/>
                <w:sz w:val="16"/>
              </w:rPr>
              <w:t>Historical weather per region</w:t>
            </w:r>
          </w:p>
        </w:tc>
        <w:tc>
          <w:tcPr>
            <w:tcW w:type="dxa" w:w="3024"/>
            <w:vAlign w:val="top"/>
            <w:tcMar>
              <w:top w:w="70" w:type="dxa"/>
              <w:start w:w="80" w:type="dxa"/>
              <w:bottom w:w="70" w:type="dxa"/>
              <w:end w:w="80" w:type="dxa"/>
            </w:tcMar>
          </w:tcPr>
          <w:p>
            <w:pPr>
              <w:spacing w:after="0"/>
            </w:pPr>
            <w:r>
              <w:rPr>
                <w:color w:val="1F2937"/>
                <w:sz w:val="16"/>
              </w:rPr>
              <w:t>1,713 daily + 41,112 hourly rows</w:t>
            </w:r>
          </w:p>
        </w:tc>
        <w:tc>
          <w:tcPr>
            <w:tcW w:type="dxa" w:w="4032"/>
            <w:vAlign w:val="top"/>
            <w:tcMar>
              <w:top w:w="70" w:type="dxa"/>
              <w:start w:w="80" w:type="dxa"/>
              <w:bottom w:w="70" w:type="dxa"/>
              <w:end w:w="80" w:type="dxa"/>
            </w:tcMar>
          </w:tcPr>
          <w:p>
            <w:pPr>
              <w:spacing w:after="0"/>
            </w:pPr>
            <w:r>
              <w:rPr>
                <w:color w:val="1F2937"/>
                <w:sz w:val="16"/>
              </w:rPr>
              <w:t>Historical hourly coverage reaches 2026-09-09 23:00:00.</w:t>
            </w:r>
          </w:p>
        </w:tc>
      </w:tr>
      <w:tr>
        <w:trPr>
          <w:cantSplit/>
        </w:trPr>
        <w:tc>
          <w:tcPr>
            <w:tcW w:type="dxa" w:w="2448"/>
            <w:vAlign w:val="top"/>
            <w:shd w:fill="F6F8FB"/>
            <w:tcMar>
              <w:top w:w="70" w:type="dxa"/>
              <w:start w:w="80" w:type="dxa"/>
              <w:bottom w:w="70" w:type="dxa"/>
              <w:end w:w="80" w:type="dxa"/>
            </w:tcMar>
          </w:tcPr>
          <w:p>
            <w:pPr>
              <w:spacing w:after="0"/>
            </w:pPr>
            <w:r>
              <w:rPr>
                <w:color w:val="1F2937"/>
                <w:sz w:val="16"/>
              </w:rPr>
              <w:t>Seven-day forecast</w:t>
            </w:r>
          </w:p>
        </w:tc>
        <w:tc>
          <w:tcPr>
            <w:tcW w:type="dxa" w:w="3024"/>
            <w:vAlign w:val="top"/>
            <w:shd w:fill="F6F8FB"/>
            <w:tcMar>
              <w:top w:w="70" w:type="dxa"/>
              <w:start w:w="80" w:type="dxa"/>
              <w:bottom w:w="70" w:type="dxa"/>
              <w:end w:w="80" w:type="dxa"/>
            </w:tcMar>
          </w:tcPr>
          <w:p>
            <w:pPr>
              <w:spacing w:after="0"/>
            </w:pPr>
            <w:r>
              <w:rPr>
                <w:color w:val="1F2937"/>
                <w:sz w:val="16"/>
              </w:rPr>
              <w:t>168 hourly + 7 daily rows per region</w:t>
            </w:r>
          </w:p>
        </w:tc>
        <w:tc>
          <w:tcPr>
            <w:tcW w:type="dxa" w:w="4032"/>
            <w:vAlign w:val="top"/>
            <w:shd w:fill="F6F8FB"/>
            <w:tcMar>
              <w:top w:w="70" w:type="dxa"/>
              <w:start w:w="80" w:type="dxa"/>
              <w:bottom w:w="70" w:type="dxa"/>
              <w:end w:w="80" w:type="dxa"/>
            </w:tcMar>
          </w:tcPr>
          <w:p>
            <w:pPr>
              <w:spacing w:after="0"/>
            </w:pPr>
            <w:r>
              <w:rPr>
                <w:color w:val="1F2937"/>
                <w:sz w:val="16"/>
              </w:rPr>
              <w:t>Verified window 2026-09-15 → 2026-09-21.</w:t>
            </w:r>
          </w:p>
        </w:tc>
      </w:tr>
      <w:tr>
        <w:trPr>
          <w:cantSplit/>
        </w:trPr>
        <w:tc>
          <w:tcPr>
            <w:tcW w:type="dxa" w:w="2448"/>
            <w:vAlign w:val="top"/>
            <w:tcMar>
              <w:top w:w="70" w:type="dxa"/>
              <w:start w:w="80" w:type="dxa"/>
              <w:bottom w:w="70" w:type="dxa"/>
              <w:end w:w="80" w:type="dxa"/>
            </w:tcMar>
          </w:tcPr>
          <w:p>
            <w:pPr>
              <w:spacing w:after="0"/>
            </w:pPr>
            <w:r>
              <w:rPr>
                <w:color w:val="1F2937"/>
                <w:sz w:val="16"/>
              </w:rPr>
              <w:t>Forecast model</w:t>
            </w:r>
          </w:p>
        </w:tc>
        <w:tc>
          <w:tcPr>
            <w:tcW w:type="dxa" w:w="3024"/>
            <w:vAlign w:val="top"/>
            <w:tcMar>
              <w:top w:w="70" w:type="dxa"/>
              <w:start w:w="80" w:type="dxa"/>
              <w:bottom w:w="70" w:type="dxa"/>
              <w:end w:w="80" w:type="dxa"/>
            </w:tcMar>
          </w:tcPr>
          <w:p>
            <w:pPr>
              <w:spacing w:after="0"/>
            </w:pPr>
            <w:r>
              <w:rPr>
                <w:color w:val="1F2937"/>
                <w:sz w:val="16"/>
              </w:rPr>
              <w:t>ECMWF IFS HRES</w:t>
            </w:r>
          </w:p>
        </w:tc>
        <w:tc>
          <w:tcPr>
            <w:tcW w:type="dxa" w:w="4032"/>
            <w:vAlign w:val="top"/>
            <w:tcMar>
              <w:top w:w="70" w:type="dxa"/>
              <w:start w:w="80" w:type="dxa"/>
              <w:bottom w:w="70" w:type="dxa"/>
              <w:end w:w="80" w:type="dxa"/>
            </w:tcMar>
          </w:tcPr>
          <w:p>
            <w:pPr>
              <w:spacing w:after="0"/>
            </w:pPr>
            <w:r>
              <w:rPr>
                <w:color w:val="1F2937"/>
                <w:sz w:val="16"/>
              </w:rPr>
              <w:t>Provider/model is written into the manifest instead of assumed.</w:t>
            </w:r>
          </w:p>
        </w:tc>
      </w:tr>
      <w:tr>
        <w:trPr>
          <w:cantSplit/>
        </w:trPr>
        <w:tc>
          <w:tcPr>
            <w:tcW w:type="dxa" w:w="2448"/>
            <w:vAlign w:val="top"/>
            <w:shd w:fill="F6F8FB"/>
            <w:tcMar>
              <w:top w:w="70" w:type="dxa"/>
              <w:start w:w="80" w:type="dxa"/>
              <w:bottom w:w="70" w:type="dxa"/>
              <w:end w:w="80" w:type="dxa"/>
            </w:tcMar>
          </w:tcPr>
          <w:p>
            <w:pPr>
              <w:spacing w:after="0"/>
            </w:pPr>
            <w:r>
              <w:rPr>
                <w:color w:val="1F2937"/>
                <w:sz w:val="16"/>
              </w:rPr>
              <w:t>Public holidays</w:t>
            </w:r>
          </w:p>
        </w:tc>
        <w:tc>
          <w:tcPr>
            <w:tcW w:type="dxa" w:w="3024"/>
            <w:vAlign w:val="top"/>
            <w:shd w:fill="F6F8FB"/>
            <w:tcMar>
              <w:top w:w="70" w:type="dxa"/>
              <w:start w:w="80" w:type="dxa"/>
              <w:bottom w:w="70" w:type="dxa"/>
              <w:end w:w="80" w:type="dxa"/>
            </w:tcMar>
          </w:tcPr>
          <w:p>
            <w:pPr>
              <w:spacing w:after="0"/>
            </w:pPr>
            <w:r>
              <w:rPr>
                <w:color w:val="1F2937"/>
                <w:sz w:val="16"/>
              </w:rPr>
              <w:t>6 × 1,826 dates</w:t>
            </w:r>
          </w:p>
        </w:tc>
        <w:tc>
          <w:tcPr>
            <w:tcW w:type="dxa" w:w="4032"/>
            <w:vAlign w:val="top"/>
            <w:shd w:fill="F6F8FB"/>
            <w:tcMar>
              <w:top w:w="70" w:type="dxa"/>
              <w:start w:w="80" w:type="dxa"/>
              <w:bottom w:w="70" w:type="dxa"/>
              <w:end w:w="80" w:type="dxa"/>
            </w:tcMar>
          </w:tcPr>
          <w:p>
            <w:pPr>
              <w:spacing w:after="0"/>
            </w:pPr>
            <w:r>
              <w:rPr>
                <w:color w:val="1F2937"/>
                <w:sz w:val="16"/>
              </w:rPr>
              <w:t>State calendars cover 2022-01-01 through 2026-12-31.</w:t>
            </w:r>
          </w:p>
        </w:tc>
      </w:tr>
      <w:tr>
        <w:trPr>
          <w:cantSplit/>
        </w:trPr>
        <w:tc>
          <w:tcPr>
            <w:tcW w:type="dxa" w:w="2448"/>
            <w:vAlign w:val="top"/>
            <w:tcMar>
              <w:top w:w="70" w:type="dxa"/>
              <w:start w:w="80" w:type="dxa"/>
              <w:bottom w:w="70" w:type="dxa"/>
              <w:end w:w="80" w:type="dxa"/>
            </w:tcMar>
          </w:tcPr>
          <w:p>
            <w:pPr>
              <w:spacing w:after="0"/>
            </w:pPr>
            <w:r>
              <w:rPr>
                <w:color w:val="1F2937"/>
                <w:sz w:val="16"/>
              </w:rPr>
              <w:t>BOM change</w:t>
            </w:r>
          </w:p>
        </w:tc>
        <w:tc>
          <w:tcPr>
            <w:tcW w:type="dxa" w:w="3024"/>
            <w:vAlign w:val="top"/>
            <w:tcMar>
              <w:top w:w="70" w:type="dxa"/>
              <w:start w:w="80" w:type="dxa"/>
              <w:bottom w:w="70" w:type="dxa"/>
              <w:end w:w="80" w:type="dxa"/>
            </w:tcMar>
          </w:tcPr>
          <w:p>
            <w:pPr>
              <w:spacing w:after="0"/>
            </w:pPr>
            <w:r>
              <w:rPr>
                <w:color w:val="1F2937"/>
                <w:sz w:val="16"/>
              </w:rPr>
              <w:t>Original source replaced in final working path</w:t>
            </w:r>
          </w:p>
        </w:tc>
        <w:tc>
          <w:tcPr>
            <w:tcW w:type="dxa" w:w="4032"/>
            <w:vAlign w:val="top"/>
            <w:tcMar>
              <w:top w:w="70" w:type="dxa"/>
              <w:start w:w="80" w:type="dxa"/>
              <w:bottom w:w="70" w:type="dxa"/>
              <w:end w:w="80" w:type="dxa"/>
            </w:tcMar>
          </w:tcPr>
          <w:p>
            <w:pPr>
              <w:spacing w:after="0"/>
            </w:pPr>
            <w:r>
              <w:rPr>
                <w:color w:val="1F2937"/>
                <w:sz w:val="16"/>
              </w:rPr>
              <w:t>Documents a justified architecture change rather than hiding unusable downloads.</w:t>
            </w:r>
          </w:p>
        </w:tc>
      </w:tr>
    </w:tbl>
    <w:p>
      <w:pPr>
        <w:pStyle w:val="Heading1"/>
      </w:pPr>
      <w:r>
        <w:t>5. Collaboration and integration</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2592"/>
            <w:shd w:fill="173A63"/>
            <w:vAlign w:val="center"/>
            <w:tcMar>
              <w:top w:w="70" w:type="dxa"/>
              <w:start w:w="80" w:type="dxa"/>
              <w:bottom w:w="70" w:type="dxa"/>
              <w:end w:w="80" w:type="dxa"/>
            </w:tcMar>
          </w:tcPr>
          <w:p>
            <w:r>
              <w:rPr>
                <w:b/>
                <w:color w:val="FFFFFF"/>
                <w:sz w:val="17"/>
              </w:rPr>
              <w:t>With / interface</w:t>
            </w:r>
          </w:p>
        </w:tc>
        <w:tc>
          <w:tcPr>
            <w:tcW w:type="dxa" w:w="6912"/>
            <w:shd w:fill="173A63"/>
            <w:vAlign w:val="center"/>
            <w:tcMar>
              <w:top w:w="70" w:type="dxa"/>
              <w:start w:w="80" w:type="dxa"/>
              <w:bottom w:w="70" w:type="dxa"/>
              <w:end w:w="80" w:type="dxa"/>
            </w:tcMar>
          </w:tcPr>
          <w:p>
            <w:r>
              <w:rPr>
                <w:b/>
                <w:color w:val="FFFFFF"/>
                <w:sz w:val="17"/>
              </w:rPr>
              <w:t>How the work connected</w:t>
            </w:r>
          </w:p>
        </w:tc>
      </w:tr>
      <w:tr>
        <w:trPr>
          <w:cantSplit/>
        </w:trPr>
        <w:tc>
          <w:tcPr>
            <w:tcW w:type="dxa" w:w="2592"/>
            <w:vAlign w:val="top"/>
            <w:tcMar>
              <w:top w:w="70" w:type="dxa"/>
              <w:start w:w="80" w:type="dxa"/>
              <w:bottom w:w="70" w:type="dxa"/>
              <w:end w:w="80" w:type="dxa"/>
            </w:tcMar>
          </w:tcPr>
          <w:p>
            <w:pPr>
              <w:spacing w:after="0"/>
            </w:pPr>
            <w:r>
              <w:rPr>
                <w:color w:val="1F2937"/>
                <w:sz w:val="17"/>
              </w:rPr>
              <w:t>Ashish – forecast timing</w:t>
            </w:r>
          </w:p>
        </w:tc>
        <w:tc>
          <w:tcPr>
            <w:tcW w:type="dxa" w:w="6912"/>
            <w:vAlign w:val="top"/>
            <w:tcMar>
              <w:top w:w="70" w:type="dxa"/>
              <w:start w:w="80" w:type="dxa"/>
              <w:bottom w:w="70" w:type="dxa"/>
              <w:end w:w="80" w:type="dxa"/>
            </w:tcMar>
          </w:tcPr>
          <w:p>
            <w:pPr>
              <w:spacing w:after="0"/>
            </w:pPr>
            <w:r>
              <w:rPr>
                <w:color w:val="1F2937"/>
                <w:sz w:val="17"/>
              </w:rPr>
              <w:t>Weather forecast vintages follow the same timing principle as market forecast snapshots: later verification must use the vintage that existed at the time.</w:t>
            </w:r>
          </w:p>
        </w:tc>
      </w:tr>
      <w:tr>
        <w:trPr>
          <w:cantSplit/>
        </w:trPr>
        <w:tc>
          <w:tcPr>
            <w:tcW w:type="dxa" w:w="2592"/>
            <w:vAlign w:val="top"/>
            <w:shd w:fill="F6F8FB"/>
            <w:tcMar>
              <w:top w:w="70" w:type="dxa"/>
              <w:start w:w="80" w:type="dxa"/>
              <w:bottom w:w="70" w:type="dxa"/>
              <w:end w:w="80" w:type="dxa"/>
            </w:tcMar>
          </w:tcPr>
          <w:p>
            <w:pPr>
              <w:spacing w:after="0"/>
            </w:pPr>
            <w:r>
              <w:rPr>
                <w:color w:val="1F2937"/>
                <w:sz w:val="17"/>
              </w:rPr>
              <w:t>Suraj – source structure</w:t>
            </w:r>
          </w:p>
        </w:tc>
        <w:tc>
          <w:tcPr>
            <w:tcW w:type="dxa" w:w="6912"/>
            <w:vAlign w:val="top"/>
            <w:shd w:fill="F6F8FB"/>
            <w:tcMar>
              <w:top w:w="70" w:type="dxa"/>
              <w:start w:w="80" w:type="dxa"/>
              <w:bottom w:w="70" w:type="dxa"/>
              <w:end w:w="80" w:type="dxa"/>
            </w:tcMar>
          </w:tcPr>
          <w:p>
            <w:pPr>
              <w:spacing w:after="0"/>
            </w:pPr>
            <w:r>
              <w:rPr>
                <w:color w:val="1F2937"/>
                <w:sz w:val="17"/>
              </w:rPr>
              <w:t>Historical weather remains source-aligned; time/grid harmonisation stays outside acquisition.</w:t>
            </w:r>
          </w:p>
        </w:tc>
      </w:tr>
      <w:tr>
        <w:trPr>
          <w:cantSplit/>
        </w:trPr>
        <w:tc>
          <w:tcPr>
            <w:tcW w:type="dxa" w:w="2592"/>
            <w:vAlign w:val="top"/>
            <w:tcMar>
              <w:top w:w="70" w:type="dxa"/>
              <w:start w:w="80" w:type="dxa"/>
              <w:bottom w:w="70" w:type="dxa"/>
              <w:end w:w="80" w:type="dxa"/>
            </w:tcMar>
          </w:tcPr>
          <w:p>
            <w:pPr>
              <w:spacing w:after="0"/>
            </w:pPr>
            <w:r>
              <w:rPr>
                <w:color w:val="1F2937"/>
                <w:sz w:val="17"/>
              </w:rPr>
              <w:t>Sudip – source-quality mindset</w:t>
            </w:r>
          </w:p>
        </w:tc>
        <w:tc>
          <w:tcPr>
            <w:tcW w:type="dxa" w:w="6912"/>
            <w:vAlign w:val="top"/>
            <w:tcMar>
              <w:top w:w="70" w:type="dxa"/>
              <w:start w:w="80" w:type="dxa"/>
              <w:bottom w:w="70" w:type="dxa"/>
              <w:end w:w="80" w:type="dxa"/>
            </w:tcMar>
          </w:tcPr>
          <w:p>
            <w:pPr>
              <w:spacing w:after="0"/>
            </w:pPr>
            <w:r>
              <w:rPr>
                <w:color w:val="1F2937"/>
                <w:sz w:val="17"/>
              </w:rPr>
              <w:t>The weather redesign adopted the same rule used for WA: understand source semantics before transforming data.</w:t>
            </w:r>
          </w:p>
        </w:tc>
      </w:tr>
      <w:tr>
        <w:trPr>
          <w:cantSplit/>
        </w:trPr>
        <w:tc>
          <w:tcPr>
            <w:tcW w:type="dxa" w:w="2592"/>
            <w:vAlign w:val="top"/>
            <w:shd w:fill="F6F8FB"/>
            <w:tcMar>
              <w:top w:w="70" w:type="dxa"/>
              <w:start w:w="80" w:type="dxa"/>
              <w:bottom w:w="70" w:type="dxa"/>
              <w:end w:w="80" w:type="dxa"/>
            </w:tcMar>
          </w:tcPr>
          <w:p>
            <w:pPr>
              <w:spacing w:after="0"/>
            </w:pPr>
            <w:r>
              <w:rPr>
                <w:color w:val="1F2937"/>
                <w:sz w:val="17"/>
              </w:rPr>
              <w:t>Dan6 integration</w:t>
            </w:r>
          </w:p>
        </w:tc>
        <w:tc>
          <w:tcPr>
            <w:tcW w:type="dxa" w:w="6912"/>
            <w:vAlign w:val="top"/>
            <w:shd w:fill="F6F8FB"/>
            <w:tcMar>
              <w:top w:w="70" w:type="dxa"/>
              <w:start w:w="80" w:type="dxa"/>
              <w:bottom w:w="70" w:type="dxa"/>
              <w:end w:w="80" w:type="dxa"/>
            </w:tcMar>
          </w:tcPr>
          <w:p>
            <w:pPr>
              <w:spacing w:after="0"/>
            </w:pPr>
            <w:r>
              <w:rPr>
                <w:color w:val="1F2937"/>
                <w:sz w:val="17"/>
              </w:rPr>
              <w:t>The final weather-source change and removal of NT from the automated target scope were integration decisions because they changed the Stage 1 contract.</w:t>
            </w:r>
          </w:p>
        </w:tc>
      </w:tr>
    </w:tbl>
    <w:p>
      <w:pPr>
        <w:pStyle w:val="Heading1"/>
      </w:pPr>
      <w:r>
        <w:t>6. Technical decisions and limitations</w:t>
      </w:r>
    </w:p>
    <w:p>
      <w:r>
        <w:t>The final source module is intentionally conservative: it preserves what the provider published, adds provenance only where needed to disambiguate source meaning, and avoids performing later-stage analytical transformations inside acquisition. Where the original proposal could not be implemented reproducibly, the limitation is documented rather than hidden.</w:t>
      </w:r>
    </w:p>
    <w:p>
      <w:pPr>
        <w:pStyle w:val="Heading1"/>
      </w:pPr>
      <w:r>
        <w:t>7. Status at Stage 1 close-out</w:t>
      </w:r>
    </w:p>
    <w:tbl>
      <w:tblPr>
        <w:tblStyle w:val="TableGrid"/>
        <w:tblW w:type="auto" w:w="0"/>
        <w:jc w:val="center"/>
        <w:tblLook w:firstColumn="1" w:firstRow="1" w:lastColumn="0" w:lastRow="0" w:noHBand="0" w:noVBand="1" w:val="04A0"/>
      </w:tblPr>
      <w:tblGrid>
        <w:gridCol w:w="10166"/>
      </w:tblGrid>
      <w:tr>
        <w:tc>
          <w:tcPr>
            <w:tcW w:type="dxa" w:w="10166"/>
            <w:shd w:fill="EDF7F4"/>
            <w:tcMar>
              <w:top w:w="100" w:type="dxa"/>
              <w:start w:w="130" w:type="dxa"/>
              <w:bottom w:w="100" w:type="dxa"/>
              <w:end w:w="130" w:type="dxa"/>
            </w:tcMar>
          </w:tcPr>
          <w:p>
            <w:r>
              <w:rPr>
                <w:b/>
                <w:color w:val="4F7E56"/>
                <w:sz w:val="20"/>
              </w:rPr>
              <w:t>INDIVIDUAL WP1 STATUS: INTEGRATED</w:t>
              <w:br/>
            </w:r>
            <w:r>
              <w:rPr>
                <w:color w:val="1F2937"/>
                <w:sz w:val="19"/>
              </w:rPr>
              <w:t>The assigned acquisition workstream is represented in the final Stage 1 pipeline and its outputs are present in the verified Data.zip. Remaining analytical transformations belong to later stages, not this module.</w:t>
            </w:r>
          </w:p>
        </w:tc>
      </w:tr>
    </w:tbl>
    <w:p>
      <w:pPr>
        <w:pStyle w:val="Heading1"/>
      </w:pPr>
      <w:r>
        <w:t>8. Professional reflection</w:t>
      </w:r>
    </w:p>
    <w:p>
      <w:r>
        <w:t>The most useful lesson was that “download succeeded” is not evidence that a dataset is usable. The BOM issue forced the team to inspect content and provenance rather than trust filenames or status codes. The final weather architecture is stronger because it clearly separates observed/reanalysis weather from genuine future forecast weather and preserves every live forecast vintage for later checking.</w:t>
      </w:r>
    </w:p>
    <w:sectPr w:rsidR="00FC693F" w:rsidRPr="0006063C" w:rsidSect="00034616">
      <w:headerReference w:type="default" r:id="rId9"/>
      <w:footerReference w:type="default" r:id="rId10"/>
      <w:pgSz w:w="12240" w:h="15840"/>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67085"/>
        <w:sz w:val="16"/>
      </w:rPr>
      <w:t xml:space="preserve">Dan6 – Australian Electricity Demand Forecasting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667085"/>
        <w:sz w:val="16"/>
      </w:rPr>
      <w:t>PRT661 – Data Science Practice | WP1 Bishal Dahal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ptos" w:hAnsi="Aptos"/>
      <w:color w:val="1F2937"/>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80" w:after="100"/>
      <w:outlineLvl w:val="0"/>
    </w:pPr>
    <w:rPr>
      <w:rFonts w:asciiTheme="majorHAnsi" w:eastAsiaTheme="majorEastAsia" w:hAnsiTheme="majorHAnsi" w:cstheme="majorBidi" w:ascii="Aptos Display" w:hAnsi="Aptos Display"/>
      <w:b/>
      <w:bCs/>
      <w:color w:val="173A63"/>
      <w:sz w:val="32"/>
      <w:szCs w:val="28"/>
    </w:rPr>
  </w:style>
  <w:style w:type="paragraph" w:styleId="Heading2">
    <w:name w:val="heading 2"/>
    <w:basedOn w:val="Normal"/>
    <w:next w:val="Normal"/>
    <w:link w:val="Heading2Char"/>
    <w:uiPriority w:val="9"/>
    <w:unhideWhenUsed/>
    <w:qFormat/>
    <w:rsid w:val="00FC693F"/>
    <w:pPr>
      <w:keepNext/>
      <w:keepLines/>
      <w:spacing w:before="180" w:after="100"/>
      <w:outlineLvl w:val="1"/>
    </w:pPr>
    <w:rPr>
      <w:rFonts w:asciiTheme="majorHAnsi" w:eastAsiaTheme="majorEastAsia" w:hAnsiTheme="majorHAnsi" w:cstheme="majorBidi" w:ascii="Aptos Display" w:hAnsi="Aptos Display"/>
      <w:b/>
      <w:bCs/>
      <w:color w:val="2D6CA2"/>
      <w:sz w:val="25"/>
      <w:szCs w:val="26"/>
    </w:rPr>
  </w:style>
  <w:style w:type="paragraph" w:styleId="Heading3">
    <w:name w:val="heading 3"/>
    <w:basedOn w:val="Normal"/>
    <w:next w:val="Normal"/>
    <w:link w:val="Heading3Char"/>
    <w:uiPriority w:val="9"/>
    <w:unhideWhenUsed/>
    <w:qFormat/>
    <w:rsid w:val="00FC693F"/>
    <w:pPr>
      <w:keepNext/>
      <w:keepLines/>
      <w:spacing w:before="180" w:after="100"/>
      <w:outlineLvl w:val="2"/>
    </w:pPr>
    <w:rPr>
      <w:rFonts w:asciiTheme="majorHAnsi" w:eastAsiaTheme="majorEastAsia" w:hAnsiTheme="majorHAnsi" w:cstheme="majorBidi" w:ascii="Aptos Display" w:hAnsi="Aptos Display"/>
      <w:b/>
      <w:bCs/>
      <w:color w:val="2B8C82"/>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00" w:line="240" w:lineRule="auto" w:before="180"/>
      <w:contextualSpacing/>
    </w:pPr>
    <w:rPr>
      <w:rFonts w:asciiTheme="majorHAnsi" w:eastAsiaTheme="majorEastAsia" w:hAnsiTheme="majorHAnsi" w:cstheme="majorBidi" w:ascii="Aptos Display" w:hAnsi="Aptos Display"/>
      <w:b/>
      <w:color w:val="173A63"/>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