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Stage 3 Modelling, Forecasting and Verification — Enhanced WP3 Progress Report</w:t>
      </w:r>
    </w:p>
    <w:p>
      <w:pPr>
        <w:jc w:val="left"/>
      </w:pPr>
      <w:r>
        <w:rPr>
          <w:i/>
          <w:color w:val="2F75B5"/>
          <w:sz w:val="22"/>
        </w:rPr>
        <w:t>Australian Electricity Demand Forecasting Using Machine Learning and Time-Series Analytics</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3456"/>
            <w:shd w:fill="17365D"/>
            <w:tcMar>
              <w:top w:w="80" w:type="dxa"/>
              <w:start w:w="80" w:type="dxa"/>
              <w:bottom w:w="80" w:type="dxa"/>
              <w:end w:w="80" w:type="dxa"/>
            </w:tcMar>
            <w:vAlign w:val="center"/>
          </w:tcPr>
          <w:p>
            <w:r>
              <w:rPr>
                <w:b/>
                <w:color w:val="FFFFFF"/>
                <w:sz w:val="18"/>
              </w:rPr>
              <w:t>Project</w:t>
            </w:r>
          </w:p>
        </w:tc>
        <w:tc>
          <w:tcPr>
            <w:tcW w:type="dxa" w:w="2160"/>
            <w:shd w:fill="17365D"/>
            <w:tcMar>
              <w:top w:w="80" w:type="dxa"/>
              <w:start w:w="80" w:type="dxa"/>
              <w:bottom w:w="80" w:type="dxa"/>
              <w:end w:w="80" w:type="dxa"/>
            </w:tcMar>
            <w:vAlign w:val="center"/>
          </w:tcPr>
          <w:p>
            <w:r>
              <w:rPr>
                <w:b/>
                <w:color w:val="FFFFFF"/>
                <w:sz w:val="18"/>
              </w:rPr>
              <w:t>Team</w:t>
            </w:r>
          </w:p>
        </w:tc>
        <w:tc>
          <w:tcPr>
            <w:tcW w:type="dxa" w:w="4320"/>
            <w:shd w:fill="17365D"/>
            <w:tcMar>
              <w:top w:w="80" w:type="dxa"/>
              <w:start w:w="80" w:type="dxa"/>
              <w:bottom w:w="80" w:type="dxa"/>
              <w:end w:w="80" w:type="dxa"/>
            </w:tcMar>
            <w:vAlign w:val="center"/>
          </w:tcPr>
          <w:p>
            <w:r>
              <w:rPr>
                <w:b/>
                <w:color w:val="FFFFFF"/>
                <w:sz w:val="18"/>
              </w:rPr>
              <w:t>Verified run</w:t>
            </w:r>
          </w:p>
        </w:tc>
      </w:tr>
      <w:tr>
        <w:tc>
          <w:tcPr>
            <w:tcW w:type="dxa" w:w="3456"/>
            <w:tcMar>
              <w:top w:w="80" w:type="dxa"/>
              <w:start w:w="80" w:type="dxa"/>
              <w:bottom w:w="80" w:type="dxa"/>
              <w:end w:w="80" w:type="dxa"/>
            </w:tcMar>
            <w:vAlign w:val="center"/>
          </w:tcPr>
          <w:p>
            <w:pPr>
              <w:spacing w:after="0"/>
            </w:pPr>
            <w:r>
              <w:rPr>
                <w:sz w:val="18"/>
              </w:rPr>
              <w:t>PRT661 – Data Science Practice</w:t>
            </w:r>
          </w:p>
        </w:tc>
        <w:tc>
          <w:tcPr>
            <w:tcW w:type="dxa" w:w="2160"/>
            <w:tcMar>
              <w:top w:w="80" w:type="dxa"/>
              <w:start w:w="80" w:type="dxa"/>
              <w:bottom w:w="80" w:type="dxa"/>
              <w:end w:w="80" w:type="dxa"/>
            </w:tcMar>
            <w:vAlign w:val="center"/>
          </w:tcPr>
          <w:p>
            <w:pPr>
              <w:spacing w:after="0"/>
            </w:pPr>
            <w:r>
              <w:rPr>
                <w:sz w:val="18"/>
              </w:rPr>
              <w:t>Dan6 / Group 2</w:t>
            </w:r>
          </w:p>
        </w:tc>
        <w:tc>
          <w:tcPr>
            <w:tcW w:type="dxa" w:w="4320"/>
            <w:tcMar>
              <w:top w:w="80" w:type="dxa"/>
              <w:start w:w="80" w:type="dxa"/>
              <w:bottom w:w="80" w:type="dxa"/>
              <w:end w:w="80" w:type="dxa"/>
            </w:tcMar>
            <w:vAlign w:val="center"/>
          </w:tcPr>
          <w:p>
            <w:pPr>
              <w:spacing w:after="0"/>
            </w:pPr>
            <w:r>
              <w:rPr>
                <w:sz w:val="18"/>
              </w:rPr>
              <w:t>Stage3 run 20260914_151706</w:t>
            </w:r>
          </w:p>
        </w:tc>
      </w:tr>
    </w:tbl>
    <w:p>
      <w:pPr>
        <w:spacing w:after="20"/>
      </w:pP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2304"/>
            <w:shd w:fill="17365D"/>
            <w:tcMar>
              <w:top w:w="80" w:type="dxa"/>
              <w:start w:w="80" w:type="dxa"/>
              <w:bottom w:w="80" w:type="dxa"/>
              <w:end w:w="80" w:type="dxa"/>
            </w:tcMar>
            <w:vAlign w:val="center"/>
          </w:tcPr>
          <w:p>
            <w:r>
              <w:rPr>
                <w:b/>
                <w:color w:val="FFFFFF"/>
                <w:sz w:val="17"/>
              </w:rPr>
              <w:t>Student</w:t>
            </w:r>
          </w:p>
        </w:tc>
        <w:tc>
          <w:tcPr>
            <w:tcW w:type="dxa" w:w="1440"/>
            <w:shd w:fill="17365D"/>
            <w:tcMar>
              <w:top w:w="80" w:type="dxa"/>
              <w:start w:w="80" w:type="dxa"/>
              <w:bottom w:w="80" w:type="dxa"/>
              <w:end w:w="80" w:type="dxa"/>
            </w:tcMar>
            <w:vAlign w:val="center"/>
          </w:tcPr>
          <w:p>
            <w:r>
              <w:rPr>
                <w:b/>
                <w:color w:val="FFFFFF"/>
                <w:sz w:val="17"/>
              </w:rPr>
              <w:t>ID</w:t>
            </w:r>
          </w:p>
        </w:tc>
        <w:tc>
          <w:tcPr>
            <w:tcW w:type="dxa" w:w="6192"/>
            <w:shd w:fill="17365D"/>
            <w:tcMar>
              <w:top w:w="80" w:type="dxa"/>
              <w:start w:w="80" w:type="dxa"/>
              <w:bottom w:w="80" w:type="dxa"/>
              <w:end w:w="80" w:type="dxa"/>
            </w:tcMar>
            <w:vAlign w:val="center"/>
          </w:tcPr>
          <w:p>
            <w:r>
              <w:rPr>
                <w:b/>
                <w:color w:val="FFFFFF"/>
                <w:sz w:val="17"/>
              </w:rPr>
              <w:t>Primary Stage 3 responsibility</w:t>
            </w:r>
          </w:p>
        </w:tc>
      </w:tr>
      <w:tr>
        <w:tc>
          <w:tcPr>
            <w:tcW w:type="dxa" w:w="2304"/>
            <w:tcMar>
              <w:top w:w="80" w:type="dxa"/>
              <w:start w:w="80" w:type="dxa"/>
              <w:bottom w:w="80" w:type="dxa"/>
              <w:end w:w="80" w:type="dxa"/>
            </w:tcMar>
            <w:vAlign w:val="center"/>
          </w:tcPr>
          <w:p>
            <w:pPr>
              <w:spacing w:after="0"/>
            </w:pPr>
            <w:r>
              <w:rPr>
                <w:sz w:val="17"/>
              </w:rPr>
              <w:t>Ashish Shrestha</w:t>
            </w:r>
          </w:p>
        </w:tc>
        <w:tc>
          <w:tcPr>
            <w:tcW w:type="dxa" w:w="1440"/>
            <w:tcMar>
              <w:top w:w="80" w:type="dxa"/>
              <w:start w:w="80" w:type="dxa"/>
              <w:bottom w:w="80" w:type="dxa"/>
              <w:end w:w="80" w:type="dxa"/>
            </w:tcMar>
            <w:vAlign w:val="center"/>
          </w:tcPr>
          <w:p>
            <w:pPr>
              <w:spacing w:after="0"/>
            </w:pPr>
            <w:r>
              <w:rPr>
                <w:sz w:val="17"/>
              </w:rPr>
              <w:t>S388084</w:t>
            </w:r>
          </w:p>
        </w:tc>
        <w:tc>
          <w:tcPr>
            <w:tcW w:type="dxa" w:w="6192"/>
            <w:tcMar>
              <w:top w:w="80" w:type="dxa"/>
              <w:start w:w="80" w:type="dxa"/>
              <w:bottom w:w="80" w:type="dxa"/>
              <w:end w:w="80" w:type="dxa"/>
            </w:tcMar>
            <w:vAlign w:val="center"/>
          </w:tcPr>
          <w:p>
            <w:pPr>
              <w:spacing w:after="0"/>
            </w:pPr>
            <w:r>
              <w:rPr>
                <w:sz w:val="17"/>
              </w:rPr>
              <w:t>Random Forest A/B; chronological screening; four-month backtesting; regional selection</w:t>
            </w:r>
          </w:p>
        </w:tc>
      </w:tr>
      <w:tr>
        <w:tc>
          <w:tcPr>
            <w:tcW w:type="dxa" w:w="2304"/>
            <w:tcMar>
              <w:top w:w="80" w:type="dxa"/>
              <w:start w:w="80" w:type="dxa"/>
              <w:bottom w:w="80" w:type="dxa"/>
              <w:end w:w="80" w:type="dxa"/>
            </w:tcMar>
            <w:vAlign w:val="center"/>
            <w:shd w:fill="F7F9FB"/>
          </w:tcPr>
          <w:p>
            <w:pPr>
              <w:spacing w:after="0"/>
            </w:pPr>
            <w:r>
              <w:rPr>
                <w:sz w:val="17"/>
              </w:rPr>
              <w:t>Bishal Dahal</w:t>
            </w:r>
          </w:p>
        </w:tc>
        <w:tc>
          <w:tcPr>
            <w:tcW w:type="dxa" w:w="1440"/>
            <w:tcMar>
              <w:top w:w="80" w:type="dxa"/>
              <w:start w:w="80" w:type="dxa"/>
              <w:bottom w:w="80" w:type="dxa"/>
              <w:end w:w="80" w:type="dxa"/>
            </w:tcMar>
            <w:vAlign w:val="center"/>
            <w:shd w:fill="F7F9FB"/>
          </w:tcPr>
          <w:p>
            <w:pPr>
              <w:spacing w:after="0"/>
            </w:pPr>
            <w:r>
              <w:rPr>
                <w:sz w:val="17"/>
              </w:rPr>
              <w:t>S388095</w:t>
            </w:r>
          </w:p>
        </w:tc>
        <w:tc>
          <w:tcPr>
            <w:tcW w:type="dxa" w:w="6192"/>
            <w:tcMar>
              <w:top w:w="80" w:type="dxa"/>
              <w:start w:w="80" w:type="dxa"/>
              <w:bottom w:w="80" w:type="dxa"/>
              <w:end w:w="80" w:type="dxa"/>
            </w:tcMar>
            <w:vAlign w:val="center"/>
            <w:shd w:fill="F7F9FB"/>
          </w:tcPr>
          <w:p>
            <w:pPr>
              <w:spacing w:after="0"/>
            </w:pPr>
            <w:r>
              <w:rPr>
                <w:sz w:val="17"/>
              </w:rPr>
              <w:t>Feature-safety gate; Naive48/Naive336; metrics; skill vs naive; actual verification</w:t>
            </w:r>
          </w:p>
        </w:tc>
      </w:tr>
      <w:tr>
        <w:tc>
          <w:tcPr>
            <w:tcW w:type="dxa" w:w="2304"/>
            <w:tcMar>
              <w:top w:w="80" w:type="dxa"/>
              <w:start w:w="80" w:type="dxa"/>
              <w:bottom w:w="80" w:type="dxa"/>
              <w:end w:w="80" w:type="dxa"/>
            </w:tcMar>
            <w:vAlign w:val="center"/>
          </w:tcPr>
          <w:p>
            <w:pPr>
              <w:spacing w:after="0"/>
            </w:pPr>
            <w:r>
              <w:rPr>
                <w:sz w:val="17"/>
              </w:rPr>
              <w:t>Sudip Lamichhane</w:t>
            </w:r>
          </w:p>
        </w:tc>
        <w:tc>
          <w:tcPr>
            <w:tcW w:type="dxa" w:w="1440"/>
            <w:tcMar>
              <w:top w:w="80" w:type="dxa"/>
              <w:start w:w="80" w:type="dxa"/>
              <w:bottom w:w="80" w:type="dxa"/>
              <w:end w:w="80" w:type="dxa"/>
            </w:tcMar>
            <w:vAlign w:val="center"/>
          </w:tcPr>
          <w:p>
            <w:pPr>
              <w:spacing w:after="0"/>
            </w:pPr>
            <w:r>
              <w:rPr>
                <w:sz w:val="17"/>
              </w:rPr>
              <w:t>S388085</w:t>
            </w:r>
          </w:p>
        </w:tc>
        <w:tc>
          <w:tcPr>
            <w:tcW w:type="dxa" w:w="6192"/>
            <w:tcMar>
              <w:top w:w="80" w:type="dxa"/>
              <w:start w:w="80" w:type="dxa"/>
              <w:bottom w:w="80" w:type="dxa"/>
              <w:end w:w="80" w:type="dxa"/>
            </w:tcMar>
            <w:vAlign w:val="center"/>
          </w:tcPr>
          <w:p>
            <w:pPr>
              <w:spacing w:after="0"/>
            </w:pPr>
            <w:r>
              <w:rPr>
                <w:sz w:val="17"/>
              </w:rPr>
              <w:t>SARIMA/SARIMAX; live weather-vintage update; AEMO secondary benchmark</w:t>
            </w:r>
          </w:p>
        </w:tc>
      </w:tr>
      <w:tr>
        <w:tc>
          <w:tcPr>
            <w:tcW w:type="dxa" w:w="2304"/>
            <w:tcMar>
              <w:top w:w="80" w:type="dxa"/>
              <w:start w:w="80" w:type="dxa"/>
              <w:bottom w:w="80" w:type="dxa"/>
              <w:end w:w="80" w:type="dxa"/>
            </w:tcMar>
            <w:vAlign w:val="center"/>
            <w:shd w:fill="F7F9FB"/>
          </w:tcPr>
          <w:p>
            <w:pPr>
              <w:spacing w:after="0"/>
            </w:pPr>
            <w:r>
              <w:rPr>
                <w:sz w:val="17"/>
              </w:rPr>
              <w:t>Suraj Raut</w:t>
            </w:r>
          </w:p>
        </w:tc>
        <w:tc>
          <w:tcPr>
            <w:tcW w:type="dxa" w:w="1440"/>
            <w:tcMar>
              <w:top w:w="80" w:type="dxa"/>
              <w:start w:w="80" w:type="dxa"/>
              <w:bottom w:w="80" w:type="dxa"/>
              <w:end w:w="80" w:type="dxa"/>
            </w:tcMar>
            <w:vAlign w:val="center"/>
            <w:shd w:fill="F7F9FB"/>
          </w:tcPr>
          <w:p>
            <w:pPr>
              <w:spacing w:after="0"/>
            </w:pPr>
            <w:r>
              <w:rPr>
                <w:sz w:val="17"/>
              </w:rPr>
              <w:t>S391201</w:t>
            </w:r>
          </w:p>
        </w:tc>
        <w:tc>
          <w:tcPr>
            <w:tcW w:type="dxa" w:w="6192"/>
            <w:tcMar>
              <w:top w:w="80" w:type="dxa"/>
              <w:start w:w="80" w:type="dxa"/>
              <w:bottom w:w="80" w:type="dxa"/>
              <w:end w:w="80" w:type="dxa"/>
            </w:tcMar>
            <w:vAlign w:val="center"/>
            <w:shd w:fill="F7F9FB"/>
          </w:tcPr>
          <w:p>
            <w:pPr>
              <w:spacing w:after="0"/>
            </w:pPr>
            <w:r>
              <w:rPr>
                <w:sz w:val="17"/>
              </w:rPr>
              <w:t>XGBoost A/B; recursive engine; lag provenance; frozen four-month forecast</w:t>
            </w:r>
          </w:p>
        </w:tc>
      </w:tr>
    </w:tbl>
    <w:p>
      <w:pPr>
        <w:spacing w:after="20"/>
      </w:pPr>
    </w:p>
    <w:tbl>
      <w:tblPr>
        <w:tblW w:type="auto" w:w="0"/>
        <w:jc w:val="center"/>
        <w:tblLayout w:type="autofit"/>
        <w:tblLook w:firstColumn="1" w:firstRow="1" w:lastColumn="0" w:lastRow="0" w:noHBand="0" w:noVBand="1" w:val="04A0"/>
      </w:tblPr>
      <w:tblGrid>
        <w:gridCol w:w="10123"/>
      </w:tblGrid>
      <w:tr>
        <w:tc>
          <w:tcPr>
            <w:tcW w:type="dxa" w:w="10123"/>
            <w:shd w:fill="E2F0D9"/>
            <w:tcMar>
              <w:top w:w="120" w:type="dxa"/>
              <w:start w:w="140" w:type="dxa"/>
              <w:bottom w:w="120" w:type="dxa"/>
              <w:end w:w="140" w:type="dxa"/>
            </w:tcMar>
          </w:tcPr>
          <w:p>
            <w:pPr>
              <w:spacing w:after="0"/>
            </w:pPr>
            <w:r>
              <w:rPr>
                <w:b/>
                <w:color w:val="548235"/>
              </w:rPr>
              <w:t xml:space="preserve">Verified Stage 3 outcome  </w:t>
            </w:r>
            <w:r>
              <w:t>All six regions reached MODEL_READY. The pipeline evaluated 108 screening runs and 144 four-month backtests (252 historical candidate runs), selected one production model per region, produced 5,856 half-hourly forecast intervals per region for September–December 2026, and verified 3,765 September intervals that were deliberately excluded from training. Pooled live verification MAE is 207.3 MW and pooled sMAPE is 7.91%.</w:t>
            </w:r>
          </w:p>
        </w:tc>
      </w:tr>
    </w:tbl>
    <w:p>
      <w:pPr>
        <w:spacing w:after="20"/>
      </w:pPr>
    </w:p>
    <w:p>
      <w:pPr>
        <w:pStyle w:val="Heading1"/>
      </w:pPr>
      <w:r>
        <w:t>1. Executive Summary</w:t>
      </w:r>
    </w:p>
    <w:p>
      <w:pPr>
        <w:spacing w:after="100"/>
      </w:pPr>
      <w:r>
        <w:t>WP3 converts the validated Stage 2 datasets into an auditable forecasting system rather than a one-off model fit. The implemented pipeline first checks that the Stage 2 feature contract is safe, evaluates eight candidate forecasting approaches on historical four-month windows, chooses one model independently for each region, freezes a September–December 2026 forecast, then verifies that forecast against current-month actuals that were never allowed into training. A second live/weather-informed forecast vintage is kept separately so operational updates can be compared without rewriting the original prediction.</w:t>
      </w:r>
    </w:p>
    <w:p>
      <w:pPr>
        <w:spacing w:after="100"/>
      </w:pPr>
      <w:r>
        <w:t>The central result is that Random Forest is the only model family selected in the final six-region run: Feature Set A (no direct future weather) is selected for NSW1, QLD1, VIC1 and TAS1, while Feature Set B is selected for SA1 and WA. The selected models improve on the best seasonal-naive benchmark by 26.5%–34.8% in mean four-month MAE. However, weather does not provide a consistent advantage across all regions, and forecast error generally grows as the recursive horizon moves farther away from observed history. Those are useful findings because they change the next project priorities: model monitoring, uncertainty, per-region tuning and richer forecast-weather vintages are more important than simply adding more features.</w:t>
      </w:r>
    </w:p>
    <w:p>
      <w:pPr>
        <w:spacing w:after="100"/>
      </w:pPr>
      <w:r>
        <w:t>This report also documents how the implemented system differs from the Assessment 1 design. The original proposal called for per-region models, chronological validation, seasonal-naive and SARIMA baselines, Random Forest/Gradient Boosting, correction-aware verification and dual dashboards. Stage 3 now completes the core forecasting and verification engine for six regions, but correction-aware re-scoring, uncertainty intervals, automatic scheduling and dashboards remain next-stage work.</w:t>
      </w:r>
    </w:p>
    <w:p>
      <w:pPr>
        <w:pStyle w:val="Heading1"/>
      </w:pPr>
      <w:r>
        <w:t>2. Evidence Base and Report Scope</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2016"/>
            <w:shd w:fill="17365D"/>
            <w:tcMar>
              <w:top w:w="80" w:type="dxa"/>
              <w:start w:w="80" w:type="dxa"/>
              <w:bottom w:w="80" w:type="dxa"/>
              <w:end w:w="80" w:type="dxa"/>
            </w:tcMar>
            <w:vAlign w:val="center"/>
          </w:tcPr>
          <w:p>
            <w:r>
              <w:rPr>
                <w:b/>
                <w:color w:val="FFFFFF"/>
                <w:sz w:val="16"/>
              </w:rPr>
              <w:t>Evidence source</w:t>
            </w:r>
          </w:p>
        </w:tc>
        <w:tc>
          <w:tcPr>
            <w:tcW w:type="dxa" w:w="3456"/>
            <w:shd w:fill="17365D"/>
            <w:tcMar>
              <w:top w:w="80" w:type="dxa"/>
              <w:start w:w="80" w:type="dxa"/>
              <w:bottom w:w="80" w:type="dxa"/>
              <w:end w:w="80" w:type="dxa"/>
            </w:tcMar>
            <w:vAlign w:val="center"/>
          </w:tcPr>
          <w:p>
            <w:r>
              <w:rPr>
                <w:b/>
                <w:color w:val="FFFFFF"/>
                <w:sz w:val="16"/>
              </w:rPr>
              <w:t>What was inspected</w:t>
            </w:r>
          </w:p>
        </w:tc>
        <w:tc>
          <w:tcPr>
            <w:tcW w:type="dxa" w:w="4464"/>
            <w:shd w:fill="17365D"/>
            <w:tcMar>
              <w:top w:w="80" w:type="dxa"/>
              <w:start w:w="80" w:type="dxa"/>
              <w:bottom w:w="80" w:type="dxa"/>
              <w:end w:w="80" w:type="dxa"/>
            </w:tcMar>
            <w:vAlign w:val="center"/>
          </w:tcPr>
          <w:p>
            <w:r>
              <w:rPr>
                <w:b/>
                <w:color w:val="FFFFFF"/>
                <w:sz w:val="16"/>
              </w:rPr>
              <w:t>Purpose in this report</w:t>
            </w:r>
          </w:p>
        </w:tc>
      </w:tr>
      <w:tr>
        <w:tc>
          <w:tcPr>
            <w:tcW w:type="dxa" w:w="2016"/>
            <w:tcMar>
              <w:top w:w="80" w:type="dxa"/>
              <w:start w:w="80" w:type="dxa"/>
              <w:bottom w:w="80" w:type="dxa"/>
              <w:end w:w="80" w:type="dxa"/>
            </w:tcMar>
            <w:vAlign w:val="center"/>
          </w:tcPr>
          <w:p>
            <w:pPr>
              <w:spacing w:after="0"/>
            </w:pPr>
            <w:r>
              <w:rPr>
                <w:sz w:val="16"/>
              </w:rPr>
              <w:t>Stage 3 validation outputs</w:t>
            </w:r>
          </w:p>
        </w:tc>
        <w:tc>
          <w:tcPr>
            <w:tcW w:type="dxa" w:w="3456"/>
            <w:tcMar>
              <w:top w:w="80" w:type="dxa"/>
              <w:start w:w="80" w:type="dxa"/>
              <w:bottom w:w="80" w:type="dxa"/>
              <w:end w:w="80" w:type="dxa"/>
            </w:tcMar>
            <w:vAlign w:val="center"/>
          </w:tcPr>
          <w:p>
            <w:pPr>
              <w:spacing w:after="0"/>
            </w:pPr>
            <w:r>
              <w:rPr>
                <w:sz w:val="16"/>
              </w:rPr>
              <w:t>model_selection, four_month_backtest_scores, current-month verification, A/B comparisons, leakage and integrity tests</w:t>
            </w:r>
          </w:p>
        </w:tc>
        <w:tc>
          <w:tcPr>
            <w:tcW w:type="dxa" w:w="4464"/>
            <w:tcMar>
              <w:top w:w="80" w:type="dxa"/>
              <w:start w:w="80" w:type="dxa"/>
              <w:bottom w:w="80" w:type="dxa"/>
              <w:end w:w="80" w:type="dxa"/>
            </w:tcMar>
            <w:vAlign w:val="center"/>
          </w:tcPr>
          <w:p>
            <w:pPr>
              <w:spacing w:after="0"/>
            </w:pPr>
            <w:r>
              <w:rPr>
                <w:sz w:val="16"/>
              </w:rPr>
              <w:t>All quantitative performance claims</w:t>
            </w:r>
          </w:p>
        </w:tc>
      </w:tr>
      <w:tr>
        <w:tc>
          <w:tcPr>
            <w:tcW w:type="dxa" w:w="2016"/>
            <w:tcMar>
              <w:top w:w="80" w:type="dxa"/>
              <w:start w:w="80" w:type="dxa"/>
              <w:bottom w:w="80" w:type="dxa"/>
              <w:end w:w="80" w:type="dxa"/>
            </w:tcMar>
            <w:vAlign w:val="center"/>
            <w:shd w:fill="F7F9FB"/>
          </w:tcPr>
          <w:p>
            <w:pPr>
              <w:spacing w:after="0"/>
            </w:pPr>
            <w:r>
              <w:rPr>
                <w:sz w:val="16"/>
              </w:rPr>
              <w:t>Forecast outputs</w:t>
            </w:r>
          </w:p>
        </w:tc>
        <w:tc>
          <w:tcPr>
            <w:tcW w:type="dxa" w:w="3456"/>
            <w:tcMar>
              <w:top w:w="80" w:type="dxa"/>
              <w:start w:w="80" w:type="dxa"/>
              <w:bottom w:w="80" w:type="dxa"/>
              <w:end w:w="80" w:type="dxa"/>
            </w:tcMar>
            <w:vAlign w:val="center"/>
            <w:shd w:fill="F7F9FB"/>
          </w:tcPr>
          <w:p>
            <w:pPr>
              <w:spacing w:after="0"/>
            </w:pPr>
            <w:r>
              <w:rPr>
                <w:sz w:val="16"/>
              </w:rPr>
              <w:t>frozen, current, Model A, Model B and monthly summaries</w:t>
            </w:r>
          </w:p>
        </w:tc>
        <w:tc>
          <w:tcPr>
            <w:tcW w:type="dxa" w:w="4464"/>
            <w:tcMar>
              <w:top w:w="80" w:type="dxa"/>
              <w:start w:w="80" w:type="dxa"/>
              <w:bottom w:w="80" w:type="dxa"/>
              <w:end w:w="80" w:type="dxa"/>
            </w:tcMar>
            <w:vAlign w:val="center"/>
            <w:shd w:fill="F7F9FB"/>
          </w:tcPr>
          <w:p>
            <w:pPr>
              <w:spacing w:after="0"/>
            </w:pPr>
            <w:r>
              <w:rPr>
                <w:sz w:val="16"/>
              </w:rPr>
              <w:t>2026 horizon, forecast vintages and monthly behaviour</w:t>
            </w:r>
          </w:p>
        </w:tc>
      </w:tr>
      <w:tr>
        <w:tc>
          <w:tcPr>
            <w:tcW w:type="dxa" w:w="2016"/>
            <w:tcMar>
              <w:top w:w="80" w:type="dxa"/>
              <w:start w:w="80" w:type="dxa"/>
              <w:bottom w:w="80" w:type="dxa"/>
              <w:end w:w="80" w:type="dxa"/>
            </w:tcMar>
            <w:vAlign w:val="center"/>
          </w:tcPr>
          <w:p>
            <w:pPr>
              <w:spacing w:after="0"/>
            </w:pPr>
            <w:r>
              <w:rPr>
                <w:sz w:val="16"/>
              </w:rPr>
              <w:t>Benchmark outputs</w:t>
            </w:r>
          </w:p>
        </w:tc>
        <w:tc>
          <w:tcPr>
            <w:tcW w:type="dxa" w:w="3456"/>
            <w:tcMar>
              <w:top w:w="80" w:type="dxa"/>
              <w:start w:w="80" w:type="dxa"/>
              <w:bottom w:w="80" w:type="dxa"/>
              <w:end w:w="80" w:type="dxa"/>
            </w:tcMar>
            <w:vAlign w:val="center"/>
          </w:tcPr>
          <w:p>
            <w:pPr>
              <w:spacing w:after="0"/>
            </w:pPr>
            <w:r>
              <w:rPr>
                <w:sz w:val="16"/>
              </w:rPr>
              <w:t>AEMO source-consistency and forecast-margin files</w:t>
            </w:r>
          </w:p>
        </w:tc>
        <w:tc>
          <w:tcPr>
            <w:tcW w:type="dxa" w:w="4464"/>
            <w:tcMar>
              <w:top w:w="80" w:type="dxa"/>
              <w:start w:w="80" w:type="dxa"/>
              <w:bottom w:w="80" w:type="dxa"/>
              <w:end w:w="80" w:type="dxa"/>
            </w:tcMar>
            <w:vAlign w:val="center"/>
          </w:tcPr>
          <w:p>
            <w:pPr>
              <w:spacing w:after="0"/>
            </w:pPr>
            <w:r>
              <w:rPr>
                <w:sz w:val="16"/>
              </w:rPr>
              <w:t>Secondary external comparison without mislabelling it as accuracy</w:t>
            </w:r>
          </w:p>
        </w:tc>
      </w:tr>
      <w:tr>
        <w:tc>
          <w:tcPr>
            <w:tcW w:type="dxa" w:w="2016"/>
            <w:tcMar>
              <w:top w:w="80" w:type="dxa"/>
              <w:start w:w="80" w:type="dxa"/>
              <w:bottom w:w="80" w:type="dxa"/>
              <w:end w:w="80" w:type="dxa"/>
            </w:tcMar>
            <w:vAlign w:val="center"/>
            <w:shd w:fill="F7F9FB"/>
          </w:tcPr>
          <w:p>
            <w:pPr>
              <w:spacing w:after="0"/>
            </w:pPr>
            <w:r>
              <w:rPr>
                <w:sz w:val="16"/>
              </w:rPr>
              <w:t>Explainability outputs</w:t>
            </w:r>
          </w:p>
        </w:tc>
        <w:tc>
          <w:tcPr>
            <w:tcW w:type="dxa" w:w="3456"/>
            <w:tcMar>
              <w:top w:w="80" w:type="dxa"/>
              <w:start w:w="80" w:type="dxa"/>
              <w:bottom w:w="80" w:type="dxa"/>
              <w:end w:w="80" w:type="dxa"/>
            </w:tcMar>
            <w:vAlign w:val="center"/>
            <w:shd w:fill="F7F9FB"/>
          </w:tcPr>
          <w:p>
            <w:pPr>
              <w:spacing w:after="0"/>
            </w:pPr>
            <w:r>
              <w:rPr>
                <w:sz w:val="16"/>
              </w:rPr>
              <w:t>selected model summary and 264 feature-importance rows</w:t>
            </w:r>
          </w:p>
        </w:tc>
        <w:tc>
          <w:tcPr>
            <w:tcW w:type="dxa" w:w="4464"/>
            <w:tcMar>
              <w:top w:w="80" w:type="dxa"/>
              <w:start w:w="80" w:type="dxa"/>
              <w:bottom w:w="80" w:type="dxa"/>
              <w:end w:w="80" w:type="dxa"/>
            </w:tcMar>
            <w:vAlign w:val="center"/>
            <w:shd w:fill="F7F9FB"/>
          </w:tcPr>
          <w:p>
            <w:pPr>
              <w:spacing w:after="0"/>
            </w:pPr>
            <w:r>
              <w:rPr>
                <w:sz w:val="16"/>
              </w:rPr>
              <w:t>What the selected Random Forest models rely on</w:t>
            </w:r>
          </w:p>
        </w:tc>
      </w:tr>
      <w:tr>
        <w:tc>
          <w:tcPr>
            <w:tcW w:type="dxa" w:w="2016"/>
            <w:tcMar>
              <w:top w:w="80" w:type="dxa"/>
              <w:start w:w="80" w:type="dxa"/>
              <w:bottom w:w="80" w:type="dxa"/>
              <w:end w:w="80" w:type="dxa"/>
            </w:tcMar>
            <w:vAlign w:val="center"/>
          </w:tcPr>
          <w:p>
            <w:pPr>
              <w:spacing w:after="0"/>
            </w:pPr>
            <w:r>
              <w:rPr>
                <w:sz w:val="16"/>
              </w:rPr>
              <w:t>Metadata</w:t>
            </w:r>
          </w:p>
        </w:tc>
        <w:tc>
          <w:tcPr>
            <w:tcW w:type="dxa" w:w="3456"/>
            <w:tcMar>
              <w:top w:w="80" w:type="dxa"/>
              <w:start w:w="80" w:type="dxa"/>
              <w:bottom w:w="80" w:type="dxa"/>
              <w:end w:w="80" w:type="dxa"/>
            </w:tcMar>
            <w:vAlign w:val="center"/>
          </w:tcPr>
          <w:p>
            <w:pPr>
              <w:spacing w:after="0"/>
            </w:pPr>
            <w:r>
              <w:rPr>
                <w:sz w:val="16"/>
              </w:rPr>
              <w:t>run_config, model/forecast manifests, dependency record and log</w:t>
            </w:r>
          </w:p>
        </w:tc>
        <w:tc>
          <w:tcPr>
            <w:tcW w:type="dxa" w:w="4464"/>
            <w:tcMar>
              <w:top w:w="80" w:type="dxa"/>
              <w:start w:w="80" w:type="dxa"/>
              <w:bottom w:w="80" w:type="dxa"/>
              <w:end w:w="80" w:type="dxa"/>
            </w:tcMar>
            <w:vAlign w:val="center"/>
          </w:tcPr>
          <w:p>
            <w:pPr>
              <w:spacing w:after="0"/>
            </w:pPr>
            <w:r>
              <w:rPr>
                <w:sz w:val="16"/>
              </w:rPr>
              <w:t>Cutoff, horizon, model set, software and reproducibility</w:t>
            </w:r>
          </w:p>
        </w:tc>
      </w:tr>
      <w:tr>
        <w:tc>
          <w:tcPr>
            <w:tcW w:type="dxa" w:w="2016"/>
            <w:tcMar>
              <w:top w:w="80" w:type="dxa"/>
              <w:start w:w="80" w:type="dxa"/>
              <w:bottom w:w="80" w:type="dxa"/>
              <w:end w:w="80" w:type="dxa"/>
            </w:tcMar>
            <w:vAlign w:val="center"/>
            <w:shd w:fill="F7F9FB"/>
          </w:tcPr>
          <w:p>
            <w:pPr>
              <w:spacing w:after="0"/>
            </w:pPr>
            <w:r>
              <w:rPr>
                <w:sz w:val="16"/>
              </w:rPr>
              <w:t>Assessment 1 design</w:t>
            </w:r>
          </w:p>
        </w:tc>
        <w:tc>
          <w:tcPr>
            <w:tcW w:type="dxa" w:w="3456"/>
            <w:tcMar>
              <w:top w:w="80" w:type="dxa"/>
              <w:start w:w="80" w:type="dxa"/>
              <w:bottom w:w="80" w:type="dxa"/>
              <w:end w:w="80" w:type="dxa"/>
            </w:tcMar>
            <w:vAlign w:val="center"/>
            <w:shd w:fill="F7F9FB"/>
          </w:tcPr>
          <w:p>
            <w:pPr>
              <w:spacing w:after="0"/>
            </w:pPr>
            <w:r>
              <w:rPr>
                <w:sz w:val="16"/>
              </w:rPr>
              <w:t>architecture, model family, validation, risk and dashboard commitments</w:t>
            </w:r>
          </w:p>
        </w:tc>
        <w:tc>
          <w:tcPr>
            <w:tcW w:type="dxa" w:w="4464"/>
            <w:tcMar>
              <w:top w:w="80" w:type="dxa"/>
              <w:start w:w="80" w:type="dxa"/>
              <w:bottom w:w="80" w:type="dxa"/>
              <w:end w:w="80" w:type="dxa"/>
            </w:tcMar>
            <w:vAlign w:val="center"/>
            <w:shd w:fill="F7F9FB"/>
          </w:tcPr>
          <w:p>
            <w:pPr>
              <w:spacing w:after="0"/>
            </w:pPr>
            <w:r>
              <w:rPr>
                <w:sz w:val="16"/>
              </w:rPr>
              <w:t>Plan-versus-implementation evaluation</w:t>
            </w:r>
          </w:p>
        </w:tc>
      </w:tr>
    </w:tbl>
    <w:p>
      <w:pPr>
        <w:spacing w:after="20"/>
      </w:pPr>
    </w:p>
    <w:tbl>
      <w:tblPr>
        <w:tblW w:type="auto" w:w="0"/>
        <w:jc w:val="center"/>
        <w:tblLayout w:type="autofit"/>
        <w:tblLook w:firstColumn="1" w:firstRow="1" w:lastColumn="0" w:lastRow="0" w:noHBand="0" w:noVBand="1" w:val="04A0"/>
      </w:tblPr>
      <w:tblGrid>
        <w:gridCol w:w="10123"/>
      </w:tblGrid>
      <w:tr>
        <w:tc>
          <w:tcPr>
            <w:tcW w:type="dxa" w:w="10123"/>
            <w:shd w:fill="FFF2CC"/>
            <w:tcMar>
              <w:top w:w="120" w:type="dxa"/>
              <w:start w:w="140" w:type="dxa"/>
              <w:bottom w:w="120" w:type="dxa"/>
              <w:end w:w="140" w:type="dxa"/>
            </w:tcMar>
          </w:tcPr>
          <w:p>
            <w:pPr>
              <w:spacing w:after="0"/>
            </w:pPr>
            <w:r>
              <w:rPr>
                <w:b/>
                <w:color w:val="BF9000"/>
              </w:rPr>
              <w:t xml:space="preserve">Interpretation rule  </w:t>
            </w:r>
            <w:r>
              <w:t>A result is described as “verified” only when the relevant output file contains later actual demand for the same target. AEMO pre-dispatch is treated as a divergence benchmark because its Scheduled Demand target is not automatically identical to the project Operational Demand target.</w:t>
            </w:r>
          </w:p>
        </w:tc>
      </w:tr>
    </w:tbl>
    <w:p>
      <w:pPr>
        <w:spacing w:after="20"/>
      </w:pPr>
    </w:p>
    <w:p>
      <w:r>
        <w:br w:type="page"/>
      </w:r>
    </w:p>
    <w:p>
      <w:pPr>
        <w:pStyle w:val="Heading1"/>
      </w:pPr>
      <w:r>
        <w:t>3. Final Architecture: Data Acquisition to Stage 3 Completion</w:t>
      </w:r>
    </w:p>
    <w:p>
      <w:pPr>
        <w:spacing w:after="100"/>
      </w:pPr>
      <w:r>
        <w:t>The project is now a three-stage handoff architecture. Each stage produces a timestamped evidence package that the next stage consumes without modifying the previous stage. This separation is important for reproducibility: raw data can be traced to source, preprocessing decisions can be audited separately from model fitting, and forecast outputs remain linked to the exact feature contract and cutoff that created them.</w:t>
      </w:r>
    </w:p>
    <w:p>
      <w:pPr>
        <w:jc w:val="center"/>
      </w:pPr>
      <w:r>
        <w:drawing>
          <wp:inline xmlns:a="http://schemas.openxmlformats.org/drawingml/2006/main" xmlns:pic="http://schemas.openxmlformats.org/drawingml/2006/picture">
            <wp:extent cx="6400800" cy="2914986"/>
            <wp:docPr id="1" name="Picture 1"/>
            <wp:cNvGraphicFramePr>
              <a:graphicFrameLocks noChangeAspect="1"/>
            </wp:cNvGraphicFramePr>
            <a:graphic>
              <a:graphicData uri="http://schemas.openxmlformats.org/drawingml/2006/picture">
                <pic:pic>
                  <pic:nvPicPr>
                    <pic:cNvPr id="0" name="01_end_to_end_architecture.png"/>
                    <pic:cNvPicPr/>
                  </pic:nvPicPr>
                  <pic:blipFill>
                    <a:blip r:embed="rId11"/>
                    <a:stretch>
                      <a:fillRect/>
                    </a:stretch>
                  </pic:blipFill>
                  <pic:spPr>
                    <a:xfrm>
                      <a:off x="0" y="0"/>
                      <a:ext cx="6400800" cy="2914986"/>
                    </a:xfrm>
                    <a:prstGeom prst="rect"/>
                  </pic:spPr>
                </pic:pic>
              </a:graphicData>
            </a:graphic>
          </wp:inline>
        </w:drawing>
      </w:r>
    </w:p>
    <w:p>
      <w:pPr>
        <w:pStyle w:val="Caption"/>
        <w:jc w:val="center"/>
      </w:pPr>
      <w:r>
        <w:t>Figure 1. Implemented system architecture through Stage 3. Stage 1 preserves source provenance and weather vintages; Stage 2 harmonises and engineers forecast-safe features; Stage 3 evaluates, selects, forecasts and verifies.</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1656"/>
            <w:shd w:fill="17365D"/>
            <w:tcMar>
              <w:top w:w="80" w:type="dxa"/>
              <w:start w:w="80" w:type="dxa"/>
              <w:bottom w:w="80" w:type="dxa"/>
              <w:end w:w="80" w:type="dxa"/>
            </w:tcMar>
            <w:vAlign w:val="center"/>
          </w:tcPr>
          <w:p>
            <w:r>
              <w:rPr>
                <w:b/>
                <w:color w:val="FFFFFF"/>
                <w:sz w:val="16"/>
              </w:rPr>
              <w:t>Stage</w:t>
            </w:r>
          </w:p>
        </w:tc>
        <w:tc>
          <w:tcPr>
            <w:tcW w:type="dxa" w:w="5760"/>
            <w:shd w:fill="17365D"/>
            <w:tcMar>
              <w:top w:w="80" w:type="dxa"/>
              <w:start w:w="80" w:type="dxa"/>
              <w:bottom w:w="80" w:type="dxa"/>
              <w:end w:w="80" w:type="dxa"/>
            </w:tcMar>
            <w:vAlign w:val="center"/>
          </w:tcPr>
          <w:p>
            <w:r>
              <w:rPr>
                <w:b/>
                <w:color w:val="FFFFFF"/>
                <w:sz w:val="16"/>
              </w:rPr>
              <w:t>Implemented responsibility</w:t>
            </w:r>
          </w:p>
        </w:tc>
        <w:tc>
          <w:tcPr>
            <w:tcW w:type="dxa" w:w="2880"/>
            <w:shd w:fill="17365D"/>
            <w:tcMar>
              <w:top w:w="80" w:type="dxa"/>
              <w:start w:w="80" w:type="dxa"/>
              <w:bottom w:w="80" w:type="dxa"/>
              <w:end w:w="80" w:type="dxa"/>
            </w:tcMar>
            <w:vAlign w:val="center"/>
          </w:tcPr>
          <w:p>
            <w:r>
              <w:rPr>
                <w:b/>
                <w:color w:val="FFFFFF"/>
                <w:sz w:val="16"/>
              </w:rPr>
              <w:t>Main handoff</w:t>
            </w:r>
          </w:p>
        </w:tc>
      </w:tr>
      <w:tr>
        <w:tc>
          <w:tcPr>
            <w:tcW w:type="dxa" w:w="1656"/>
            <w:tcMar>
              <w:top w:w="80" w:type="dxa"/>
              <w:start w:w="80" w:type="dxa"/>
              <w:bottom w:w="80" w:type="dxa"/>
              <w:end w:w="80" w:type="dxa"/>
            </w:tcMar>
            <w:vAlign w:val="center"/>
          </w:tcPr>
          <w:p>
            <w:pPr>
              <w:spacing w:after="0"/>
            </w:pPr>
            <w:r>
              <w:rPr>
                <w:sz w:val="16"/>
              </w:rPr>
              <w:t>1 – Acquisition</w:t>
            </w:r>
          </w:p>
        </w:tc>
        <w:tc>
          <w:tcPr>
            <w:tcW w:type="dxa" w:w="5760"/>
            <w:tcMar>
              <w:top w:w="80" w:type="dxa"/>
              <w:start w:w="80" w:type="dxa"/>
              <w:bottom w:w="80" w:type="dxa"/>
              <w:end w:w="80" w:type="dxa"/>
            </w:tcMar>
            <w:vAlign w:val="center"/>
          </w:tcPr>
          <w:p>
            <w:pPr>
              <w:spacing w:after="0"/>
            </w:pPr>
            <w:r>
              <w:rPr>
                <w:sz w:val="16"/>
              </w:rPr>
              <w:t>NEM and WA demand; historical weather; genuine 7-day forecast weather; holidays; AEMO pre-dispatch benchmark; provenance and archive snapshots</w:t>
            </w:r>
          </w:p>
        </w:tc>
        <w:tc>
          <w:tcPr>
            <w:tcW w:type="dxa" w:w="2880"/>
            <w:tcMar>
              <w:top w:w="80" w:type="dxa"/>
              <w:start w:w="80" w:type="dxa"/>
              <w:bottom w:w="80" w:type="dxa"/>
              <w:end w:w="80" w:type="dxa"/>
            </w:tcMar>
            <w:vAlign w:val="center"/>
          </w:tcPr>
          <w:p>
            <w:pPr>
              <w:spacing w:after="0"/>
            </w:pPr>
            <w:r>
              <w:rPr>
                <w:sz w:val="16"/>
              </w:rPr>
              <w:t>Validated Stage 1 archive</w:t>
            </w:r>
          </w:p>
        </w:tc>
      </w:tr>
      <w:tr>
        <w:tc>
          <w:tcPr>
            <w:tcW w:type="dxa" w:w="1656"/>
            <w:tcMar>
              <w:top w:w="80" w:type="dxa"/>
              <w:start w:w="80" w:type="dxa"/>
              <w:bottom w:w="80" w:type="dxa"/>
              <w:end w:w="80" w:type="dxa"/>
            </w:tcMar>
            <w:vAlign w:val="center"/>
            <w:shd w:fill="F7F9FB"/>
          </w:tcPr>
          <w:p>
            <w:pPr>
              <w:spacing w:after="0"/>
            </w:pPr>
            <w:r>
              <w:rPr>
                <w:sz w:val="16"/>
              </w:rPr>
              <w:t>2 – Preprocessing</w:t>
            </w:r>
          </w:p>
        </w:tc>
        <w:tc>
          <w:tcPr>
            <w:tcW w:type="dxa" w:w="5760"/>
            <w:tcMar>
              <w:top w:w="80" w:type="dxa"/>
              <w:start w:w="80" w:type="dxa"/>
              <w:bottom w:w="80" w:type="dxa"/>
              <w:end w:w="80" w:type="dxa"/>
            </w:tcMar>
            <w:vAlign w:val="center"/>
            <w:shd w:fill="F7F9FB"/>
          </w:tcPr>
          <w:p>
            <w:pPr>
              <w:spacing w:after="0"/>
            </w:pPr>
            <w:r>
              <w:rPr>
                <w:sz w:val="16"/>
              </w:rPr>
              <w:t>Source/schema checks; mixed-frequency handling; 30-minute grid; time-zone resolution; strict previous-month cutoff; feature engineering; Model A/B contracts; readiness tests</w:t>
            </w:r>
          </w:p>
        </w:tc>
        <w:tc>
          <w:tcPr>
            <w:tcW w:type="dxa" w:w="2880"/>
            <w:tcMar>
              <w:top w:w="80" w:type="dxa"/>
              <w:start w:w="80" w:type="dxa"/>
              <w:bottom w:w="80" w:type="dxa"/>
              <w:end w:w="80" w:type="dxa"/>
            </w:tcMar>
            <w:vAlign w:val="center"/>
            <w:shd w:fill="F7F9FB"/>
          </w:tcPr>
          <w:p>
            <w:pPr>
              <w:spacing w:after="0"/>
            </w:pPr>
            <w:r>
              <w:rPr>
                <w:sz w:val="16"/>
              </w:rPr>
              <w:t>Stage 2 ZIP with model-ready history, verification-only actuals and future feature frame</w:t>
            </w:r>
          </w:p>
        </w:tc>
      </w:tr>
      <w:tr>
        <w:tc>
          <w:tcPr>
            <w:tcW w:type="dxa" w:w="1656"/>
            <w:tcMar>
              <w:top w:w="80" w:type="dxa"/>
              <w:start w:w="80" w:type="dxa"/>
              <w:bottom w:w="80" w:type="dxa"/>
              <w:end w:w="80" w:type="dxa"/>
            </w:tcMar>
            <w:vAlign w:val="center"/>
          </w:tcPr>
          <w:p>
            <w:pPr>
              <w:spacing w:after="0"/>
            </w:pPr>
            <w:r>
              <w:rPr>
                <w:sz w:val="16"/>
              </w:rPr>
              <w:t>3 – Modelling</w:t>
            </w:r>
          </w:p>
        </w:tc>
        <w:tc>
          <w:tcPr>
            <w:tcW w:type="dxa" w:w="5760"/>
            <w:tcMar>
              <w:top w:w="80" w:type="dxa"/>
              <w:start w:w="80" w:type="dxa"/>
              <w:bottom w:w="80" w:type="dxa"/>
              <w:end w:w="80" w:type="dxa"/>
            </w:tcMar>
            <w:vAlign w:val="center"/>
          </w:tcPr>
          <w:p>
            <w:pPr>
              <w:spacing w:after="0"/>
            </w:pPr>
            <w:r>
              <w:rPr>
                <w:sz w:val="16"/>
              </w:rPr>
              <w:t>Safety gate; screening; historical four-month backtests; per-region selection; recursive forecasts; current verification; explainability; benchmark and archive verification</w:t>
            </w:r>
          </w:p>
        </w:tc>
        <w:tc>
          <w:tcPr>
            <w:tcW w:type="dxa" w:w="2880"/>
            <w:tcMar>
              <w:top w:w="80" w:type="dxa"/>
              <w:start w:w="80" w:type="dxa"/>
              <w:bottom w:w="80" w:type="dxa"/>
              <w:end w:w="80" w:type="dxa"/>
            </w:tcMar>
            <w:vAlign w:val="center"/>
          </w:tcPr>
          <w:p>
            <w:pPr>
              <w:spacing w:after="0"/>
            </w:pPr>
            <w:r>
              <w:rPr>
                <w:sz w:val="16"/>
              </w:rPr>
              <w:t>Stage 3 ZIP with forecasts, models, validation, figures and manifests</w:t>
            </w:r>
          </w:p>
        </w:tc>
      </w:tr>
    </w:tbl>
    <w:p>
      <w:pPr>
        <w:spacing w:after="20"/>
      </w:pPr>
    </w:p>
    <w:p>
      <w:pPr>
        <w:spacing w:after="100"/>
      </w:pPr>
      <w:r>
        <w:t>A non-technical way to read the architecture is: Stage 1 asks “what data did we receive?”, Stage 2 asks “can these sources be made comparable without inventing information?”, and Stage 3 asks “which forecasting method survives a fair historical test and how well does the resulting 2026 forecast perform when reality arrives?”</w:t>
      </w:r>
    </w:p>
    <w:p>
      <w:pPr>
        <w:pStyle w:val="Heading1"/>
      </w:pPr>
      <w:r>
        <w:t>4. Assessment 1 Design → Current Implementation</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2592"/>
            <w:shd w:fill="17365D"/>
            <w:tcMar>
              <w:top w:w="80" w:type="dxa"/>
              <w:start w:w="80" w:type="dxa"/>
              <w:bottom w:w="80" w:type="dxa"/>
              <w:end w:w="80" w:type="dxa"/>
            </w:tcMar>
            <w:vAlign w:val="center"/>
          </w:tcPr>
          <w:p>
            <w:r>
              <w:rPr>
                <w:b/>
                <w:color w:val="FFFFFF"/>
                <w:sz w:val="16"/>
              </w:rPr>
              <w:t>Assessment 1 commitment</w:t>
            </w:r>
          </w:p>
        </w:tc>
        <w:tc>
          <w:tcPr>
            <w:tcW w:type="dxa" w:w="3888"/>
            <w:shd w:fill="17365D"/>
            <w:tcMar>
              <w:top w:w="80" w:type="dxa"/>
              <w:start w:w="80" w:type="dxa"/>
              <w:bottom w:w="80" w:type="dxa"/>
              <w:end w:w="80" w:type="dxa"/>
            </w:tcMar>
            <w:vAlign w:val="center"/>
          </w:tcPr>
          <w:p>
            <w:r>
              <w:rPr>
                <w:b/>
                <w:color w:val="FFFFFF"/>
                <w:sz w:val="16"/>
              </w:rPr>
              <w:t>Current WP3 position</w:t>
            </w:r>
          </w:p>
        </w:tc>
        <w:tc>
          <w:tcPr>
            <w:tcW w:type="dxa" w:w="3816"/>
            <w:shd w:fill="17365D"/>
            <w:tcMar>
              <w:top w:w="80" w:type="dxa"/>
              <w:start w:w="80" w:type="dxa"/>
              <w:bottom w:w="80" w:type="dxa"/>
              <w:end w:w="80" w:type="dxa"/>
            </w:tcMar>
            <w:vAlign w:val="center"/>
          </w:tcPr>
          <w:p>
            <w:r>
              <w:rPr>
                <w:b/>
                <w:color w:val="FFFFFF"/>
                <w:sz w:val="16"/>
              </w:rPr>
              <w:t>Evidence / consequence</w:t>
            </w:r>
          </w:p>
        </w:tc>
      </w:tr>
      <w:tr>
        <w:tc>
          <w:tcPr>
            <w:tcW w:type="dxa" w:w="2592"/>
            <w:tcMar>
              <w:top w:w="80" w:type="dxa"/>
              <w:start w:w="80" w:type="dxa"/>
              <w:bottom w:w="80" w:type="dxa"/>
              <w:end w:w="80" w:type="dxa"/>
            </w:tcMar>
            <w:vAlign w:val="center"/>
          </w:tcPr>
          <w:p>
            <w:pPr>
              <w:spacing w:after="0"/>
            </w:pPr>
            <w:r>
              <w:rPr>
                <w:sz w:val="16"/>
              </w:rPr>
              <w:t>Seven-region concept</w:t>
            </w:r>
          </w:p>
        </w:tc>
        <w:tc>
          <w:tcPr>
            <w:tcW w:type="dxa" w:w="3888"/>
            <w:tcMar>
              <w:top w:w="80" w:type="dxa"/>
              <w:start w:w="80" w:type="dxa"/>
              <w:bottom w:w="80" w:type="dxa"/>
              <w:end w:w="80" w:type="dxa"/>
            </w:tcMar>
            <w:vAlign w:val="center"/>
          </w:tcPr>
          <w:p>
            <w:pPr>
              <w:spacing w:after="0"/>
            </w:pPr>
            <w:r>
              <w:rPr>
                <w:sz w:val="16"/>
              </w:rPr>
              <w:t>Six regions currently reach Stage 3: NSW1, QLD1, VIC1, SA1, TAS1 and WA. NT is not in the accepted demand pipeline.</w:t>
            </w:r>
          </w:p>
        </w:tc>
        <w:tc>
          <w:tcPr>
            <w:tcW w:type="dxa" w:w="3816"/>
            <w:tcMar>
              <w:top w:w="80" w:type="dxa"/>
              <w:start w:w="80" w:type="dxa"/>
              <w:bottom w:w="80" w:type="dxa"/>
              <w:end w:w="80" w:type="dxa"/>
            </w:tcMar>
            <w:vAlign w:val="center"/>
          </w:tcPr>
          <w:p>
            <w:pPr>
              <w:spacing w:after="0"/>
            </w:pPr>
            <w:r>
              <w:rPr>
                <w:sz w:val="16"/>
              </w:rPr>
              <w:t>The current run_config and manifests contain six regions; scope is narrower but executable.</w:t>
            </w:r>
          </w:p>
        </w:tc>
      </w:tr>
      <w:tr>
        <w:tc>
          <w:tcPr>
            <w:tcW w:type="dxa" w:w="2592"/>
            <w:tcMar>
              <w:top w:w="80" w:type="dxa"/>
              <w:start w:w="80" w:type="dxa"/>
              <w:bottom w:w="80" w:type="dxa"/>
              <w:end w:w="80" w:type="dxa"/>
            </w:tcMar>
            <w:vAlign w:val="center"/>
            <w:shd w:fill="F7F9FB"/>
          </w:tcPr>
          <w:p>
            <w:pPr>
              <w:spacing w:after="0"/>
            </w:pPr>
            <w:r>
              <w:rPr>
                <w:sz w:val="16"/>
              </w:rPr>
              <w:t>Per-region forecasting</w:t>
            </w:r>
          </w:p>
        </w:tc>
        <w:tc>
          <w:tcPr>
            <w:tcW w:type="dxa" w:w="3888"/>
            <w:tcMar>
              <w:top w:w="80" w:type="dxa"/>
              <w:start w:w="80" w:type="dxa"/>
              <w:bottom w:w="80" w:type="dxa"/>
              <w:end w:w="80" w:type="dxa"/>
            </w:tcMar>
            <w:vAlign w:val="center"/>
            <w:shd w:fill="F7F9FB"/>
          </w:tcPr>
          <w:p>
            <w:pPr>
              <w:spacing w:after="0"/>
            </w:pPr>
            <w:r>
              <w:rPr>
                <w:sz w:val="16"/>
              </w:rPr>
              <w:t>Implemented: each region is evaluated and selected separately.</w:t>
            </w:r>
          </w:p>
        </w:tc>
        <w:tc>
          <w:tcPr>
            <w:tcW w:type="dxa" w:w="3816"/>
            <w:tcMar>
              <w:top w:w="80" w:type="dxa"/>
              <w:start w:w="80" w:type="dxa"/>
              <w:bottom w:w="80" w:type="dxa"/>
              <w:end w:w="80" w:type="dxa"/>
            </w:tcMar>
            <w:vAlign w:val="center"/>
            <w:shd w:fill="F7F9FB"/>
          </w:tcPr>
          <w:p>
            <w:pPr>
              <w:spacing w:after="0"/>
            </w:pPr>
            <w:r>
              <w:rPr>
                <w:sz w:val="16"/>
              </w:rPr>
              <w:t>Different regions select A/B feature families; metrics are reported region by region.</w:t>
            </w:r>
          </w:p>
        </w:tc>
      </w:tr>
      <w:tr>
        <w:tc>
          <w:tcPr>
            <w:tcW w:type="dxa" w:w="2592"/>
            <w:tcMar>
              <w:top w:w="80" w:type="dxa"/>
              <w:start w:w="80" w:type="dxa"/>
              <w:bottom w:w="80" w:type="dxa"/>
              <w:end w:w="80" w:type="dxa"/>
            </w:tcMar>
            <w:vAlign w:val="center"/>
          </w:tcPr>
          <w:p>
            <w:pPr>
              <w:spacing w:after="0"/>
            </w:pPr>
            <w:r>
              <w:rPr>
                <w:sz w:val="16"/>
              </w:rPr>
              <w:t>Seasonal naive baseline</w:t>
            </w:r>
          </w:p>
        </w:tc>
        <w:tc>
          <w:tcPr>
            <w:tcW w:type="dxa" w:w="3888"/>
            <w:tcMar>
              <w:top w:w="80" w:type="dxa"/>
              <w:start w:w="80" w:type="dxa"/>
              <w:bottom w:w="80" w:type="dxa"/>
              <w:end w:w="80" w:type="dxa"/>
            </w:tcMar>
            <w:vAlign w:val="center"/>
          </w:tcPr>
          <w:p>
            <w:pPr>
              <w:spacing w:after="0"/>
            </w:pPr>
            <w:r>
              <w:rPr>
                <w:sz w:val="16"/>
              </w:rPr>
              <w:t>Implemented as Naive48 and Naive336.</w:t>
            </w:r>
          </w:p>
        </w:tc>
        <w:tc>
          <w:tcPr>
            <w:tcW w:type="dxa" w:w="3816"/>
            <w:tcMar>
              <w:top w:w="80" w:type="dxa"/>
              <w:start w:w="80" w:type="dxa"/>
              <w:bottom w:w="80" w:type="dxa"/>
              <w:end w:w="80" w:type="dxa"/>
            </w:tcMar>
            <w:vAlign w:val="center"/>
          </w:tcPr>
          <w:p>
            <w:pPr>
              <w:spacing w:after="0"/>
            </w:pPr>
            <w:r>
              <w:rPr>
                <w:sz w:val="16"/>
              </w:rPr>
              <w:t>Every accepted production model beats the best naive by 26.5%–34.8%.</w:t>
            </w:r>
          </w:p>
        </w:tc>
      </w:tr>
      <w:tr>
        <w:tc>
          <w:tcPr>
            <w:tcW w:type="dxa" w:w="2592"/>
            <w:tcMar>
              <w:top w:w="80" w:type="dxa"/>
              <w:start w:w="80" w:type="dxa"/>
              <w:bottom w:w="80" w:type="dxa"/>
              <w:end w:w="80" w:type="dxa"/>
            </w:tcMar>
            <w:vAlign w:val="center"/>
            <w:shd w:fill="F7F9FB"/>
          </w:tcPr>
          <w:p>
            <w:pPr>
              <w:spacing w:after="0"/>
            </w:pPr>
            <w:r>
              <w:rPr>
                <w:sz w:val="16"/>
              </w:rPr>
              <w:t>SARIMA statistical tier</w:t>
            </w:r>
          </w:p>
        </w:tc>
        <w:tc>
          <w:tcPr>
            <w:tcW w:type="dxa" w:w="3888"/>
            <w:tcMar>
              <w:top w:w="80" w:type="dxa"/>
              <w:start w:w="80" w:type="dxa"/>
              <w:bottom w:w="80" w:type="dxa"/>
              <w:end w:w="80" w:type="dxa"/>
            </w:tcMar>
            <w:vAlign w:val="center"/>
            <w:shd w:fill="F7F9FB"/>
          </w:tcPr>
          <w:p>
            <w:pPr>
              <w:spacing w:after="0"/>
            </w:pPr>
            <w:r>
              <w:rPr>
                <w:sz w:val="16"/>
              </w:rPr>
              <w:t>Implemented, plus SARIMAX.</w:t>
            </w:r>
          </w:p>
        </w:tc>
        <w:tc>
          <w:tcPr>
            <w:tcW w:type="dxa" w:w="3816"/>
            <w:tcMar>
              <w:top w:w="80" w:type="dxa"/>
              <w:start w:w="80" w:type="dxa"/>
              <w:bottom w:w="80" w:type="dxa"/>
              <w:end w:w="80" w:type="dxa"/>
            </w:tcMar>
            <w:vAlign w:val="center"/>
            <w:shd w:fill="F7F9FB"/>
          </w:tcPr>
          <w:p>
            <w:pPr>
              <w:spacing w:after="0"/>
            </w:pPr>
            <w:r>
              <w:rPr>
                <w:sz w:val="16"/>
              </w:rPr>
              <w:t>Useful negative result: both statistical variants generally underperform the tree ensembles on the four-month horizon.</w:t>
            </w:r>
          </w:p>
        </w:tc>
      </w:tr>
      <w:tr>
        <w:tc>
          <w:tcPr>
            <w:tcW w:type="dxa" w:w="2592"/>
            <w:tcMar>
              <w:top w:w="80" w:type="dxa"/>
              <w:start w:w="80" w:type="dxa"/>
              <w:bottom w:w="80" w:type="dxa"/>
              <w:end w:w="80" w:type="dxa"/>
            </w:tcMar>
            <w:vAlign w:val="center"/>
          </w:tcPr>
          <w:p>
            <w:pPr>
              <w:spacing w:after="0"/>
            </w:pPr>
            <w:r>
              <w:rPr>
                <w:sz w:val="16"/>
              </w:rPr>
              <w:t>Random Forest / Gradient Boosting</w:t>
            </w:r>
          </w:p>
        </w:tc>
        <w:tc>
          <w:tcPr>
            <w:tcW w:type="dxa" w:w="3888"/>
            <w:tcMar>
              <w:top w:w="80" w:type="dxa"/>
              <w:start w:w="80" w:type="dxa"/>
              <w:bottom w:w="80" w:type="dxa"/>
              <w:end w:w="80" w:type="dxa"/>
            </w:tcMar>
            <w:vAlign w:val="center"/>
          </w:tcPr>
          <w:p>
            <w:pPr>
              <w:spacing w:after="0"/>
            </w:pPr>
            <w:r>
              <w:rPr>
                <w:sz w:val="16"/>
              </w:rPr>
              <w:t>Random Forest retained; XGBoost used as the boosting family.</w:t>
            </w:r>
          </w:p>
        </w:tc>
        <w:tc>
          <w:tcPr>
            <w:tcW w:type="dxa" w:w="3816"/>
            <w:tcMar>
              <w:top w:w="80" w:type="dxa"/>
              <w:start w:w="80" w:type="dxa"/>
              <w:bottom w:w="80" w:type="dxa"/>
              <w:end w:w="80" w:type="dxa"/>
            </w:tcMar>
            <w:vAlign w:val="center"/>
          </w:tcPr>
          <w:p>
            <w:pPr>
              <w:spacing w:after="0"/>
            </w:pPr>
            <w:r>
              <w:rPr>
                <w:sz w:val="16"/>
              </w:rPr>
              <w:t>Random Forest is selected in all six regions.</w:t>
            </w:r>
          </w:p>
        </w:tc>
      </w:tr>
      <w:tr>
        <w:tc>
          <w:tcPr>
            <w:tcW w:type="dxa" w:w="2592"/>
            <w:tcMar>
              <w:top w:w="80" w:type="dxa"/>
              <w:start w:w="80" w:type="dxa"/>
              <w:bottom w:w="80" w:type="dxa"/>
              <w:end w:w="80" w:type="dxa"/>
            </w:tcMar>
            <w:vAlign w:val="center"/>
            <w:shd w:fill="F7F9FB"/>
          </w:tcPr>
          <w:p>
            <w:pPr>
              <w:spacing w:after="0"/>
            </w:pPr>
            <w:r>
              <w:rPr>
                <w:sz w:val="16"/>
              </w:rPr>
              <w:t>Strict chronological evaluation</w:t>
            </w:r>
          </w:p>
        </w:tc>
        <w:tc>
          <w:tcPr>
            <w:tcW w:type="dxa" w:w="3888"/>
            <w:tcMar>
              <w:top w:w="80" w:type="dxa"/>
              <w:start w:w="80" w:type="dxa"/>
              <w:bottom w:w="80" w:type="dxa"/>
              <w:end w:w="80" w:type="dxa"/>
            </w:tcMar>
            <w:vAlign w:val="center"/>
            <w:shd w:fill="F7F9FB"/>
          </w:tcPr>
          <w:p>
            <w:pPr>
              <w:spacing w:after="0"/>
            </w:pPr>
            <w:r>
              <w:rPr>
                <w:sz w:val="16"/>
              </w:rPr>
              <w:t>Implemented with screening plus four-month analogue backtests at Sep 2023/2024/2025 origins.</w:t>
            </w:r>
          </w:p>
        </w:tc>
        <w:tc>
          <w:tcPr>
            <w:tcW w:type="dxa" w:w="3816"/>
            <w:tcMar>
              <w:top w:w="80" w:type="dxa"/>
              <w:start w:w="80" w:type="dxa"/>
              <w:bottom w:w="80" w:type="dxa"/>
              <w:end w:w="80" w:type="dxa"/>
            </w:tcMar>
            <w:vAlign w:val="center"/>
            <w:shd w:fill="F7F9FB"/>
          </w:tcPr>
          <w:p>
            <w:pPr>
              <w:spacing w:after="0"/>
            </w:pPr>
            <w:r>
              <w:rPr>
                <w:sz w:val="16"/>
              </w:rPr>
              <w:t>No random shuffling; origin-dependent features rebuilt from pre-origin information.</w:t>
            </w:r>
          </w:p>
        </w:tc>
      </w:tr>
      <w:tr>
        <w:tc>
          <w:tcPr>
            <w:tcW w:type="dxa" w:w="2592"/>
            <w:tcMar>
              <w:top w:w="80" w:type="dxa"/>
              <w:start w:w="80" w:type="dxa"/>
              <w:bottom w:w="80" w:type="dxa"/>
              <w:end w:w="80" w:type="dxa"/>
            </w:tcMar>
            <w:vAlign w:val="center"/>
          </w:tcPr>
          <w:p>
            <w:pPr>
              <w:spacing w:after="0"/>
            </w:pPr>
            <w:r>
              <w:rPr>
                <w:sz w:val="16"/>
              </w:rPr>
              <w:t>Correction-aware verification</w:t>
            </w:r>
          </w:p>
        </w:tc>
        <w:tc>
          <w:tcPr>
            <w:tcW w:type="dxa" w:w="3888"/>
            <w:tcMar>
              <w:top w:w="80" w:type="dxa"/>
              <w:start w:w="80" w:type="dxa"/>
              <w:bottom w:w="80" w:type="dxa"/>
              <w:end w:w="80" w:type="dxa"/>
            </w:tcMar>
            <w:vAlign w:val="center"/>
          </w:tcPr>
          <w:p>
            <w:pPr>
              <w:spacing w:after="0"/>
            </w:pPr>
            <w:r>
              <w:rPr>
                <w:sz w:val="16"/>
              </w:rPr>
              <w:t>Partly implemented in source workflow but not carried into final Stage 3 re-scoring logic.</w:t>
            </w:r>
          </w:p>
        </w:tc>
        <w:tc>
          <w:tcPr>
            <w:tcW w:type="dxa" w:w="3816"/>
            <w:tcMar>
              <w:top w:w="80" w:type="dxa"/>
              <w:start w:w="80" w:type="dxa"/>
              <w:bottom w:w="80" w:type="dxa"/>
              <w:end w:w="80" w:type="dxa"/>
            </w:tcMar>
            <w:vAlign w:val="center"/>
          </w:tcPr>
          <w:p>
            <w:pPr>
              <w:spacing w:after="0"/>
            </w:pPr>
            <w:r>
              <w:rPr>
                <w:sz w:val="16"/>
              </w:rPr>
              <w:t>Open risk and next-stage requirement.</w:t>
            </w:r>
          </w:p>
        </w:tc>
      </w:tr>
      <w:tr>
        <w:tc>
          <w:tcPr>
            <w:tcW w:type="dxa" w:w="2592"/>
            <w:tcMar>
              <w:top w:w="80" w:type="dxa"/>
              <w:start w:w="80" w:type="dxa"/>
              <w:bottom w:w="80" w:type="dxa"/>
              <w:end w:w="80" w:type="dxa"/>
            </w:tcMar>
            <w:vAlign w:val="center"/>
            <w:shd w:fill="F7F9FB"/>
          </w:tcPr>
          <w:p>
            <w:pPr>
              <w:spacing w:after="0"/>
            </w:pPr>
            <w:r>
              <w:rPr>
                <w:sz w:val="16"/>
              </w:rPr>
              <w:t>Dual dashboards</w:t>
            </w:r>
          </w:p>
        </w:tc>
        <w:tc>
          <w:tcPr>
            <w:tcW w:type="dxa" w:w="3888"/>
            <w:tcMar>
              <w:top w:w="80" w:type="dxa"/>
              <w:start w:w="80" w:type="dxa"/>
              <w:bottom w:w="80" w:type="dxa"/>
              <w:end w:w="80" w:type="dxa"/>
            </w:tcMar>
            <w:vAlign w:val="center"/>
            <w:shd w:fill="F7F9FB"/>
          </w:tcPr>
          <w:p>
            <w:pPr>
              <w:spacing w:after="0"/>
            </w:pPr>
            <w:r>
              <w:rPr>
                <w:sz w:val="16"/>
              </w:rPr>
              <w:t>Not yet implemented in WP3.</w:t>
            </w:r>
          </w:p>
        </w:tc>
        <w:tc>
          <w:tcPr>
            <w:tcW w:type="dxa" w:w="3816"/>
            <w:tcMar>
              <w:top w:w="80" w:type="dxa"/>
              <w:start w:w="80" w:type="dxa"/>
              <w:bottom w:w="80" w:type="dxa"/>
              <w:end w:w="80" w:type="dxa"/>
            </w:tcMar>
            <w:vAlign w:val="center"/>
            <w:shd w:fill="F7F9FB"/>
          </w:tcPr>
          <w:p>
            <w:pPr>
              <w:spacing w:after="0"/>
            </w:pPr>
            <w:r>
              <w:rPr>
                <w:sz w:val="16"/>
              </w:rPr>
              <w:t>Stage 3 now produces the data and figure artefacts those dashboards require.</w:t>
            </w:r>
          </w:p>
        </w:tc>
      </w:tr>
      <w:tr>
        <w:tc>
          <w:tcPr>
            <w:tcW w:type="dxa" w:w="2592"/>
            <w:tcMar>
              <w:top w:w="80" w:type="dxa"/>
              <w:start w:w="80" w:type="dxa"/>
              <w:bottom w:w="80" w:type="dxa"/>
              <w:end w:w="80" w:type="dxa"/>
            </w:tcMar>
            <w:vAlign w:val="center"/>
          </w:tcPr>
          <w:p>
            <w:pPr>
              <w:spacing w:after="0"/>
            </w:pPr>
            <w:r>
              <w:rPr>
                <w:sz w:val="16"/>
              </w:rPr>
              <w:t>Hierarchical reconciliation / deep learning</w:t>
            </w:r>
          </w:p>
        </w:tc>
        <w:tc>
          <w:tcPr>
            <w:tcW w:type="dxa" w:w="3888"/>
            <w:tcMar>
              <w:top w:w="80" w:type="dxa"/>
              <w:start w:w="80" w:type="dxa"/>
              <w:bottom w:w="80" w:type="dxa"/>
              <w:end w:w="80" w:type="dxa"/>
            </w:tcMar>
            <w:vAlign w:val="center"/>
          </w:tcPr>
          <w:p>
            <w:pPr>
              <w:spacing w:after="0"/>
            </w:pPr>
            <w:r>
              <w:rPr>
                <w:sz w:val="16"/>
              </w:rPr>
              <w:t>Still stretch items.</w:t>
            </w:r>
          </w:p>
        </w:tc>
        <w:tc>
          <w:tcPr>
            <w:tcW w:type="dxa" w:w="3816"/>
            <w:tcMar>
              <w:top w:w="80" w:type="dxa"/>
              <w:start w:w="80" w:type="dxa"/>
              <w:bottom w:w="80" w:type="dxa"/>
              <w:end w:w="80" w:type="dxa"/>
            </w:tcMar>
            <w:vAlign w:val="center"/>
          </w:tcPr>
          <w:p>
            <w:pPr>
              <w:spacing w:after="0"/>
            </w:pPr>
            <w:r>
              <w:rPr>
                <w:sz w:val="16"/>
              </w:rPr>
              <w:t>Not required to establish the current baseline system.</w:t>
            </w:r>
          </w:p>
        </w:tc>
      </w:tr>
    </w:tbl>
    <w:p>
      <w:pPr>
        <w:spacing w:after="20"/>
      </w:pPr>
    </w:p>
    <w:tbl>
      <w:tblPr>
        <w:tblW w:type="auto" w:w="0"/>
        <w:jc w:val="center"/>
        <w:tblLayout w:type="autofit"/>
        <w:tblLook w:firstColumn="1" w:firstRow="1" w:lastColumn="0" w:lastRow="0" w:noHBand="0" w:noVBand="1" w:val="04A0"/>
      </w:tblPr>
      <w:tblGrid>
        <w:gridCol w:w="10123"/>
      </w:tblGrid>
      <w:tr>
        <w:tc>
          <w:tcPr>
            <w:tcW w:type="dxa" w:w="10123"/>
            <w:shd w:fill="EDF4FB"/>
            <w:tcMar>
              <w:top w:w="120" w:type="dxa"/>
              <w:start w:w="140" w:type="dxa"/>
              <w:bottom w:w="120" w:type="dxa"/>
              <w:end w:w="140" w:type="dxa"/>
            </w:tcMar>
          </w:tcPr>
          <w:p>
            <w:pPr>
              <w:spacing w:after="0"/>
            </w:pPr>
            <w:r>
              <w:rPr>
                <w:b/>
                <w:color w:val="17365D"/>
              </w:rPr>
              <w:t xml:space="preserve">Why this matters  </w:t>
            </w:r>
            <w:r>
              <w:t>Progress is not measured by whether the final system looks identical to the proposal. It is measured by whether changes are documented, technically justified, and supported by reproducible evidence. Stage 3 narrows some scope while materially strengthening the forecasting and verification logic.</w:t>
            </w:r>
          </w:p>
        </w:tc>
      </w:tr>
    </w:tbl>
    <w:p>
      <w:pPr>
        <w:spacing w:after="20"/>
      </w:pPr>
    </w:p>
    <w:p>
      <w:r>
        <w:br w:type="page"/>
      </w:r>
    </w:p>
    <w:p>
      <w:pPr>
        <w:pStyle w:val="Heading1"/>
      </w:pPr>
      <w:r>
        <w:t>5. Team Collaboration and the Questions the Group Had to Resolve</w:t>
      </w:r>
    </w:p>
    <w:p>
      <w:pPr>
        <w:jc w:val="center"/>
      </w:pPr>
      <w:r>
        <w:drawing>
          <wp:inline xmlns:a="http://schemas.openxmlformats.org/drawingml/2006/main" xmlns:pic="http://schemas.openxmlformats.org/drawingml/2006/picture">
            <wp:extent cx="6309360" cy="4323575"/>
            <wp:docPr id="2" name="Picture 2"/>
            <wp:cNvGraphicFramePr>
              <a:graphicFrameLocks noChangeAspect="1"/>
            </wp:cNvGraphicFramePr>
            <a:graphic>
              <a:graphicData uri="http://schemas.openxmlformats.org/drawingml/2006/picture">
                <pic:pic>
                  <pic:nvPicPr>
                    <pic:cNvPr id="0" name="11_wp3_decision_trail.png"/>
                    <pic:cNvPicPr/>
                  </pic:nvPicPr>
                  <pic:blipFill>
                    <a:blip r:embed="rId12"/>
                    <a:stretch>
                      <a:fillRect/>
                    </a:stretch>
                  </pic:blipFill>
                  <pic:spPr>
                    <a:xfrm>
                      <a:off x="0" y="0"/>
                      <a:ext cx="6309360" cy="4323575"/>
                    </a:xfrm>
                    <a:prstGeom prst="rect"/>
                  </pic:spPr>
                </pic:pic>
              </a:graphicData>
            </a:graphic>
          </wp:inline>
        </w:drawing>
      </w:r>
    </w:p>
    <w:p>
      <w:pPr>
        <w:pStyle w:val="Caption"/>
        <w:jc w:val="center"/>
      </w:pPr>
      <w:r>
        <w:t>Figure 2. WP3 team decision trail. Candidate ownership is separated from scoring and verification so the final result is reviewed from multiple technical perspectives.</w:t>
      </w:r>
    </w:p>
    <w:p>
      <w:pPr>
        <w:spacing w:after="100"/>
      </w:pPr>
      <w:r>
        <w:t>The integrated pipeline was not produced by simply concatenating four modules. Several decisions cut across all workstreams and therefore had to be resolved jointly. The most important design questions and the implemented answers are summarised below.</w:t>
      </w:r>
    </w:p>
    <w:p>
      <w:r>
        <w:br w:type="page"/>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3312"/>
            <w:shd w:fill="17365D"/>
            <w:tcMar>
              <w:top w:w="80" w:type="dxa"/>
              <w:start w:w="80" w:type="dxa"/>
              <w:bottom w:w="80" w:type="dxa"/>
              <w:end w:w="80" w:type="dxa"/>
            </w:tcMar>
            <w:vAlign w:val="center"/>
          </w:tcPr>
          <w:p>
            <w:r>
              <w:rPr>
                <w:b/>
                <w:color w:val="FFFFFF"/>
                <w:sz w:val="16"/>
              </w:rPr>
              <w:t>Question raised by the team</w:t>
            </w:r>
          </w:p>
        </w:tc>
        <w:tc>
          <w:tcPr>
            <w:tcW w:type="dxa" w:w="6984"/>
            <w:shd w:fill="17365D"/>
            <w:tcMar>
              <w:top w:w="80" w:type="dxa"/>
              <w:start w:w="80" w:type="dxa"/>
              <w:bottom w:w="80" w:type="dxa"/>
              <w:end w:w="80" w:type="dxa"/>
            </w:tcMar>
            <w:vAlign w:val="center"/>
          </w:tcPr>
          <w:p>
            <w:r>
              <w:rPr>
                <w:b/>
                <w:color w:val="FFFFFF"/>
                <w:sz w:val="16"/>
              </w:rPr>
              <w:t>Decision implemented</w:t>
            </w:r>
          </w:p>
        </w:tc>
      </w:tr>
      <w:tr>
        <w:tc>
          <w:tcPr>
            <w:tcW w:type="dxa" w:w="3312"/>
            <w:tcMar>
              <w:top w:w="80" w:type="dxa"/>
              <w:start w:w="80" w:type="dxa"/>
              <w:bottom w:w="80" w:type="dxa"/>
              <w:end w:w="80" w:type="dxa"/>
            </w:tcMar>
            <w:vAlign w:val="center"/>
          </w:tcPr>
          <w:p>
            <w:pPr>
              <w:spacing w:after="0"/>
            </w:pPr>
            <w:r>
              <w:rPr>
                <w:sz w:val="16"/>
              </w:rPr>
              <w:t>What exactly are we forecasting?</w:t>
            </w:r>
          </w:p>
        </w:tc>
        <w:tc>
          <w:tcPr>
            <w:tcW w:type="dxa" w:w="6984"/>
            <w:tcMar>
              <w:top w:w="80" w:type="dxa"/>
              <w:start w:w="80" w:type="dxa"/>
              <w:bottom w:w="80" w:type="dxa"/>
              <w:end w:w="80" w:type="dxa"/>
            </w:tcMar>
            <w:vAlign w:val="center"/>
          </w:tcPr>
          <w:p>
            <w:pPr>
              <w:spacing w:after="0"/>
            </w:pPr>
            <w:r>
              <w:rPr>
                <w:sz w:val="16"/>
              </w:rPr>
              <w:t>Half-hourly Operational Demand in MW for six regions, not price, energy consumption or AEMO Scheduled Demand.</w:t>
            </w:r>
          </w:p>
        </w:tc>
      </w:tr>
      <w:tr>
        <w:tc>
          <w:tcPr>
            <w:tcW w:type="dxa" w:w="3312"/>
            <w:tcMar>
              <w:top w:w="80" w:type="dxa"/>
              <w:start w:w="80" w:type="dxa"/>
              <w:bottom w:w="80" w:type="dxa"/>
              <w:end w:w="80" w:type="dxa"/>
            </w:tcMar>
            <w:vAlign w:val="center"/>
            <w:shd w:fill="F7F9FB"/>
          </w:tcPr>
          <w:p>
            <w:pPr>
              <w:spacing w:after="0"/>
            </w:pPr>
            <w:r>
              <w:rPr>
                <w:sz w:val="16"/>
              </w:rPr>
              <w:t>Where does training stop?</w:t>
            </w:r>
          </w:p>
        </w:tc>
        <w:tc>
          <w:tcPr>
            <w:tcW w:type="dxa" w:w="6984"/>
            <w:tcMar>
              <w:top w:w="80" w:type="dxa"/>
              <w:start w:w="80" w:type="dxa"/>
              <w:bottom w:w="80" w:type="dxa"/>
              <w:end w:w="80" w:type="dxa"/>
            </w:tcMar>
            <w:vAlign w:val="center"/>
            <w:shd w:fill="F7F9FB"/>
          </w:tcPr>
          <w:p>
            <w:pPr>
              <w:spacing w:after="0"/>
            </w:pPr>
            <w:r>
              <w:rPr>
                <w:sz w:val="16"/>
              </w:rPr>
              <w:t>At 31 August 2026 23:30 for the September run. September actual demand is verification-only.</w:t>
            </w:r>
          </w:p>
        </w:tc>
      </w:tr>
      <w:tr>
        <w:tc>
          <w:tcPr>
            <w:tcW w:type="dxa" w:w="3312"/>
            <w:tcMar>
              <w:top w:w="80" w:type="dxa"/>
              <w:start w:w="80" w:type="dxa"/>
              <w:bottom w:w="80" w:type="dxa"/>
              <w:end w:w="80" w:type="dxa"/>
            </w:tcMar>
            <w:vAlign w:val="center"/>
          </w:tcPr>
          <w:p>
            <w:pPr>
              <w:spacing w:after="0"/>
            </w:pPr>
            <w:r>
              <w:rPr>
                <w:sz w:val="16"/>
              </w:rPr>
              <w:t>How can eight candidates be compared fairly?</w:t>
            </w:r>
          </w:p>
        </w:tc>
        <w:tc>
          <w:tcPr>
            <w:tcW w:type="dxa" w:w="6984"/>
            <w:tcMar>
              <w:top w:w="80" w:type="dxa"/>
              <w:start w:w="80" w:type="dxa"/>
              <w:bottom w:w="80" w:type="dxa"/>
              <w:end w:w="80" w:type="dxa"/>
            </w:tcMar>
            <w:vAlign w:val="center"/>
          </w:tcPr>
          <w:p>
            <w:pPr>
              <w:spacing w:after="0"/>
            </w:pPr>
            <w:r>
              <w:rPr>
                <w:sz w:val="16"/>
              </w:rPr>
              <w:t>All candidates face the same historical analogue windows and the same four-month deployment horizon; screening is only a preliminary failure filter.</w:t>
            </w:r>
          </w:p>
        </w:tc>
      </w:tr>
      <w:tr>
        <w:tc>
          <w:tcPr>
            <w:tcW w:type="dxa" w:w="3312"/>
            <w:tcMar>
              <w:top w:w="80" w:type="dxa"/>
              <w:start w:w="80" w:type="dxa"/>
              <w:bottom w:w="80" w:type="dxa"/>
              <w:end w:w="80" w:type="dxa"/>
            </w:tcMar>
            <w:vAlign w:val="center"/>
            <w:shd w:fill="F7F9FB"/>
          </w:tcPr>
          <w:p>
            <w:pPr>
              <w:spacing w:after="0"/>
            </w:pPr>
            <w:r>
              <w:rPr>
                <w:sz w:val="16"/>
              </w:rPr>
              <w:t>How do we stop historical backtests from “knowing the future”?</w:t>
            </w:r>
          </w:p>
        </w:tc>
        <w:tc>
          <w:tcPr>
            <w:tcW w:type="dxa" w:w="6984"/>
            <w:tcMar>
              <w:top w:w="80" w:type="dxa"/>
              <w:start w:w="80" w:type="dxa"/>
              <w:bottom w:w="80" w:type="dxa"/>
              <w:end w:w="80" w:type="dxa"/>
            </w:tcMar>
            <w:vAlign w:val="center"/>
            <w:shd w:fill="F7F9FB"/>
          </w:tcPr>
          <w:p>
            <w:pPr>
              <w:spacing w:after="0"/>
            </w:pPr>
            <w:r>
              <w:rPr>
                <w:sz w:val="16"/>
              </w:rPr>
              <w:t>Profiles and climatology are rebuilt separately for each origin, realised target-period weather is hidden, and lag provenance is tracked.</w:t>
            </w:r>
          </w:p>
        </w:tc>
      </w:tr>
      <w:tr>
        <w:tc>
          <w:tcPr>
            <w:tcW w:type="dxa" w:w="3312"/>
            <w:tcMar>
              <w:top w:w="80" w:type="dxa"/>
              <w:start w:w="80" w:type="dxa"/>
              <w:bottom w:w="80" w:type="dxa"/>
              <w:end w:w="80" w:type="dxa"/>
            </w:tcMar>
            <w:vAlign w:val="center"/>
          </w:tcPr>
          <w:p>
            <w:pPr>
              <w:spacing w:after="0"/>
            </w:pPr>
            <w:r>
              <w:rPr>
                <w:sz w:val="16"/>
              </w:rPr>
              <w:t>Why keep simple naive models?</w:t>
            </w:r>
          </w:p>
        </w:tc>
        <w:tc>
          <w:tcPr>
            <w:tcW w:type="dxa" w:w="6984"/>
            <w:tcMar>
              <w:top w:w="80" w:type="dxa"/>
              <w:start w:w="80" w:type="dxa"/>
              <w:bottom w:w="80" w:type="dxa"/>
              <w:end w:w="80" w:type="dxa"/>
            </w:tcMar>
            <w:vAlign w:val="center"/>
          </w:tcPr>
          <w:p>
            <w:pPr>
              <w:spacing w:after="0"/>
            </w:pPr>
            <w:r>
              <w:rPr>
                <w:sz w:val="16"/>
              </w:rPr>
              <w:t>A complex model is not useful if it cannot beat the assumption that demand repeats yesterday or last week.</w:t>
            </w:r>
          </w:p>
        </w:tc>
      </w:tr>
      <w:tr>
        <w:tc>
          <w:tcPr>
            <w:tcW w:type="dxa" w:w="3312"/>
            <w:tcMar>
              <w:top w:w="80" w:type="dxa"/>
              <w:start w:w="80" w:type="dxa"/>
              <w:bottom w:w="80" w:type="dxa"/>
              <w:end w:w="80" w:type="dxa"/>
            </w:tcMar>
            <w:vAlign w:val="center"/>
            <w:shd w:fill="F7F9FB"/>
          </w:tcPr>
          <w:p>
            <w:pPr>
              <w:spacing w:after="0"/>
            </w:pPr>
            <w:r>
              <w:rPr>
                <w:sz w:val="16"/>
              </w:rPr>
              <w:t>Why use both Model A and Model B?</w:t>
            </w:r>
          </w:p>
        </w:tc>
        <w:tc>
          <w:tcPr>
            <w:tcW w:type="dxa" w:w="6984"/>
            <w:tcMar>
              <w:top w:w="80" w:type="dxa"/>
              <w:start w:w="80" w:type="dxa"/>
              <w:bottom w:w="80" w:type="dxa"/>
              <w:end w:w="80" w:type="dxa"/>
            </w:tcMar>
            <w:vAlign w:val="center"/>
            <w:shd w:fill="F7F9FB"/>
          </w:tcPr>
          <w:p>
            <w:pPr>
              <w:spacing w:after="0"/>
            </w:pPr>
            <w:r>
              <w:rPr>
                <w:sz w:val="16"/>
              </w:rPr>
              <w:t>They isolate the incremental value of weather: A uses demand/calendar/history; B adds weather features and provenance.</w:t>
            </w:r>
          </w:p>
        </w:tc>
      </w:tr>
      <w:tr>
        <w:tc>
          <w:tcPr>
            <w:tcW w:type="dxa" w:w="3312"/>
            <w:tcMar>
              <w:top w:w="80" w:type="dxa"/>
              <w:start w:w="80" w:type="dxa"/>
              <w:bottom w:w="80" w:type="dxa"/>
              <w:end w:w="80" w:type="dxa"/>
            </w:tcMar>
            <w:vAlign w:val="center"/>
          </w:tcPr>
          <w:p>
            <w:pPr>
              <w:spacing w:after="0"/>
            </w:pPr>
            <w:r>
              <w:rPr>
                <w:sz w:val="16"/>
              </w:rPr>
              <w:t>Why was Random Forest selected?</w:t>
            </w:r>
          </w:p>
        </w:tc>
        <w:tc>
          <w:tcPr>
            <w:tcW w:type="dxa" w:w="6984"/>
            <w:tcMar>
              <w:top w:w="80" w:type="dxa"/>
              <w:start w:w="80" w:type="dxa"/>
              <w:bottom w:w="80" w:type="dxa"/>
              <w:end w:w="80" w:type="dxa"/>
            </w:tcMar>
            <w:vAlign w:val="center"/>
          </w:tcPr>
          <w:p>
            <w:pPr>
              <w:spacing w:after="0"/>
            </w:pPr>
            <w:r>
              <w:rPr>
                <w:sz w:val="16"/>
              </w:rPr>
              <w:t>Not because of preference: it produced the lowest deployment-safe mean four-month MAE in every region under the final selection rules.</w:t>
            </w:r>
          </w:p>
        </w:tc>
      </w:tr>
      <w:tr>
        <w:tc>
          <w:tcPr>
            <w:tcW w:type="dxa" w:w="3312"/>
            <w:tcMar>
              <w:top w:w="80" w:type="dxa"/>
              <w:start w:w="80" w:type="dxa"/>
              <w:bottom w:w="80" w:type="dxa"/>
              <w:end w:w="80" w:type="dxa"/>
            </w:tcMar>
            <w:vAlign w:val="center"/>
            <w:shd w:fill="F7F9FB"/>
          </w:tcPr>
          <w:p>
            <w:pPr>
              <w:spacing w:after="0"/>
            </w:pPr>
            <w:r>
              <w:rPr>
                <w:sz w:val="16"/>
              </w:rPr>
              <w:t>Why not call the AEMO comparison accuracy?</w:t>
            </w:r>
          </w:p>
        </w:tc>
        <w:tc>
          <w:tcPr>
            <w:tcW w:type="dxa" w:w="6984"/>
            <w:tcMar>
              <w:top w:w="80" w:type="dxa"/>
              <w:start w:w="80" w:type="dxa"/>
              <w:bottom w:w="80" w:type="dxa"/>
              <w:end w:w="80" w:type="dxa"/>
            </w:tcMar>
            <w:vAlign w:val="center"/>
            <w:shd w:fill="F7F9FB"/>
          </w:tcPr>
          <w:p>
            <w:pPr>
              <w:spacing w:after="0"/>
            </w:pPr>
            <w:r>
              <w:rPr>
                <w:sz w:val="16"/>
              </w:rPr>
              <w:t>The AEMO benchmark is Scheduled Demand / pre-dispatch and the project target is Operational Demand; it is a relationship/divergence check.</w:t>
            </w:r>
          </w:p>
        </w:tc>
      </w:tr>
      <w:tr>
        <w:tc>
          <w:tcPr>
            <w:tcW w:type="dxa" w:w="3312"/>
            <w:tcMar>
              <w:top w:w="80" w:type="dxa"/>
              <w:start w:w="80" w:type="dxa"/>
              <w:bottom w:w="80" w:type="dxa"/>
              <w:end w:w="80" w:type="dxa"/>
            </w:tcMar>
            <w:vAlign w:val="center"/>
          </w:tcPr>
          <w:p>
            <w:pPr>
              <w:spacing w:after="0"/>
            </w:pPr>
            <w:r>
              <w:rPr>
                <w:sz w:val="16"/>
              </w:rPr>
              <w:t>What makes the 2026 score genuinely out-of-sample?</w:t>
            </w:r>
          </w:p>
        </w:tc>
        <w:tc>
          <w:tcPr>
            <w:tcW w:type="dxa" w:w="6984"/>
            <w:tcMar>
              <w:top w:w="80" w:type="dxa"/>
              <w:start w:w="80" w:type="dxa"/>
              <w:bottom w:w="80" w:type="dxa"/>
              <w:end w:w="80" w:type="dxa"/>
            </w:tcMar>
            <w:vAlign w:val="center"/>
          </w:tcPr>
          <w:p>
            <w:pPr>
              <w:spacing w:after="0"/>
            </w:pPr>
            <w:r>
              <w:rPr>
                <w:sz w:val="16"/>
              </w:rPr>
              <w:t>Current-month actuals were separated before modelling and never entered the training features.</w:t>
            </w:r>
          </w:p>
        </w:tc>
      </w:tr>
      <w:tr>
        <w:tc>
          <w:tcPr>
            <w:tcW w:type="dxa" w:w="3312"/>
            <w:tcMar>
              <w:top w:w="80" w:type="dxa"/>
              <w:start w:w="80" w:type="dxa"/>
              <w:bottom w:w="80" w:type="dxa"/>
              <w:end w:w="80" w:type="dxa"/>
            </w:tcMar>
            <w:vAlign w:val="center"/>
            <w:shd w:fill="F7F9FB"/>
          </w:tcPr>
          <w:p>
            <w:pPr>
              <w:spacing w:after="0"/>
            </w:pPr>
            <w:r>
              <w:rPr>
                <w:sz w:val="16"/>
              </w:rPr>
              <w:t>What should happen next?</w:t>
            </w:r>
          </w:p>
        </w:tc>
        <w:tc>
          <w:tcPr>
            <w:tcW w:type="dxa" w:w="6984"/>
            <w:tcMar>
              <w:top w:w="80" w:type="dxa"/>
              <w:start w:w="80" w:type="dxa"/>
              <w:bottom w:w="80" w:type="dxa"/>
              <w:end w:w="80" w:type="dxa"/>
            </w:tcMar>
            <w:vAlign w:val="center"/>
            <w:shd w:fill="F7F9FB"/>
          </w:tcPr>
          <w:p>
            <w:pPr>
              <w:spacing w:after="0"/>
            </w:pPr>
            <w:r>
              <w:rPr>
                <w:sz w:val="16"/>
              </w:rPr>
              <w:t>Fix the interval-labelling warning, add correction-aware re-scoring and uncertainty, tune per region, archive more weather vintages, and build the two dashboards.</w:t>
            </w:r>
          </w:p>
        </w:tc>
      </w:tr>
    </w:tbl>
    <w:p>
      <w:pPr>
        <w:spacing w:after="20"/>
      </w:pPr>
    </w:p>
    <w:p>
      <w:r>
        <w:br w:type="page"/>
      </w:r>
    </w:p>
    <w:p>
      <w:pPr>
        <w:pStyle w:val="Heading1"/>
      </w:pPr>
      <w:r>
        <w:t>6. Stage 3 Modelling Design</w:t>
      </w:r>
    </w:p>
    <w:p>
      <w:pPr>
        <w:jc w:val="center"/>
      </w:pPr>
      <w:r>
        <w:drawing>
          <wp:inline xmlns:a="http://schemas.openxmlformats.org/drawingml/2006/main" xmlns:pic="http://schemas.openxmlformats.org/drawingml/2006/picture">
            <wp:extent cx="4114800" cy="7103740"/>
            <wp:docPr id="3" name="Picture 3"/>
            <wp:cNvGraphicFramePr>
              <a:graphicFrameLocks noChangeAspect="1"/>
            </wp:cNvGraphicFramePr>
            <a:graphic>
              <a:graphicData uri="http://schemas.openxmlformats.org/drawingml/2006/picture">
                <pic:pic>
                  <pic:nvPicPr>
                    <pic:cNvPr id="0" name="02_stage3_modelling_architecture.png"/>
                    <pic:cNvPicPr/>
                  </pic:nvPicPr>
                  <pic:blipFill>
                    <a:blip r:embed="rId13"/>
                    <a:stretch>
                      <a:fillRect/>
                    </a:stretch>
                  </pic:blipFill>
                  <pic:spPr>
                    <a:xfrm>
                      <a:off x="0" y="0"/>
                      <a:ext cx="4114800" cy="7103740"/>
                    </a:xfrm>
                    <a:prstGeom prst="rect"/>
                  </pic:spPr>
                </pic:pic>
              </a:graphicData>
            </a:graphic>
          </wp:inline>
        </w:drawing>
      </w:r>
    </w:p>
    <w:p>
      <w:pPr>
        <w:pStyle w:val="Caption"/>
        <w:jc w:val="center"/>
      </w:pPr>
      <w:r>
        <w:t>Figure 3. Final Stage 3 modelling workflow. Candidate models first pass a contract/safety gate, are screened, then face the real four-month backtest before selection. Production forecasts are stored as separate vintages and verified later.</w:t>
      </w:r>
    </w:p>
    <w:p>
      <w:pPr>
        <w:spacing w:after="100"/>
      </w:pPr>
      <w:r>
        <w:t>The design deliberately separates two evaluation levels. The short chronological screening stage prevents obviously broken configurations from consuming the full runtime. It does not select the winner. The decisive test is the recursive four-month backtest, because that is the horizon the final system actually deploys. This distinction became important because short-horizon rankings and long-horizon rankings do not always agree.</w:t>
      </w:r>
    </w:p>
    <w:p>
      <w:r>
        <w:br w:type="page"/>
      </w:r>
    </w:p>
    <w:p>
      <w:pPr>
        <w:pStyle w:val="Heading1"/>
      </w:pPr>
      <w:r>
        <w:t>7. Historical Backtesting, Recursion and Leakage Control</w:t>
      </w:r>
    </w:p>
    <w:p>
      <w:pPr>
        <w:jc w:val="center"/>
      </w:pPr>
      <w:r>
        <w:drawing>
          <wp:inline xmlns:a="http://schemas.openxmlformats.org/drawingml/2006/main" xmlns:pic="http://schemas.openxmlformats.org/drawingml/2006/picture">
            <wp:extent cx="6400800" cy="2464748"/>
            <wp:docPr id="4" name="Picture 4"/>
            <wp:cNvGraphicFramePr>
              <a:graphicFrameLocks noChangeAspect="1"/>
            </wp:cNvGraphicFramePr>
            <a:graphic>
              <a:graphicData uri="http://schemas.openxmlformats.org/drawingml/2006/picture">
                <pic:pic>
                  <pic:nvPicPr>
                    <pic:cNvPr id="0" name="03_backtesting_timeline.png"/>
                    <pic:cNvPicPr/>
                  </pic:nvPicPr>
                  <pic:blipFill>
                    <a:blip r:embed="rId14"/>
                    <a:stretch>
                      <a:fillRect/>
                    </a:stretch>
                  </pic:blipFill>
                  <pic:spPr>
                    <a:xfrm>
                      <a:off x="0" y="0"/>
                      <a:ext cx="6400800" cy="2464748"/>
                    </a:xfrm>
                    <a:prstGeom prst="rect"/>
                  </pic:spPr>
                </pic:pic>
              </a:graphicData>
            </a:graphic>
          </wp:inline>
        </w:drawing>
      </w:r>
    </w:p>
    <w:p>
      <w:pPr>
        <w:pStyle w:val="Caption"/>
        <w:jc w:val="center"/>
      </w:pPr>
      <w:r>
        <w:t>Figure 4. Historical analogue backtesting. Each September origin recreates the information boundary that would have existed at that date. The 2026 operational run uses the same logic, with a strict 31 August training cutoff.</w:t>
      </w:r>
    </w:p>
    <w:p>
      <w:pPr>
        <w:spacing w:after="100"/>
      </w:pPr>
      <w:r>
        <w:t>Each backtest asks a counterfactual operational question: “If the team had stood at 1 September of this historical year, trained only on earlier data, and forecast the next four months, what error would have resulted?” For the current September run, the available analogue origins are 2023, 2024 and 2025. This is more demanding than a random split because the model must extrapolate forward through seasonality, holidays and changing demand level.</w:t>
      </w:r>
    </w:p>
    <w:p>
      <w:pPr>
        <w:spacing w:after="100"/>
      </w:pPr>
      <w:r>
        <w:t>Demand lags also become recursive. During the first day, some lag references still point to actual historical demand. Later, lag_48, lag_96 and lag_336 increasingly refer to the model’s own prior forecasts. The forecast CSV therefore records whether each lag came from ACTUAL_HISTORY, RECURSIVE_FORECAST or MISSING. In the frozen September forecast, the recursive-input share is 96.67% during month one and 100% in months two to four.</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2376"/>
            <w:shd w:fill="17365D"/>
            <w:tcMar>
              <w:top w:w="80" w:type="dxa"/>
              <w:start w:w="80" w:type="dxa"/>
              <w:bottom w:w="80" w:type="dxa"/>
              <w:end w:w="80" w:type="dxa"/>
            </w:tcMar>
            <w:vAlign w:val="center"/>
          </w:tcPr>
          <w:p>
            <w:r>
              <w:rPr>
                <w:b/>
                <w:color w:val="FFFFFF"/>
                <w:sz w:val="16"/>
              </w:rPr>
              <w:t>Leakage / safety evidence</w:t>
            </w:r>
          </w:p>
        </w:tc>
        <w:tc>
          <w:tcPr>
            <w:tcW w:type="dxa" w:w="1440"/>
            <w:shd w:fill="17365D"/>
            <w:tcMar>
              <w:top w:w="80" w:type="dxa"/>
              <w:start w:w="80" w:type="dxa"/>
              <w:bottom w:w="80" w:type="dxa"/>
              <w:end w:w="80" w:type="dxa"/>
            </w:tcMar>
            <w:vAlign w:val="center"/>
          </w:tcPr>
          <w:p>
            <w:r>
              <w:rPr>
                <w:b/>
                <w:color w:val="FFFFFF"/>
                <w:sz w:val="16"/>
              </w:rPr>
              <w:t>Result</w:t>
            </w:r>
          </w:p>
        </w:tc>
        <w:tc>
          <w:tcPr>
            <w:tcW w:type="dxa" w:w="6480"/>
            <w:shd w:fill="17365D"/>
            <w:tcMar>
              <w:top w:w="80" w:type="dxa"/>
              <w:start w:w="80" w:type="dxa"/>
              <w:bottom w:w="80" w:type="dxa"/>
              <w:end w:w="80" w:type="dxa"/>
            </w:tcMar>
            <w:vAlign w:val="center"/>
          </w:tcPr>
          <w:p>
            <w:r>
              <w:rPr>
                <w:b/>
                <w:color w:val="FFFFFF"/>
                <w:sz w:val="16"/>
              </w:rPr>
              <w:t>Meaning</w:t>
            </w:r>
          </w:p>
        </w:tc>
      </w:tr>
      <w:tr>
        <w:tc>
          <w:tcPr>
            <w:tcW w:type="dxa" w:w="2376"/>
            <w:tcMar>
              <w:top w:w="80" w:type="dxa"/>
              <w:start w:w="80" w:type="dxa"/>
              <w:bottom w:w="80" w:type="dxa"/>
              <w:end w:w="80" w:type="dxa"/>
            </w:tcMar>
            <w:vAlign w:val="center"/>
          </w:tcPr>
          <w:p>
            <w:pPr>
              <w:spacing w:after="0"/>
            </w:pPr>
            <w:r>
              <w:rPr>
                <w:sz w:val="16"/>
              </w:rPr>
              <w:t>Leakage tests</w:t>
            </w:r>
          </w:p>
        </w:tc>
        <w:tc>
          <w:tcPr>
            <w:tcW w:type="dxa" w:w="1440"/>
            <w:tcMar>
              <w:top w:w="80" w:type="dxa"/>
              <w:start w:w="80" w:type="dxa"/>
              <w:bottom w:w="80" w:type="dxa"/>
              <w:end w:w="80" w:type="dxa"/>
            </w:tcMar>
            <w:vAlign w:val="center"/>
          </w:tcPr>
          <w:p>
            <w:pPr>
              <w:spacing w:after="0"/>
            </w:pPr>
            <w:r>
              <w:rPr>
                <w:sz w:val="16"/>
              </w:rPr>
              <w:t>78/78 PASS</w:t>
            </w:r>
          </w:p>
        </w:tc>
        <w:tc>
          <w:tcPr>
            <w:tcW w:type="dxa" w:w="6480"/>
            <w:tcMar>
              <w:top w:w="80" w:type="dxa"/>
              <w:start w:w="80" w:type="dxa"/>
              <w:bottom w:w="80" w:type="dxa"/>
              <w:end w:w="80" w:type="dxa"/>
            </w:tcMar>
            <w:vAlign w:val="center"/>
          </w:tcPr>
          <w:p>
            <w:pPr>
              <w:spacing w:after="0"/>
            </w:pPr>
            <w:r>
              <w:rPr>
                <w:sz w:val="16"/>
              </w:rPr>
              <w:t>Training ends before each origin; current-month actuals do not enter frozen training; recursive lag provenance is consistent.</w:t>
            </w:r>
          </w:p>
        </w:tc>
      </w:tr>
      <w:tr>
        <w:tc>
          <w:tcPr>
            <w:tcW w:type="dxa" w:w="2376"/>
            <w:tcMar>
              <w:top w:w="80" w:type="dxa"/>
              <w:start w:w="80" w:type="dxa"/>
              <w:bottom w:w="80" w:type="dxa"/>
              <w:end w:w="80" w:type="dxa"/>
            </w:tcMar>
            <w:vAlign w:val="center"/>
            <w:shd w:fill="F7F9FB"/>
          </w:tcPr>
          <w:p>
            <w:pPr>
              <w:spacing w:after="0"/>
            </w:pPr>
            <w:r>
              <w:rPr>
                <w:sz w:val="16"/>
              </w:rPr>
              <w:t>Feature safety audit</w:t>
            </w:r>
          </w:p>
        </w:tc>
        <w:tc>
          <w:tcPr>
            <w:tcW w:type="dxa" w:w="1440"/>
            <w:tcMar>
              <w:top w:w="80" w:type="dxa"/>
              <w:start w:w="80" w:type="dxa"/>
              <w:bottom w:w="80" w:type="dxa"/>
              <w:end w:w="80" w:type="dxa"/>
            </w:tcMar>
            <w:vAlign w:val="center"/>
            <w:shd w:fill="F7F9FB"/>
          </w:tcPr>
          <w:p>
            <w:pPr>
              <w:spacing w:after="0"/>
            </w:pPr>
            <w:r>
              <w:rPr>
                <w:sz w:val="16"/>
              </w:rPr>
              <w:t>8/8 PASS</w:t>
            </w:r>
          </w:p>
        </w:tc>
        <w:tc>
          <w:tcPr>
            <w:tcW w:type="dxa" w:w="6480"/>
            <w:tcMar>
              <w:top w:w="80" w:type="dxa"/>
              <w:start w:w="80" w:type="dxa"/>
              <w:bottom w:w="80" w:type="dxa"/>
              <w:end w:w="80" w:type="dxa"/>
            </w:tcMar>
            <w:vAlign w:val="center"/>
            <w:shd w:fill="F7F9FB"/>
          </w:tcPr>
          <w:p>
            <w:pPr>
              <w:spacing w:after="0"/>
            </w:pPr>
            <w:r>
              <w:rPr>
                <w:sz w:val="16"/>
              </w:rPr>
              <w:t>AEMO/pre-dispatch/market requirement columns are excluded from predictors; B extends A.</w:t>
            </w:r>
          </w:p>
        </w:tc>
      </w:tr>
      <w:tr>
        <w:tc>
          <w:tcPr>
            <w:tcW w:type="dxa" w:w="2376"/>
            <w:tcMar>
              <w:top w:w="80" w:type="dxa"/>
              <w:start w:w="80" w:type="dxa"/>
              <w:bottom w:w="80" w:type="dxa"/>
              <w:end w:w="80" w:type="dxa"/>
            </w:tcMar>
            <w:vAlign w:val="center"/>
          </w:tcPr>
          <w:p>
            <w:pPr>
              <w:spacing w:after="0"/>
            </w:pPr>
            <w:r>
              <w:rPr>
                <w:sz w:val="16"/>
              </w:rPr>
              <w:t>Origin feature rebuild</w:t>
            </w:r>
          </w:p>
        </w:tc>
        <w:tc>
          <w:tcPr>
            <w:tcW w:type="dxa" w:w="1440"/>
            <w:tcMar>
              <w:top w:w="80" w:type="dxa"/>
              <w:start w:w="80" w:type="dxa"/>
              <w:bottom w:w="80" w:type="dxa"/>
              <w:end w:w="80" w:type="dxa"/>
            </w:tcMar>
            <w:vAlign w:val="center"/>
          </w:tcPr>
          <w:p>
            <w:pPr>
              <w:spacing w:after="0"/>
            </w:pPr>
            <w:r>
              <w:rPr>
                <w:sz w:val="16"/>
              </w:rPr>
              <w:t>24 audit records</w:t>
            </w:r>
          </w:p>
        </w:tc>
        <w:tc>
          <w:tcPr>
            <w:tcW w:type="dxa" w:w="6480"/>
            <w:tcMar>
              <w:top w:w="80" w:type="dxa"/>
              <w:start w:w="80" w:type="dxa"/>
              <w:bottom w:w="80" w:type="dxa"/>
              <w:end w:w="80" w:type="dxa"/>
            </w:tcMar>
            <w:vAlign w:val="center"/>
          </w:tcPr>
          <w:p>
            <w:pPr>
              <w:spacing w:after="0"/>
            </w:pPr>
            <w:r>
              <w:rPr>
                <w:sz w:val="16"/>
              </w:rPr>
              <w:t>Historical profile/climatology values are rebuilt from each origin rather than copied from a later information state.</w:t>
            </w:r>
          </w:p>
        </w:tc>
      </w:tr>
      <w:tr>
        <w:tc>
          <w:tcPr>
            <w:tcW w:type="dxa" w:w="2376"/>
            <w:tcMar>
              <w:top w:w="80" w:type="dxa"/>
              <w:start w:w="80" w:type="dxa"/>
              <w:bottom w:w="80" w:type="dxa"/>
              <w:end w:w="80" w:type="dxa"/>
            </w:tcMar>
            <w:vAlign w:val="center"/>
            <w:shd w:fill="F7F9FB"/>
          </w:tcPr>
          <w:p>
            <w:pPr>
              <w:spacing w:after="0"/>
            </w:pPr>
            <w:r>
              <w:rPr>
                <w:sz w:val="16"/>
              </w:rPr>
              <w:t>Rolling-window self-test</w:t>
            </w:r>
          </w:p>
        </w:tc>
        <w:tc>
          <w:tcPr>
            <w:tcW w:type="dxa" w:w="1440"/>
            <w:tcMar>
              <w:top w:w="80" w:type="dxa"/>
              <w:start w:w="80" w:type="dxa"/>
              <w:bottom w:w="80" w:type="dxa"/>
              <w:end w:w="80" w:type="dxa"/>
            </w:tcMar>
            <w:vAlign w:val="center"/>
            <w:shd w:fill="F7F9FB"/>
          </w:tcPr>
          <w:p>
            <w:pPr>
              <w:spacing w:after="0"/>
            </w:pPr>
            <w:r>
              <w:rPr>
                <w:sz w:val="16"/>
              </w:rPr>
              <w:t>5/5 PASS</w:t>
            </w:r>
          </w:p>
        </w:tc>
        <w:tc>
          <w:tcPr>
            <w:tcW w:type="dxa" w:w="6480"/>
            <w:tcMar>
              <w:top w:w="80" w:type="dxa"/>
              <w:start w:w="80" w:type="dxa"/>
              <w:bottom w:w="80" w:type="dxa"/>
              <w:end w:w="80" w:type="dxa"/>
            </w:tcMar>
            <w:vAlign w:val="center"/>
            <w:shd w:fill="F7F9FB"/>
          </w:tcPr>
          <w:p>
            <w:pPr>
              <w:spacing w:after="0"/>
            </w:pPr>
            <w:r>
              <w:rPr>
                <w:sz w:val="16"/>
              </w:rPr>
              <w:t>September, December→March and January horizon logic works without hard-coded months.</w:t>
            </w:r>
          </w:p>
        </w:tc>
      </w:tr>
    </w:tbl>
    <w:p>
      <w:pPr>
        <w:spacing w:after="20"/>
      </w:pPr>
    </w:p>
    <w:tbl>
      <w:tblPr>
        <w:tblW w:type="auto" w:w="0"/>
        <w:jc w:val="center"/>
        <w:tblLayout w:type="autofit"/>
        <w:tblLook w:firstColumn="1" w:firstRow="1" w:lastColumn="0" w:lastRow="0" w:noHBand="0" w:noVBand="1" w:val="04A0"/>
      </w:tblPr>
      <w:tblGrid>
        <w:gridCol w:w="10123"/>
      </w:tblGrid>
      <w:tr>
        <w:tc>
          <w:tcPr>
            <w:tcW w:type="dxa" w:w="10123"/>
            <w:shd w:fill="FFF2CC"/>
            <w:tcMar>
              <w:top w:w="120" w:type="dxa"/>
              <w:start w:w="140" w:type="dxa"/>
              <w:bottom w:w="120" w:type="dxa"/>
              <w:end w:w="140" w:type="dxa"/>
            </w:tcMar>
          </w:tcPr>
          <w:p>
            <w:pPr>
              <w:spacing w:after="0"/>
            </w:pPr>
            <w:r>
              <w:rPr>
                <w:b/>
                <w:color w:val="BF9000"/>
              </w:rPr>
              <w:t xml:space="preserve">Why the per-origin rebuild is important  </w:t>
            </w:r>
            <w:r>
              <w:t>A historical row can be leakage-safe when created in Stage 2 but still be unsafe for an earlier backtest origin if its monthly profile was calculated using years that had not happened yet. Stage 3 therefore rebuilds those origin-dependent features again for each historical test.</w:t>
            </w:r>
          </w:p>
        </w:tc>
      </w:tr>
    </w:tbl>
    <w:p>
      <w:pPr>
        <w:spacing w:after="20"/>
      </w:pPr>
    </w:p>
    <w:p>
      <w:pPr>
        <w:pStyle w:val="Heading1"/>
      </w:pPr>
      <w:r>
        <w:t>8. Why These Forecasting Models Were Chosen</w:t>
      </w:r>
    </w:p>
    <w:p>
      <w:pPr>
        <w:spacing w:after="100"/>
      </w:pPr>
      <w:r>
        <w:t>The candidate set is intentionally diverse rather than large. It compares simple seasonal repetition, classical statistical time-series modelling, nonlinear tree ensembles, and weather/no-weather feature families. This directly tests the modelling tiers proposed in Assessment 1 while keeping the comparison explainable to a project panel.</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trPr>
        <w:tc>
          <w:tcPr>
            <w:tcW w:type="dxa" w:w="1728"/>
            <w:shd w:fill="17365D"/>
            <w:tcMar>
              <w:top w:w="80" w:type="dxa"/>
              <w:start w:w="80" w:type="dxa"/>
              <w:bottom w:w="80" w:type="dxa"/>
              <w:end w:w="80" w:type="dxa"/>
            </w:tcMar>
            <w:vAlign w:val="center"/>
          </w:tcPr>
          <w:p>
            <w:r>
              <w:rPr>
                <w:b/>
                <w:color w:val="FFFFFF"/>
                <w:sz w:val="15"/>
              </w:rPr>
              <w:t>Candidate</w:t>
            </w:r>
          </w:p>
        </w:tc>
        <w:tc>
          <w:tcPr>
            <w:tcW w:type="dxa" w:w="2232"/>
            <w:shd w:fill="17365D"/>
            <w:tcMar>
              <w:top w:w="80" w:type="dxa"/>
              <w:start w:w="80" w:type="dxa"/>
              <w:bottom w:w="80" w:type="dxa"/>
              <w:end w:w="80" w:type="dxa"/>
            </w:tcMar>
            <w:vAlign w:val="center"/>
          </w:tcPr>
          <w:p>
            <w:r>
              <w:rPr>
                <w:b/>
                <w:color w:val="FFFFFF"/>
                <w:sz w:val="15"/>
              </w:rPr>
              <w:t>Role in the experiment</w:t>
            </w:r>
          </w:p>
        </w:tc>
        <w:tc>
          <w:tcPr>
            <w:tcW w:type="dxa" w:w="3312"/>
            <w:shd w:fill="17365D"/>
            <w:tcMar>
              <w:top w:w="80" w:type="dxa"/>
              <w:start w:w="80" w:type="dxa"/>
              <w:bottom w:w="80" w:type="dxa"/>
              <w:end w:w="80" w:type="dxa"/>
            </w:tcMar>
            <w:vAlign w:val="center"/>
          </w:tcPr>
          <w:p>
            <w:r>
              <w:rPr>
                <w:b/>
                <w:color w:val="FFFFFF"/>
                <w:sz w:val="15"/>
              </w:rPr>
              <w:t>Why it is useful</w:t>
            </w:r>
          </w:p>
        </w:tc>
        <w:tc>
          <w:tcPr>
            <w:tcW w:type="dxa" w:w="3168"/>
            <w:shd w:fill="17365D"/>
            <w:tcMar>
              <w:top w:w="80" w:type="dxa"/>
              <w:start w:w="80" w:type="dxa"/>
              <w:bottom w:w="80" w:type="dxa"/>
              <w:end w:w="80" w:type="dxa"/>
            </w:tcMar>
            <w:vAlign w:val="center"/>
          </w:tcPr>
          <w:p>
            <w:r>
              <w:rPr>
                <w:b/>
                <w:color w:val="FFFFFF"/>
                <w:sz w:val="15"/>
              </w:rPr>
              <w:t>Main limitation on this project</w:t>
            </w:r>
          </w:p>
        </w:tc>
      </w:tr>
      <w:tr>
        <w:tc>
          <w:tcPr>
            <w:tcW w:type="dxa" w:w="1728"/>
            <w:tcMar>
              <w:top w:w="80" w:type="dxa"/>
              <w:start w:w="80" w:type="dxa"/>
              <w:bottom w:w="80" w:type="dxa"/>
              <w:end w:w="80" w:type="dxa"/>
            </w:tcMar>
            <w:vAlign w:val="center"/>
          </w:tcPr>
          <w:p>
            <w:pPr>
              <w:spacing w:after="0"/>
            </w:pPr>
            <w:r>
              <w:rPr>
                <w:sz w:val="15"/>
              </w:rPr>
              <w:t>Naive48</w:t>
            </w:r>
          </w:p>
        </w:tc>
        <w:tc>
          <w:tcPr>
            <w:tcW w:type="dxa" w:w="2232"/>
            <w:tcMar>
              <w:top w:w="80" w:type="dxa"/>
              <w:start w:w="80" w:type="dxa"/>
              <w:bottom w:w="80" w:type="dxa"/>
              <w:end w:w="80" w:type="dxa"/>
            </w:tcMar>
            <w:vAlign w:val="center"/>
          </w:tcPr>
          <w:p>
            <w:pPr>
              <w:spacing w:after="0"/>
            </w:pPr>
            <w:r>
              <w:rPr>
                <w:sz w:val="15"/>
              </w:rPr>
              <w:t>Daily seasonal baseline</w:t>
            </w:r>
          </w:p>
        </w:tc>
        <w:tc>
          <w:tcPr>
            <w:tcW w:type="dxa" w:w="3312"/>
            <w:tcMar>
              <w:top w:w="80" w:type="dxa"/>
              <w:start w:w="80" w:type="dxa"/>
              <w:bottom w:w="80" w:type="dxa"/>
              <w:end w:w="80" w:type="dxa"/>
            </w:tcMar>
            <w:vAlign w:val="center"/>
          </w:tcPr>
          <w:p>
            <w:pPr>
              <w:spacing w:after="0"/>
            </w:pPr>
            <w:r>
              <w:rPr>
                <w:sz w:val="15"/>
              </w:rPr>
              <w:t>Repeats the same half-hour from the previous day; establishes a minimum standard.</w:t>
            </w:r>
          </w:p>
        </w:tc>
        <w:tc>
          <w:tcPr>
            <w:tcW w:type="dxa" w:w="3168"/>
            <w:tcMar>
              <w:top w:w="80" w:type="dxa"/>
              <w:start w:w="80" w:type="dxa"/>
              <w:bottom w:w="80" w:type="dxa"/>
              <w:end w:w="80" w:type="dxa"/>
            </w:tcMar>
            <w:vAlign w:val="center"/>
          </w:tcPr>
          <w:p>
            <w:pPr>
              <w:spacing w:after="0"/>
            </w:pPr>
            <w:r>
              <w:rPr>
                <w:sz w:val="15"/>
              </w:rPr>
              <w:t>Cannot adapt to trend or calendar effects.</w:t>
            </w:r>
          </w:p>
        </w:tc>
      </w:tr>
      <w:tr>
        <w:tc>
          <w:tcPr>
            <w:tcW w:type="dxa" w:w="1728"/>
            <w:tcMar>
              <w:top w:w="80" w:type="dxa"/>
              <w:start w:w="80" w:type="dxa"/>
              <w:bottom w:w="80" w:type="dxa"/>
              <w:end w:w="80" w:type="dxa"/>
            </w:tcMar>
            <w:vAlign w:val="center"/>
            <w:shd w:fill="F7F9FB"/>
          </w:tcPr>
          <w:p>
            <w:pPr>
              <w:spacing w:after="0"/>
            </w:pPr>
            <w:r>
              <w:rPr>
                <w:sz w:val="15"/>
              </w:rPr>
              <w:t>Naive336</w:t>
            </w:r>
          </w:p>
        </w:tc>
        <w:tc>
          <w:tcPr>
            <w:tcW w:type="dxa" w:w="2232"/>
            <w:tcMar>
              <w:top w:w="80" w:type="dxa"/>
              <w:start w:w="80" w:type="dxa"/>
              <w:bottom w:w="80" w:type="dxa"/>
              <w:end w:w="80" w:type="dxa"/>
            </w:tcMar>
            <w:vAlign w:val="center"/>
            <w:shd w:fill="F7F9FB"/>
          </w:tcPr>
          <w:p>
            <w:pPr>
              <w:spacing w:after="0"/>
            </w:pPr>
            <w:r>
              <w:rPr>
                <w:sz w:val="15"/>
              </w:rPr>
              <w:t>Weekly seasonal baseline</w:t>
            </w:r>
          </w:p>
        </w:tc>
        <w:tc>
          <w:tcPr>
            <w:tcW w:type="dxa" w:w="3312"/>
            <w:tcMar>
              <w:top w:w="80" w:type="dxa"/>
              <w:start w:w="80" w:type="dxa"/>
              <w:bottom w:w="80" w:type="dxa"/>
              <w:end w:w="80" w:type="dxa"/>
            </w:tcMar>
            <w:vAlign w:val="center"/>
            <w:shd w:fill="F7F9FB"/>
          </w:tcPr>
          <w:p>
            <w:pPr>
              <w:spacing w:after="0"/>
            </w:pPr>
            <w:r>
              <w:rPr>
                <w:sz w:val="15"/>
              </w:rPr>
              <w:t>Repeats the same half-hour from the previous week; strong benchmark for weekly load cycles.</w:t>
            </w:r>
          </w:p>
        </w:tc>
        <w:tc>
          <w:tcPr>
            <w:tcW w:type="dxa" w:w="3168"/>
            <w:tcMar>
              <w:top w:w="80" w:type="dxa"/>
              <w:start w:w="80" w:type="dxa"/>
              <w:bottom w:w="80" w:type="dxa"/>
              <w:end w:w="80" w:type="dxa"/>
            </w:tcMar>
            <w:vAlign w:val="center"/>
            <w:shd w:fill="F7F9FB"/>
          </w:tcPr>
          <w:p>
            <w:pPr>
              <w:spacing w:after="0"/>
            </w:pPr>
            <w:r>
              <w:rPr>
                <w:sz w:val="15"/>
              </w:rPr>
              <w:t>Cannot adapt to changing conditions.</w:t>
            </w:r>
          </w:p>
        </w:tc>
      </w:tr>
      <w:tr>
        <w:tc>
          <w:tcPr>
            <w:tcW w:type="dxa" w:w="1728"/>
            <w:tcMar>
              <w:top w:w="80" w:type="dxa"/>
              <w:start w:w="80" w:type="dxa"/>
              <w:bottom w:w="80" w:type="dxa"/>
              <w:end w:w="80" w:type="dxa"/>
            </w:tcMar>
            <w:vAlign w:val="center"/>
          </w:tcPr>
          <w:p>
            <w:pPr>
              <w:spacing w:after="0"/>
            </w:pPr>
            <w:r>
              <w:rPr>
                <w:sz w:val="15"/>
              </w:rPr>
              <w:t>RandomForest_A</w:t>
            </w:r>
          </w:p>
        </w:tc>
        <w:tc>
          <w:tcPr>
            <w:tcW w:type="dxa" w:w="2232"/>
            <w:tcMar>
              <w:top w:w="80" w:type="dxa"/>
              <w:start w:w="80" w:type="dxa"/>
              <w:bottom w:w="80" w:type="dxa"/>
              <w:end w:w="80" w:type="dxa"/>
            </w:tcMar>
            <w:vAlign w:val="center"/>
          </w:tcPr>
          <w:p>
            <w:pPr>
              <w:spacing w:after="0"/>
            </w:pPr>
            <w:r>
              <w:rPr>
                <w:sz w:val="15"/>
              </w:rPr>
              <w:t>ML with 39 demand/calendar/history features</w:t>
            </w:r>
          </w:p>
        </w:tc>
        <w:tc>
          <w:tcPr>
            <w:tcW w:type="dxa" w:w="3312"/>
            <w:tcMar>
              <w:top w:w="80" w:type="dxa"/>
              <w:start w:w="80" w:type="dxa"/>
              <w:bottom w:w="80" w:type="dxa"/>
              <w:end w:w="80" w:type="dxa"/>
            </w:tcMar>
            <w:vAlign w:val="center"/>
          </w:tcPr>
          <w:p>
            <w:pPr>
              <w:spacing w:after="0"/>
            </w:pPr>
            <w:r>
              <w:rPr>
                <w:sz w:val="15"/>
              </w:rPr>
              <w:t>Nonlinear, robust, naturally handles interactions and exposes feature importance.</w:t>
            </w:r>
          </w:p>
        </w:tc>
        <w:tc>
          <w:tcPr>
            <w:tcW w:type="dxa" w:w="3168"/>
            <w:tcMar>
              <w:top w:w="80" w:type="dxa"/>
              <w:start w:w="80" w:type="dxa"/>
              <w:bottom w:w="80" w:type="dxa"/>
              <w:end w:w="80" w:type="dxa"/>
            </w:tcMar>
            <w:vAlign w:val="center"/>
          </w:tcPr>
          <w:p>
            <w:pPr>
              <w:spacing w:after="0"/>
            </w:pPr>
            <w:r>
              <w:rPr>
                <w:sz w:val="15"/>
              </w:rPr>
              <w:t>Recursive horizon can still accumulate error; no future weather.</w:t>
            </w:r>
          </w:p>
        </w:tc>
      </w:tr>
      <w:tr>
        <w:tc>
          <w:tcPr>
            <w:tcW w:type="dxa" w:w="1728"/>
            <w:tcMar>
              <w:top w:w="80" w:type="dxa"/>
              <w:start w:w="80" w:type="dxa"/>
              <w:bottom w:w="80" w:type="dxa"/>
              <w:end w:w="80" w:type="dxa"/>
            </w:tcMar>
            <w:vAlign w:val="center"/>
            <w:shd w:fill="F7F9FB"/>
          </w:tcPr>
          <w:p>
            <w:pPr>
              <w:spacing w:after="0"/>
            </w:pPr>
            <w:r>
              <w:rPr>
                <w:sz w:val="15"/>
              </w:rPr>
              <w:t>RandomForest_B</w:t>
            </w:r>
          </w:p>
        </w:tc>
        <w:tc>
          <w:tcPr>
            <w:tcW w:type="dxa" w:w="2232"/>
            <w:tcMar>
              <w:top w:w="80" w:type="dxa"/>
              <w:start w:w="80" w:type="dxa"/>
              <w:bottom w:w="80" w:type="dxa"/>
              <w:end w:w="80" w:type="dxa"/>
            </w:tcMar>
            <w:vAlign w:val="center"/>
            <w:shd w:fill="F7F9FB"/>
          </w:tcPr>
          <w:p>
            <w:pPr>
              <w:spacing w:after="0"/>
            </w:pPr>
            <w:r>
              <w:rPr>
                <w:sz w:val="15"/>
              </w:rPr>
              <w:t>ML with 54 features including weather</w:t>
            </w:r>
          </w:p>
        </w:tc>
        <w:tc>
          <w:tcPr>
            <w:tcW w:type="dxa" w:w="3312"/>
            <w:tcMar>
              <w:top w:w="80" w:type="dxa"/>
              <w:start w:w="80" w:type="dxa"/>
              <w:bottom w:w="80" w:type="dxa"/>
              <w:end w:w="80" w:type="dxa"/>
            </w:tcMar>
            <w:vAlign w:val="center"/>
            <w:shd w:fill="F7F9FB"/>
          </w:tcPr>
          <w:p>
            <w:pPr>
              <w:spacing w:after="0"/>
            </w:pPr>
            <w:r>
              <w:rPr>
                <w:sz w:val="15"/>
              </w:rPr>
              <w:t>Tests whether weather adds measurable value on top of A.</w:t>
            </w:r>
          </w:p>
        </w:tc>
        <w:tc>
          <w:tcPr>
            <w:tcW w:type="dxa" w:w="3168"/>
            <w:tcMar>
              <w:top w:w="80" w:type="dxa"/>
              <w:start w:w="80" w:type="dxa"/>
              <w:bottom w:w="80" w:type="dxa"/>
              <w:end w:w="80" w:type="dxa"/>
            </w:tcMar>
            <w:vAlign w:val="center"/>
            <w:shd w:fill="F7F9FB"/>
          </w:tcPr>
          <w:p>
            <w:pPr>
              <w:spacing w:after="0"/>
            </w:pPr>
            <w:r>
              <w:rPr>
                <w:sz w:val="15"/>
              </w:rPr>
              <w:t>Only seven days of genuine live forecast weather; later horizon relies on climatology.</w:t>
            </w:r>
          </w:p>
        </w:tc>
      </w:tr>
      <w:tr>
        <w:tc>
          <w:tcPr>
            <w:tcW w:type="dxa" w:w="1728"/>
            <w:tcMar>
              <w:top w:w="80" w:type="dxa"/>
              <w:start w:w="80" w:type="dxa"/>
              <w:bottom w:w="80" w:type="dxa"/>
              <w:end w:w="80" w:type="dxa"/>
            </w:tcMar>
            <w:vAlign w:val="center"/>
          </w:tcPr>
          <w:p>
            <w:pPr>
              <w:spacing w:after="0"/>
            </w:pPr>
            <w:r>
              <w:rPr>
                <w:sz w:val="15"/>
              </w:rPr>
              <w:t>XGBoost_A/B</w:t>
            </w:r>
          </w:p>
        </w:tc>
        <w:tc>
          <w:tcPr>
            <w:tcW w:type="dxa" w:w="2232"/>
            <w:tcMar>
              <w:top w:w="80" w:type="dxa"/>
              <w:start w:w="80" w:type="dxa"/>
              <w:bottom w:w="80" w:type="dxa"/>
              <w:end w:w="80" w:type="dxa"/>
            </w:tcMar>
            <w:vAlign w:val="center"/>
          </w:tcPr>
          <w:p>
            <w:pPr>
              <w:spacing w:after="0"/>
            </w:pPr>
            <w:r>
              <w:rPr>
                <w:sz w:val="15"/>
              </w:rPr>
              <w:t>Boosted-tree alternative</w:t>
            </w:r>
          </w:p>
        </w:tc>
        <w:tc>
          <w:tcPr>
            <w:tcW w:type="dxa" w:w="3312"/>
            <w:tcMar>
              <w:top w:w="80" w:type="dxa"/>
              <w:start w:w="80" w:type="dxa"/>
              <w:bottom w:w="80" w:type="dxa"/>
              <w:end w:w="80" w:type="dxa"/>
            </w:tcMar>
            <w:vAlign w:val="center"/>
          </w:tcPr>
          <w:p>
            <w:pPr>
              <w:spacing w:after="0"/>
            </w:pPr>
            <w:r>
              <w:rPr>
                <w:sz w:val="15"/>
              </w:rPr>
              <w:t>Tests whether sequential boosting improves on bagged trees.</w:t>
            </w:r>
          </w:p>
        </w:tc>
        <w:tc>
          <w:tcPr>
            <w:tcW w:type="dxa" w:w="3168"/>
            <w:tcMar>
              <w:top w:w="80" w:type="dxa"/>
              <w:start w:w="80" w:type="dxa"/>
              <w:bottom w:w="80" w:type="dxa"/>
              <w:end w:w="80" w:type="dxa"/>
            </w:tcMar>
            <w:vAlign w:val="center"/>
          </w:tcPr>
          <w:p>
            <w:pPr>
              <w:spacing w:after="0"/>
            </w:pPr>
            <w:r>
              <w:rPr>
                <w:sz w:val="15"/>
              </w:rPr>
              <w:t>More tuning-sensitive; did not beat RF in the final selection.</w:t>
            </w:r>
          </w:p>
        </w:tc>
      </w:tr>
      <w:tr>
        <w:tc>
          <w:tcPr>
            <w:tcW w:type="dxa" w:w="1728"/>
            <w:tcMar>
              <w:top w:w="80" w:type="dxa"/>
              <w:start w:w="80" w:type="dxa"/>
              <w:bottom w:w="80" w:type="dxa"/>
              <w:end w:w="80" w:type="dxa"/>
            </w:tcMar>
            <w:vAlign w:val="center"/>
            <w:shd w:fill="F7F9FB"/>
          </w:tcPr>
          <w:p>
            <w:pPr>
              <w:spacing w:after="0"/>
            </w:pPr>
            <w:r>
              <w:rPr>
                <w:sz w:val="15"/>
              </w:rPr>
              <w:t>SARIMA</w:t>
            </w:r>
          </w:p>
        </w:tc>
        <w:tc>
          <w:tcPr>
            <w:tcW w:type="dxa" w:w="2232"/>
            <w:tcMar>
              <w:top w:w="80" w:type="dxa"/>
              <w:start w:w="80" w:type="dxa"/>
              <w:bottom w:w="80" w:type="dxa"/>
              <w:end w:w="80" w:type="dxa"/>
            </w:tcMar>
            <w:vAlign w:val="center"/>
            <w:shd w:fill="F7F9FB"/>
          </w:tcPr>
          <w:p>
            <w:pPr>
              <w:spacing w:after="0"/>
            </w:pPr>
            <w:r>
              <w:rPr>
                <w:sz w:val="15"/>
              </w:rPr>
              <w:t>Classical statistical benchmark</w:t>
            </w:r>
          </w:p>
        </w:tc>
        <w:tc>
          <w:tcPr>
            <w:tcW w:type="dxa" w:w="3312"/>
            <w:tcMar>
              <w:top w:w="80" w:type="dxa"/>
              <w:start w:w="80" w:type="dxa"/>
              <w:bottom w:w="80" w:type="dxa"/>
              <w:end w:w="80" w:type="dxa"/>
            </w:tcMar>
            <w:vAlign w:val="center"/>
            <w:shd w:fill="F7F9FB"/>
          </w:tcPr>
          <w:p>
            <w:pPr>
              <w:spacing w:after="0"/>
            </w:pPr>
            <w:r>
              <w:rPr>
                <w:sz w:val="15"/>
              </w:rPr>
              <w:t>Represents the time-series model explicitly proposed in Assessment 1.</w:t>
            </w:r>
          </w:p>
        </w:tc>
        <w:tc>
          <w:tcPr>
            <w:tcW w:type="dxa" w:w="3168"/>
            <w:tcMar>
              <w:top w:w="80" w:type="dxa"/>
              <w:start w:w="80" w:type="dxa"/>
              <w:bottom w:w="80" w:type="dxa"/>
              <w:end w:w="80" w:type="dxa"/>
            </w:tcMar>
            <w:vAlign w:val="center"/>
            <w:shd w:fill="F7F9FB"/>
          </w:tcPr>
          <w:p>
            <w:pPr>
              <w:spacing w:after="0"/>
            </w:pPr>
            <w:r>
              <w:rPr>
                <w:sz w:val="15"/>
              </w:rPr>
              <w:t>Long seasonal extrapolation is computationally expensive and less stable over thousands of steps.</w:t>
            </w:r>
          </w:p>
        </w:tc>
      </w:tr>
      <w:tr>
        <w:tc>
          <w:tcPr>
            <w:tcW w:type="dxa" w:w="1728"/>
            <w:tcMar>
              <w:top w:w="80" w:type="dxa"/>
              <w:start w:w="80" w:type="dxa"/>
              <w:bottom w:w="80" w:type="dxa"/>
              <w:end w:w="80" w:type="dxa"/>
            </w:tcMar>
            <w:vAlign w:val="center"/>
          </w:tcPr>
          <w:p>
            <w:pPr>
              <w:spacing w:after="0"/>
            </w:pPr>
            <w:r>
              <w:rPr>
                <w:sz w:val="15"/>
              </w:rPr>
              <w:t>SARIMAX</w:t>
            </w:r>
          </w:p>
        </w:tc>
        <w:tc>
          <w:tcPr>
            <w:tcW w:type="dxa" w:w="2232"/>
            <w:tcMar>
              <w:top w:w="80" w:type="dxa"/>
              <w:start w:w="80" w:type="dxa"/>
              <w:bottom w:w="80" w:type="dxa"/>
              <w:end w:w="80" w:type="dxa"/>
            </w:tcMar>
            <w:vAlign w:val="center"/>
          </w:tcPr>
          <w:p>
            <w:pPr>
              <w:spacing w:after="0"/>
            </w:pPr>
            <w:r>
              <w:rPr>
                <w:sz w:val="15"/>
              </w:rPr>
              <w:t>SARIMA plus exogenous variables</w:t>
            </w:r>
          </w:p>
        </w:tc>
        <w:tc>
          <w:tcPr>
            <w:tcW w:type="dxa" w:w="3312"/>
            <w:tcMar>
              <w:top w:w="80" w:type="dxa"/>
              <w:start w:w="80" w:type="dxa"/>
              <w:bottom w:w="80" w:type="dxa"/>
              <w:end w:w="80" w:type="dxa"/>
            </w:tcMar>
            <w:vAlign w:val="center"/>
          </w:tcPr>
          <w:p>
            <w:pPr>
              <w:spacing w:after="0"/>
            </w:pPr>
            <w:r>
              <w:rPr>
                <w:sz w:val="15"/>
              </w:rPr>
              <w:t>Tests whether future-known exogenous structure improves the classical model.</w:t>
            </w:r>
          </w:p>
        </w:tc>
        <w:tc>
          <w:tcPr>
            <w:tcW w:type="dxa" w:w="3168"/>
            <w:tcMar>
              <w:top w:w="80" w:type="dxa"/>
              <w:start w:w="80" w:type="dxa"/>
              <w:bottom w:w="80" w:type="dxa"/>
              <w:end w:w="80" w:type="dxa"/>
            </w:tcMar>
            <w:vAlign w:val="center"/>
          </w:tcPr>
          <w:p>
            <w:pPr>
              <w:spacing w:after="0"/>
            </w:pPr>
            <w:r>
              <w:rPr>
                <w:sz w:val="15"/>
              </w:rPr>
              <w:t>Convergence/extrapolation warnings reduce deployment confidence.</w:t>
            </w:r>
          </w:p>
        </w:tc>
      </w:tr>
    </w:tbl>
    <w:p>
      <w:pPr>
        <w:spacing w:after="20"/>
      </w:pPr>
    </w:p>
    <w:p>
      <w:r>
        <w:br w:type="page"/>
      </w:r>
    </w:p>
    <w:p>
      <w:pPr>
        <w:pStyle w:val="Heading1"/>
      </w:pPr>
      <w:r>
        <w:t>9. Backtest Results and Final Model Selection</w:t>
      </w:r>
    </w:p>
    <w:p>
      <w:pPr>
        <w:jc w:val="center"/>
      </w:pPr>
      <w:r>
        <w:drawing>
          <wp:inline xmlns:a="http://schemas.openxmlformats.org/drawingml/2006/main" xmlns:pic="http://schemas.openxmlformats.org/drawingml/2006/picture">
            <wp:extent cx="6080760" cy="3111087"/>
            <wp:docPr id="5" name="Picture 5"/>
            <wp:cNvGraphicFramePr>
              <a:graphicFrameLocks noChangeAspect="1"/>
            </wp:cNvGraphicFramePr>
            <a:graphic>
              <a:graphicData uri="http://schemas.openxmlformats.org/drawingml/2006/picture">
                <pic:pic>
                  <pic:nvPicPr>
                    <pic:cNvPr id="0" name="05_model_mae_heatmap.png"/>
                    <pic:cNvPicPr/>
                  </pic:nvPicPr>
                  <pic:blipFill>
                    <a:blip r:embed="rId15"/>
                    <a:stretch>
                      <a:fillRect/>
                    </a:stretch>
                  </pic:blipFill>
                  <pic:spPr>
                    <a:xfrm>
                      <a:off x="0" y="0"/>
                      <a:ext cx="6080760" cy="3111087"/>
                    </a:xfrm>
                    <a:prstGeom prst="rect"/>
                  </pic:spPr>
                </pic:pic>
              </a:graphicData>
            </a:graphic>
          </wp:inline>
        </w:drawing>
      </w:r>
    </w:p>
    <w:p>
      <w:pPr>
        <w:pStyle w:val="Caption"/>
        <w:jc w:val="center"/>
      </w:pPr>
      <w:r>
        <w:t>Figure 5. Mean four-month MAE for all model families and regions. Lower values indicate better forecasting performance. The tree ensembles consistently sit below the seasonal and statistical alternatives.</w:t>
      </w:r>
    </w:p>
    <w:tbl>
      <w:tblPr>
        <w:tblStyle w:val="TableGrid"/>
        <w:tblW w:type="auto" w:w="0"/>
        <w:jc w:val="center"/>
        <w:tblLayout w:type="fixed"/>
        <w:tblLook w:firstColumn="1" w:firstRow="1" w:lastColumn="0" w:lastRow="0" w:noHBand="0" w:noVBand="1" w:val="04A0"/>
      </w:tblPr>
      <w:tblGrid>
        <w:gridCol w:w="1265"/>
        <w:gridCol w:w="1265"/>
        <w:gridCol w:w="1265"/>
        <w:gridCol w:w="1265"/>
        <w:gridCol w:w="1265"/>
        <w:gridCol w:w="1265"/>
        <w:gridCol w:w="1265"/>
        <w:gridCol w:w="1265"/>
      </w:tblGrid>
      <w:tr>
        <w:trPr>
          <w:tblHeader w:val="true"/>
        </w:trPr>
        <w:tc>
          <w:tcPr>
            <w:tcW w:type="dxa" w:w="1008"/>
            <w:shd w:fill="17365D"/>
            <w:tcMar>
              <w:top w:w="80" w:type="dxa"/>
              <w:start w:w="80" w:type="dxa"/>
              <w:bottom w:w="80" w:type="dxa"/>
              <w:end w:w="80" w:type="dxa"/>
            </w:tcMar>
            <w:vAlign w:val="center"/>
          </w:tcPr>
          <w:p>
            <w:r>
              <w:rPr>
                <w:b/>
                <w:color w:val="FFFFFF"/>
                <w:sz w:val="15"/>
              </w:rPr>
              <w:t>Region</w:t>
            </w:r>
          </w:p>
        </w:tc>
        <w:tc>
          <w:tcPr>
            <w:tcW w:type="dxa" w:w="1944"/>
            <w:shd w:fill="17365D"/>
            <w:tcMar>
              <w:top w:w="80" w:type="dxa"/>
              <w:start w:w="80" w:type="dxa"/>
              <w:bottom w:w="80" w:type="dxa"/>
              <w:end w:w="80" w:type="dxa"/>
            </w:tcMar>
            <w:vAlign w:val="center"/>
          </w:tcPr>
          <w:p>
            <w:r>
              <w:rPr>
                <w:b/>
                <w:color w:val="FFFFFF"/>
                <w:sz w:val="15"/>
              </w:rPr>
              <w:t>Selected model</w:t>
            </w:r>
          </w:p>
        </w:tc>
        <w:tc>
          <w:tcPr>
            <w:tcW w:type="dxa" w:w="648"/>
            <w:shd w:fill="17365D"/>
            <w:tcMar>
              <w:top w:w="80" w:type="dxa"/>
              <w:start w:w="80" w:type="dxa"/>
              <w:bottom w:w="80" w:type="dxa"/>
              <w:end w:w="80" w:type="dxa"/>
            </w:tcMar>
            <w:vAlign w:val="center"/>
          </w:tcPr>
          <w:p>
            <w:r>
              <w:rPr>
                <w:b/>
                <w:color w:val="FFFFFF"/>
                <w:sz w:val="15"/>
              </w:rPr>
              <w:t>Set</w:t>
            </w:r>
          </w:p>
        </w:tc>
        <w:tc>
          <w:tcPr>
            <w:tcW w:type="dxa" w:w="1080"/>
            <w:shd w:fill="17365D"/>
            <w:tcMar>
              <w:top w:w="80" w:type="dxa"/>
              <w:start w:w="80" w:type="dxa"/>
              <w:bottom w:w="80" w:type="dxa"/>
              <w:end w:w="80" w:type="dxa"/>
            </w:tcMar>
            <w:vAlign w:val="center"/>
          </w:tcPr>
          <w:p>
            <w:r>
              <w:rPr>
                <w:b/>
                <w:color w:val="FFFFFF"/>
                <w:sz w:val="15"/>
              </w:rPr>
              <w:t>MAE</w:t>
            </w:r>
          </w:p>
        </w:tc>
        <w:tc>
          <w:tcPr>
            <w:tcW w:type="dxa" w:w="1080"/>
            <w:shd w:fill="17365D"/>
            <w:tcMar>
              <w:top w:w="80" w:type="dxa"/>
              <w:start w:w="80" w:type="dxa"/>
              <w:bottom w:w="80" w:type="dxa"/>
              <w:end w:w="80" w:type="dxa"/>
            </w:tcMar>
            <w:vAlign w:val="center"/>
          </w:tcPr>
          <w:p>
            <w:r>
              <w:rPr>
                <w:b/>
                <w:color w:val="FFFFFF"/>
                <w:sz w:val="15"/>
              </w:rPr>
              <w:t>RMSE</w:t>
            </w:r>
          </w:p>
        </w:tc>
        <w:tc>
          <w:tcPr>
            <w:tcW w:type="dxa" w:w="1008"/>
            <w:shd w:fill="17365D"/>
            <w:tcMar>
              <w:top w:w="80" w:type="dxa"/>
              <w:start w:w="80" w:type="dxa"/>
              <w:bottom w:w="80" w:type="dxa"/>
              <w:end w:w="80" w:type="dxa"/>
            </w:tcMar>
            <w:vAlign w:val="center"/>
          </w:tcPr>
          <w:p>
            <w:r>
              <w:rPr>
                <w:b/>
                <w:color w:val="FFFFFF"/>
                <w:sz w:val="15"/>
              </w:rPr>
              <w:t>sMAPE</w:t>
            </w:r>
          </w:p>
        </w:tc>
        <w:tc>
          <w:tcPr>
            <w:tcW w:type="dxa" w:w="1008"/>
            <w:shd w:fill="17365D"/>
            <w:tcMar>
              <w:top w:w="80" w:type="dxa"/>
              <w:start w:w="80" w:type="dxa"/>
              <w:bottom w:w="80" w:type="dxa"/>
              <w:end w:w="80" w:type="dxa"/>
            </w:tcMar>
            <w:vAlign w:val="center"/>
          </w:tcPr>
          <w:p>
            <w:r>
              <w:rPr>
                <w:b/>
                <w:color w:val="FFFFFF"/>
                <w:sz w:val="15"/>
              </w:rPr>
              <w:t>Bias</w:t>
            </w:r>
          </w:p>
        </w:tc>
        <w:tc>
          <w:tcPr>
            <w:tcW w:type="dxa" w:w="1224"/>
            <w:shd w:fill="17365D"/>
            <w:tcMar>
              <w:top w:w="80" w:type="dxa"/>
              <w:start w:w="80" w:type="dxa"/>
              <w:bottom w:w="80" w:type="dxa"/>
              <w:end w:w="80" w:type="dxa"/>
            </w:tcMar>
            <w:vAlign w:val="center"/>
          </w:tcPr>
          <w:p>
            <w:r>
              <w:rPr>
                <w:b/>
                <w:color w:val="FFFFFF"/>
                <w:sz w:val="15"/>
              </w:rPr>
              <w:t>Skill vs naive</w:t>
            </w:r>
          </w:p>
        </w:tc>
      </w:tr>
      <w:tr>
        <w:tc>
          <w:tcPr>
            <w:tcW w:type="dxa" w:w="1008"/>
            <w:tcMar>
              <w:top w:w="80" w:type="dxa"/>
              <w:start w:w="80" w:type="dxa"/>
              <w:bottom w:w="80" w:type="dxa"/>
              <w:end w:w="80" w:type="dxa"/>
            </w:tcMar>
            <w:vAlign w:val="center"/>
          </w:tcPr>
          <w:p>
            <w:pPr>
              <w:spacing w:after="0"/>
            </w:pPr>
            <w:r>
              <w:rPr>
                <w:sz w:val="15"/>
              </w:rPr>
              <w:t>NSW1</w:t>
            </w:r>
          </w:p>
        </w:tc>
        <w:tc>
          <w:tcPr>
            <w:tcW w:type="dxa" w:w="1944"/>
            <w:tcMar>
              <w:top w:w="80" w:type="dxa"/>
              <w:start w:w="80" w:type="dxa"/>
              <w:bottom w:w="80" w:type="dxa"/>
              <w:end w:w="80" w:type="dxa"/>
            </w:tcMar>
            <w:vAlign w:val="center"/>
          </w:tcPr>
          <w:p>
            <w:pPr>
              <w:spacing w:after="0"/>
            </w:pPr>
            <w:r>
              <w:rPr>
                <w:sz w:val="15"/>
              </w:rPr>
              <w:t>RandomForest_A</w:t>
            </w:r>
          </w:p>
        </w:tc>
        <w:tc>
          <w:tcPr>
            <w:tcW w:type="dxa" w:w="648"/>
            <w:tcMar>
              <w:top w:w="80" w:type="dxa"/>
              <w:start w:w="80" w:type="dxa"/>
              <w:bottom w:w="80" w:type="dxa"/>
              <w:end w:w="80" w:type="dxa"/>
            </w:tcMar>
            <w:vAlign w:val="center"/>
          </w:tcPr>
          <w:p>
            <w:pPr>
              <w:spacing w:after="0"/>
            </w:pPr>
            <w:r>
              <w:rPr>
                <w:sz w:val="15"/>
              </w:rPr>
              <w:t>A</w:t>
            </w:r>
          </w:p>
        </w:tc>
        <w:tc>
          <w:tcPr>
            <w:tcW w:type="dxa" w:w="1080"/>
            <w:tcMar>
              <w:top w:w="80" w:type="dxa"/>
              <w:start w:w="80" w:type="dxa"/>
              <w:bottom w:w="80" w:type="dxa"/>
              <w:end w:w="80" w:type="dxa"/>
            </w:tcMar>
            <w:vAlign w:val="center"/>
          </w:tcPr>
          <w:p>
            <w:pPr>
              <w:spacing w:after="0"/>
            </w:pPr>
            <w:r>
              <w:rPr>
                <w:sz w:val="15"/>
              </w:rPr>
              <w:t>596.8</w:t>
            </w:r>
          </w:p>
        </w:tc>
        <w:tc>
          <w:tcPr>
            <w:tcW w:type="dxa" w:w="1080"/>
            <w:tcMar>
              <w:top w:w="80" w:type="dxa"/>
              <w:start w:w="80" w:type="dxa"/>
              <w:bottom w:w="80" w:type="dxa"/>
              <w:end w:w="80" w:type="dxa"/>
            </w:tcMar>
            <w:vAlign w:val="center"/>
          </w:tcPr>
          <w:p>
            <w:pPr>
              <w:spacing w:after="0"/>
            </w:pPr>
            <w:r>
              <w:rPr>
                <w:sz w:val="15"/>
              </w:rPr>
              <w:t>886.1</w:t>
            </w:r>
          </w:p>
        </w:tc>
        <w:tc>
          <w:tcPr>
            <w:tcW w:type="dxa" w:w="1008"/>
            <w:tcMar>
              <w:top w:w="80" w:type="dxa"/>
              <w:start w:w="80" w:type="dxa"/>
              <w:bottom w:w="80" w:type="dxa"/>
              <w:end w:w="80" w:type="dxa"/>
            </w:tcMar>
            <w:vAlign w:val="center"/>
          </w:tcPr>
          <w:p>
            <w:pPr>
              <w:spacing w:after="0"/>
            </w:pPr>
            <w:r>
              <w:rPr>
                <w:sz w:val="15"/>
              </w:rPr>
              <w:t>9.04%</w:t>
            </w:r>
          </w:p>
        </w:tc>
        <w:tc>
          <w:tcPr>
            <w:tcW w:type="dxa" w:w="1008"/>
            <w:tcMar>
              <w:top w:w="80" w:type="dxa"/>
              <w:start w:w="80" w:type="dxa"/>
              <w:bottom w:w="80" w:type="dxa"/>
              <w:end w:w="80" w:type="dxa"/>
            </w:tcMar>
            <w:vAlign w:val="center"/>
          </w:tcPr>
          <w:p>
            <w:pPr>
              <w:spacing w:after="0"/>
            </w:pPr>
            <w:r>
              <w:rPr>
                <w:sz w:val="15"/>
              </w:rPr>
              <w:t>-46.4</w:t>
            </w:r>
          </w:p>
        </w:tc>
        <w:tc>
          <w:tcPr>
            <w:tcW w:type="dxa" w:w="1224"/>
            <w:tcMar>
              <w:top w:w="80" w:type="dxa"/>
              <w:start w:w="80" w:type="dxa"/>
              <w:bottom w:w="80" w:type="dxa"/>
              <w:end w:w="80" w:type="dxa"/>
            </w:tcMar>
            <w:vAlign w:val="center"/>
          </w:tcPr>
          <w:p>
            <w:pPr>
              <w:spacing w:after="0"/>
            </w:pPr>
            <w:r>
              <w:rPr>
                <w:sz w:val="15"/>
              </w:rPr>
              <w:t>+27.9%</w:t>
            </w:r>
          </w:p>
        </w:tc>
      </w:tr>
      <w:tr>
        <w:tc>
          <w:tcPr>
            <w:tcW w:type="dxa" w:w="1008"/>
            <w:tcMar>
              <w:top w:w="80" w:type="dxa"/>
              <w:start w:w="80" w:type="dxa"/>
              <w:bottom w:w="80" w:type="dxa"/>
              <w:end w:w="80" w:type="dxa"/>
            </w:tcMar>
            <w:vAlign w:val="center"/>
            <w:shd w:fill="F7F9FB"/>
          </w:tcPr>
          <w:p>
            <w:pPr>
              <w:spacing w:after="0"/>
            </w:pPr>
            <w:r>
              <w:rPr>
                <w:sz w:val="15"/>
              </w:rPr>
              <w:t>QLD1</w:t>
            </w:r>
          </w:p>
        </w:tc>
        <w:tc>
          <w:tcPr>
            <w:tcW w:type="dxa" w:w="1944"/>
            <w:tcMar>
              <w:top w:w="80" w:type="dxa"/>
              <w:start w:w="80" w:type="dxa"/>
              <w:bottom w:w="80" w:type="dxa"/>
              <w:end w:w="80" w:type="dxa"/>
            </w:tcMar>
            <w:vAlign w:val="center"/>
            <w:shd w:fill="F7F9FB"/>
          </w:tcPr>
          <w:p>
            <w:pPr>
              <w:spacing w:after="0"/>
            </w:pPr>
            <w:r>
              <w:rPr>
                <w:sz w:val="15"/>
              </w:rPr>
              <w:t>RandomForest_A</w:t>
            </w:r>
          </w:p>
        </w:tc>
        <w:tc>
          <w:tcPr>
            <w:tcW w:type="dxa" w:w="648"/>
            <w:tcMar>
              <w:top w:w="80" w:type="dxa"/>
              <w:start w:w="80" w:type="dxa"/>
              <w:bottom w:w="80" w:type="dxa"/>
              <w:end w:w="80" w:type="dxa"/>
            </w:tcMar>
            <w:vAlign w:val="center"/>
            <w:shd w:fill="F7F9FB"/>
          </w:tcPr>
          <w:p>
            <w:pPr>
              <w:spacing w:after="0"/>
            </w:pPr>
            <w:r>
              <w:rPr>
                <w:sz w:val="15"/>
              </w:rPr>
              <w:t>A</w:t>
            </w:r>
          </w:p>
        </w:tc>
        <w:tc>
          <w:tcPr>
            <w:tcW w:type="dxa" w:w="1080"/>
            <w:tcMar>
              <w:top w:w="80" w:type="dxa"/>
              <w:start w:w="80" w:type="dxa"/>
              <w:bottom w:w="80" w:type="dxa"/>
              <w:end w:w="80" w:type="dxa"/>
            </w:tcMar>
            <w:vAlign w:val="center"/>
            <w:shd w:fill="F7F9FB"/>
          </w:tcPr>
          <w:p>
            <w:pPr>
              <w:spacing w:after="0"/>
            </w:pPr>
            <w:r>
              <w:rPr>
                <w:sz w:val="15"/>
              </w:rPr>
              <w:t>439.1</w:t>
            </w:r>
          </w:p>
        </w:tc>
        <w:tc>
          <w:tcPr>
            <w:tcW w:type="dxa" w:w="1080"/>
            <w:tcMar>
              <w:top w:w="80" w:type="dxa"/>
              <w:start w:w="80" w:type="dxa"/>
              <w:bottom w:w="80" w:type="dxa"/>
              <w:end w:w="80" w:type="dxa"/>
            </w:tcMar>
            <w:vAlign w:val="center"/>
            <w:shd w:fill="F7F9FB"/>
          </w:tcPr>
          <w:p>
            <w:pPr>
              <w:spacing w:after="0"/>
            </w:pPr>
            <w:r>
              <w:rPr>
                <w:sz w:val="15"/>
              </w:rPr>
              <w:t>624.6</w:t>
            </w:r>
          </w:p>
        </w:tc>
        <w:tc>
          <w:tcPr>
            <w:tcW w:type="dxa" w:w="1008"/>
            <w:tcMar>
              <w:top w:w="80" w:type="dxa"/>
              <w:start w:w="80" w:type="dxa"/>
              <w:bottom w:w="80" w:type="dxa"/>
              <w:end w:w="80" w:type="dxa"/>
            </w:tcMar>
            <w:vAlign w:val="center"/>
            <w:shd w:fill="F7F9FB"/>
          </w:tcPr>
          <w:p>
            <w:pPr>
              <w:spacing w:after="0"/>
            </w:pPr>
            <w:r>
              <w:rPr>
                <w:sz w:val="15"/>
              </w:rPr>
              <w:t>7.54%</w:t>
            </w:r>
          </w:p>
        </w:tc>
        <w:tc>
          <w:tcPr>
            <w:tcW w:type="dxa" w:w="1008"/>
            <w:tcMar>
              <w:top w:w="80" w:type="dxa"/>
              <w:start w:w="80" w:type="dxa"/>
              <w:bottom w:w="80" w:type="dxa"/>
              <w:end w:w="80" w:type="dxa"/>
            </w:tcMar>
            <w:vAlign w:val="center"/>
            <w:shd w:fill="F7F9FB"/>
          </w:tcPr>
          <w:p>
            <w:pPr>
              <w:spacing w:after="0"/>
            </w:pPr>
            <w:r>
              <w:rPr>
                <w:sz w:val="15"/>
              </w:rPr>
              <w:t>-183.5</w:t>
            </w:r>
          </w:p>
        </w:tc>
        <w:tc>
          <w:tcPr>
            <w:tcW w:type="dxa" w:w="1224"/>
            <w:tcMar>
              <w:top w:w="80" w:type="dxa"/>
              <w:start w:w="80" w:type="dxa"/>
              <w:bottom w:w="80" w:type="dxa"/>
              <w:end w:w="80" w:type="dxa"/>
            </w:tcMar>
            <w:vAlign w:val="center"/>
            <w:shd w:fill="F7F9FB"/>
          </w:tcPr>
          <w:p>
            <w:pPr>
              <w:spacing w:after="0"/>
            </w:pPr>
            <w:r>
              <w:rPr>
                <w:sz w:val="15"/>
              </w:rPr>
              <w:t>+28.3%</w:t>
            </w:r>
          </w:p>
        </w:tc>
      </w:tr>
      <w:tr>
        <w:tc>
          <w:tcPr>
            <w:tcW w:type="dxa" w:w="1008"/>
            <w:tcMar>
              <w:top w:w="80" w:type="dxa"/>
              <w:start w:w="80" w:type="dxa"/>
              <w:bottom w:w="80" w:type="dxa"/>
              <w:end w:w="80" w:type="dxa"/>
            </w:tcMar>
            <w:vAlign w:val="center"/>
          </w:tcPr>
          <w:p>
            <w:pPr>
              <w:spacing w:after="0"/>
            </w:pPr>
            <w:r>
              <w:rPr>
                <w:sz w:val="15"/>
              </w:rPr>
              <w:t>VIC1</w:t>
            </w:r>
          </w:p>
        </w:tc>
        <w:tc>
          <w:tcPr>
            <w:tcW w:type="dxa" w:w="1944"/>
            <w:tcMar>
              <w:top w:w="80" w:type="dxa"/>
              <w:start w:w="80" w:type="dxa"/>
              <w:bottom w:w="80" w:type="dxa"/>
              <w:end w:w="80" w:type="dxa"/>
            </w:tcMar>
            <w:vAlign w:val="center"/>
          </w:tcPr>
          <w:p>
            <w:pPr>
              <w:spacing w:after="0"/>
            </w:pPr>
            <w:r>
              <w:rPr>
                <w:sz w:val="15"/>
              </w:rPr>
              <w:t>RandomForest_A</w:t>
            </w:r>
          </w:p>
        </w:tc>
        <w:tc>
          <w:tcPr>
            <w:tcW w:type="dxa" w:w="648"/>
            <w:tcMar>
              <w:top w:w="80" w:type="dxa"/>
              <w:start w:w="80" w:type="dxa"/>
              <w:bottom w:w="80" w:type="dxa"/>
              <w:end w:w="80" w:type="dxa"/>
            </w:tcMar>
            <w:vAlign w:val="center"/>
          </w:tcPr>
          <w:p>
            <w:pPr>
              <w:spacing w:after="0"/>
            </w:pPr>
            <w:r>
              <w:rPr>
                <w:sz w:val="15"/>
              </w:rPr>
              <w:t>A</w:t>
            </w:r>
          </w:p>
        </w:tc>
        <w:tc>
          <w:tcPr>
            <w:tcW w:type="dxa" w:w="1080"/>
            <w:tcMar>
              <w:top w:w="80" w:type="dxa"/>
              <w:start w:w="80" w:type="dxa"/>
              <w:bottom w:w="80" w:type="dxa"/>
              <w:end w:w="80" w:type="dxa"/>
            </w:tcMar>
            <w:vAlign w:val="center"/>
          </w:tcPr>
          <w:p>
            <w:pPr>
              <w:spacing w:after="0"/>
            </w:pPr>
            <w:r>
              <w:rPr>
                <w:sz w:val="15"/>
              </w:rPr>
              <w:t>458.2</w:t>
            </w:r>
          </w:p>
        </w:tc>
        <w:tc>
          <w:tcPr>
            <w:tcW w:type="dxa" w:w="1080"/>
            <w:tcMar>
              <w:top w:w="80" w:type="dxa"/>
              <w:start w:w="80" w:type="dxa"/>
              <w:bottom w:w="80" w:type="dxa"/>
              <w:end w:w="80" w:type="dxa"/>
            </w:tcMar>
            <w:vAlign w:val="center"/>
          </w:tcPr>
          <w:p>
            <w:pPr>
              <w:spacing w:after="0"/>
            </w:pPr>
            <w:r>
              <w:rPr>
                <w:sz w:val="15"/>
              </w:rPr>
              <w:t>641.0</w:t>
            </w:r>
          </w:p>
        </w:tc>
        <w:tc>
          <w:tcPr>
            <w:tcW w:type="dxa" w:w="1008"/>
            <w:tcMar>
              <w:top w:w="80" w:type="dxa"/>
              <w:start w:w="80" w:type="dxa"/>
              <w:bottom w:w="80" w:type="dxa"/>
              <w:end w:w="80" w:type="dxa"/>
            </w:tcMar>
            <w:vAlign w:val="center"/>
          </w:tcPr>
          <w:p>
            <w:pPr>
              <w:spacing w:after="0"/>
            </w:pPr>
            <w:r>
              <w:rPr>
                <w:sz w:val="15"/>
              </w:rPr>
              <w:t>11.39%</w:t>
            </w:r>
          </w:p>
        </w:tc>
        <w:tc>
          <w:tcPr>
            <w:tcW w:type="dxa" w:w="1008"/>
            <w:tcMar>
              <w:top w:w="80" w:type="dxa"/>
              <w:start w:w="80" w:type="dxa"/>
              <w:bottom w:w="80" w:type="dxa"/>
              <w:end w:w="80" w:type="dxa"/>
            </w:tcMar>
            <w:vAlign w:val="center"/>
          </w:tcPr>
          <w:p>
            <w:pPr>
              <w:spacing w:after="0"/>
            </w:pPr>
            <w:r>
              <w:rPr>
                <w:sz w:val="15"/>
              </w:rPr>
              <w:t>+48.1</w:t>
            </w:r>
          </w:p>
        </w:tc>
        <w:tc>
          <w:tcPr>
            <w:tcW w:type="dxa" w:w="1224"/>
            <w:tcMar>
              <w:top w:w="80" w:type="dxa"/>
              <w:start w:w="80" w:type="dxa"/>
              <w:bottom w:w="80" w:type="dxa"/>
              <w:end w:w="80" w:type="dxa"/>
            </w:tcMar>
            <w:vAlign w:val="center"/>
          </w:tcPr>
          <w:p>
            <w:pPr>
              <w:spacing w:after="0"/>
            </w:pPr>
            <w:r>
              <w:rPr>
                <w:sz w:val="15"/>
              </w:rPr>
              <w:t>+32.2%</w:t>
            </w:r>
          </w:p>
        </w:tc>
      </w:tr>
      <w:tr>
        <w:tc>
          <w:tcPr>
            <w:tcW w:type="dxa" w:w="1008"/>
            <w:tcMar>
              <w:top w:w="80" w:type="dxa"/>
              <w:start w:w="80" w:type="dxa"/>
              <w:bottom w:w="80" w:type="dxa"/>
              <w:end w:w="80" w:type="dxa"/>
            </w:tcMar>
            <w:vAlign w:val="center"/>
            <w:shd w:fill="F7F9FB"/>
          </w:tcPr>
          <w:p>
            <w:pPr>
              <w:spacing w:after="0"/>
            </w:pPr>
            <w:r>
              <w:rPr>
                <w:sz w:val="15"/>
              </w:rPr>
              <w:t>SA1</w:t>
            </w:r>
          </w:p>
        </w:tc>
        <w:tc>
          <w:tcPr>
            <w:tcW w:type="dxa" w:w="1944"/>
            <w:tcMar>
              <w:top w:w="80" w:type="dxa"/>
              <w:start w:w="80" w:type="dxa"/>
              <w:bottom w:w="80" w:type="dxa"/>
              <w:end w:w="80" w:type="dxa"/>
            </w:tcMar>
            <w:vAlign w:val="center"/>
            <w:shd w:fill="F7F9FB"/>
          </w:tcPr>
          <w:p>
            <w:pPr>
              <w:spacing w:after="0"/>
            </w:pPr>
            <w:r>
              <w:rPr>
                <w:sz w:val="15"/>
              </w:rPr>
              <w:t>RandomForest_B</w:t>
            </w:r>
          </w:p>
        </w:tc>
        <w:tc>
          <w:tcPr>
            <w:tcW w:type="dxa" w:w="648"/>
            <w:tcMar>
              <w:top w:w="80" w:type="dxa"/>
              <w:start w:w="80" w:type="dxa"/>
              <w:bottom w:w="80" w:type="dxa"/>
              <w:end w:w="80" w:type="dxa"/>
            </w:tcMar>
            <w:vAlign w:val="center"/>
            <w:shd w:fill="F7F9FB"/>
          </w:tcPr>
          <w:p>
            <w:pPr>
              <w:spacing w:after="0"/>
            </w:pPr>
            <w:r>
              <w:rPr>
                <w:sz w:val="15"/>
              </w:rPr>
              <w:t>B</w:t>
            </w:r>
          </w:p>
        </w:tc>
        <w:tc>
          <w:tcPr>
            <w:tcW w:type="dxa" w:w="1080"/>
            <w:tcMar>
              <w:top w:w="80" w:type="dxa"/>
              <w:start w:w="80" w:type="dxa"/>
              <w:bottom w:w="80" w:type="dxa"/>
              <w:end w:w="80" w:type="dxa"/>
            </w:tcMar>
            <w:vAlign w:val="center"/>
            <w:shd w:fill="F7F9FB"/>
          </w:tcPr>
          <w:p>
            <w:pPr>
              <w:spacing w:after="0"/>
            </w:pPr>
            <w:r>
              <w:rPr>
                <w:sz w:val="15"/>
              </w:rPr>
              <w:t>183.1</w:t>
            </w:r>
          </w:p>
        </w:tc>
        <w:tc>
          <w:tcPr>
            <w:tcW w:type="dxa" w:w="1080"/>
            <w:tcMar>
              <w:top w:w="80" w:type="dxa"/>
              <w:start w:w="80" w:type="dxa"/>
              <w:bottom w:w="80" w:type="dxa"/>
              <w:end w:w="80" w:type="dxa"/>
            </w:tcMar>
            <w:vAlign w:val="center"/>
            <w:shd w:fill="F7F9FB"/>
          </w:tcPr>
          <w:p>
            <w:pPr>
              <w:spacing w:after="0"/>
            </w:pPr>
            <w:r>
              <w:rPr>
                <w:sz w:val="15"/>
              </w:rPr>
              <w:t>273.2</w:t>
            </w:r>
          </w:p>
        </w:tc>
        <w:tc>
          <w:tcPr>
            <w:tcW w:type="dxa" w:w="1008"/>
            <w:tcMar>
              <w:top w:w="80" w:type="dxa"/>
              <w:start w:w="80" w:type="dxa"/>
              <w:bottom w:w="80" w:type="dxa"/>
              <w:end w:w="80" w:type="dxa"/>
            </w:tcMar>
            <w:vAlign w:val="center"/>
            <w:shd w:fill="F7F9FB"/>
          </w:tcPr>
          <w:p>
            <w:pPr>
              <w:spacing w:after="0"/>
            </w:pPr>
            <w:r>
              <w:rPr>
                <w:sz w:val="15"/>
              </w:rPr>
              <w:t>24.73%</w:t>
            </w:r>
          </w:p>
        </w:tc>
        <w:tc>
          <w:tcPr>
            <w:tcW w:type="dxa" w:w="1008"/>
            <w:tcMar>
              <w:top w:w="80" w:type="dxa"/>
              <w:start w:w="80" w:type="dxa"/>
              <w:bottom w:w="80" w:type="dxa"/>
              <w:end w:w="80" w:type="dxa"/>
            </w:tcMar>
            <w:vAlign w:val="center"/>
            <w:shd w:fill="F7F9FB"/>
          </w:tcPr>
          <w:p>
            <w:pPr>
              <w:spacing w:after="0"/>
            </w:pPr>
            <w:r>
              <w:rPr>
                <w:sz w:val="15"/>
              </w:rPr>
              <w:t>+31.3</w:t>
            </w:r>
          </w:p>
        </w:tc>
        <w:tc>
          <w:tcPr>
            <w:tcW w:type="dxa" w:w="1224"/>
            <w:tcMar>
              <w:top w:w="80" w:type="dxa"/>
              <w:start w:w="80" w:type="dxa"/>
              <w:bottom w:w="80" w:type="dxa"/>
              <w:end w:w="80" w:type="dxa"/>
            </w:tcMar>
            <w:vAlign w:val="center"/>
            <w:shd w:fill="F7F9FB"/>
          </w:tcPr>
          <w:p>
            <w:pPr>
              <w:spacing w:after="0"/>
            </w:pPr>
            <w:r>
              <w:rPr>
                <w:sz w:val="15"/>
              </w:rPr>
              <w:t>+34.8%</w:t>
            </w:r>
          </w:p>
        </w:tc>
      </w:tr>
      <w:tr>
        <w:tc>
          <w:tcPr>
            <w:tcW w:type="dxa" w:w="1008"/>
            <w:tcMar>
              <w:top w:w="80" w:type="dxa"/>
              <w:start w:w="80" w:type="dxa"/>
              <w:bottom w:w="80" w:type="dxa"/>
              <w:end w:w="80" w:type="dxa"/>
            </w:tcMar>
            <w:vAlign w:val="center"/>
          </w:tcPr>
          <w:p>
            <w:pPr>
              <w:spacing w:after="0"/>
            </w:pPr>
            <w:r>
              <w:rPr>
                <w:sz w:val="15"/>
              </w:rPr>
              <w:t>TAS1</w:t>
            </w:r>
          </w:p>
        </w:tc>
        <w:tc>
          <w:tcPr>
            <w:tcW w:type="dxa" w:w="1944"/>
            <w:tcMar>
              <w:top w:w="80" w:type="dxa"/>
              <w:start w:w="80" w:type="dxa"/>
              <w:bottom w:w="80" w:type="dxa"/>
              <w:end w:w="80" w:type="dxa"/>
            </w:tcMar>
            <w:vAlign w:val="center"/>
          </w:tcPr>
          <w:p>
            <w:pPr>
              <w:spacing w:after="0"/>
            </w:pPr>
            <w:r>
              <w:rPr>
                <w:sz w:val="15"/>
              </w:rPr>
              <w:t>RandomForest_A</w:t>
            </w:r>
          </w:p>
        </w:tc>
        <w:tc>
          <w:tcPr>
            <w:tcW w:type="dxa" w:w="648"/>
            <w:tcMar>
              <w:top w:w="80" w:type="dxa"/>
              <w:start w:w="80" w:type="dxa"/>
              <w:bottom w:w="80" w:type="dxa"/>
              <w:end w:w="80" w:type="dxa"/>
            </w:tcMar>
            <w:vAlign w:val="center"/>
          </w:tcPr>
          <w:p>
            <w:pPr>
              <w:spacing w:after="0"/>
            </w:pPr>
            <w:r>
              <w:rPr>
                <w:sz w:val="15"/>
              </w:rPr>
              <w:t>A</w:t>
            </w:r>
          </w:p>
        </w:tc>
        <w:tc>
          <w:tcPr>
            <w:tcW w:type="dxa" w:w="1080"/>
            <w:tcMar>
              <w:top w:w="80" w:type="dxa"/>
              <w:start w:w="80" w:type="dxa"/>
              <w:bottom w:w="80" w:type="dxa"/>
              <w:end w:w="80" w:type="dxa"/>
            </w:tcMar>
            <w:vAlign w:val="center"/>
          </w:tcPr>
          <w:p>
            <w:pPr>
              <w:spacing w:after="0"/>
            </w:pPr>
            <w:r>
              <w:rPr>
                <w:sz w:val="15"/>
              </w:rPr>
              <w:t>70.2</w:t>
            </w:r>
          </w:p>
        </w:tc>
        <w:tc>
          <w:tcPr>
            <w:tcW w:type="dxa" w:w="1080"/>
            <w:tcMar>
              <w:top w:w="80" w:type="dxa"/>
              <w:start w:w="80" w:type="dxa"/>
              <w:bottom w:w="80" w:type="dxa"/>
              <w:end w:w="80" w:type="dxa"/>
            </w:tcMar>
            <w:vAlign w:val="center"/>
          </w:tcPr>
          <w:p>
            <w:pPr>
              <w:spacing w:after="0"/>
            </w:pPr>
            <w:r>
              <w:rPr>
                <w:sz w:val="15"/>
              </w:rPr>
              <w:t>88.8</w:t>
            </w:r>
          </w:p>
        </w:tc>
        <w:tc>
          <w:tcPr>
            <w:tcW w:type="dxa" w:w="1008"/>
            <w:tcMar>
              <w:top w:w="80" w:type="dxa"/>
              <w:start w:w="80" w:type="dxa"/>
              <w:bottom w:w="80" w:type="dxa"/>
              <w:end w:w="80" w:type="dxa"/>
            </w:tcMar>
            <w:vAlign w:val="center"/>
          </w:tcPr>
          <w:p>
            <w:pPr>
              <w:spacing w:after="0"/>
            </w:pPr>
            <w:r>
              <w:rPr>
                <w:sz w:val="15"/>
              </w:rPr>
              <w:t>6.84%</w:t>
            </w:r>
          </w:p>
        </w:tc>
        <w:tc>
          <w:tcPr>
            <w:tcW w:type="dxa" w:w="1008"/>
            <w:tcMar>
              <w:top w:w="80" w:type="dxa"/>
              <w:start w:w="80" w:type="dxa"/>
              <w:bottom w:w="80" w:type="dxa"/>
              <w:end w:w="80" w:type="dxa"/>
            </w:tcMar>
            <w:vAlign w:val="center"/>
          </w:tcPr>
          <w:p>
            <w:pPr>
              <w:spacing w:after="0"/>
            </w:pPr>
            <w:r>
              <w:rPr>
                <w:sz w:val="15"/>
              </w:rPr>
              <w:t>+41.3</w:t>
            </w:r>
          </w:p>
        </w:tc>
        <w:tc>
          <w:tcPr>
            <w:tcW w:type="dxa" w:w="1224"/>
            <w:tcMar>
              <w:top w:w="80" w:type="dxa"/>
              <w:start w:w="80" w:type="dxa"/>
              <w:bottom w:w="80" w:type="dxa"/>
              <w:end w:w="80" w:type="dxa"/>
            </w:tcMar>
            <w:vAlign w:val="center"/>
          </w:tcPr>
          <w:p>
            <w:pPr>
              <w:spacing w:after="0"/>
            </w:pPr>
            <w:r>
              <w:rPr>
                <w:sz w:val="15"/>
              </w:rPr>
              <w:t>+32.8%</w:t>
            </w:r>
          </w:p>
        </w:tc>
      </w:tr>
      <w:tr>
        <w:tc>
          <w:tcPr>
            <w:tcW w:type="dxa" w:w="1008"/>
            <w:tcMar>
              <w:top w:w="80" w:type="dxa"/>
              <w:start w:w="80" w:type="dxa"/>
              <w:bottom w:w="80" w:type="dxa"/>
              <w:end w:w="80" w:type="dxa"/>
            </w:tcMar>
            <w:vAlign w:val="center"/>
            <w:shd w:fill="F7F9FB"/>
          </w:tcPr>
          <w:p>
            <w:pPr>
              <w:spacing w:after="0"/>
            </w:pPr>
            <w:r>
              <w:rPr>
                <w:sz w:val="15"/>
              </w:rPr>
              <w:t>WA</w:t>
            </w:r>
          </w:p>
        </w:tc>
        <w:tc>
          <w:tcPr>
            <w:tcW w:type="dxa" w:w="1944"/>
            <w:tcMar>
              <w:top w:w="80" w:type="dxa"/>
              <w:start w:w="80" w:type="dxa"/>
              <w:bottom w:w="80" w:type="dxa"/>
              <w:end w:w="80" w:type="dxa"/>
            </w:tcMar>
            <w:vAlign w:val="center"/>
            <w:shd w:fill="F7F9FB"/>
          </w:tcPr>
          <w:p>
            <w:pPr>
              <w:spacing w:after="0"/>
            </w:pPr>
            <w:r>
              <w:rPr>
                <w:sz w:val="15"/>
              </w:rPr>
              <w:t>RandomForest_B</w:t>
            </w:r>
          </w:p>
        </w:tc>
        <w:tc>
          <w:tcPr>
            <w:tcW w:type="dxa" w:w="648"/>
            <w:tcMar>
              <w:top w:w="80" w:type="dxa"/>
              <w:start w:w="80" w:type="dxa"/>
              <w:bottom w:w="80" w:type="dxa"/>
              <w:end w:w="80" w:type="dxa"/>
            </w:tcMar>
            <w:vAlign w:val="center"/>
            <w:shd w:fill="F7F9FB"/>
          </w:tcPr>
          <w:p>
            <w:pPr>
              <w:spacing w:after="0"/>
            </w:pPr>
            <w:r>
              <w:rPr>
                <w:sz w:val="15"/>
              </w:rPr>
              <w:t>B</w:t>
            </w:r>
          </w:p>
        </w:tc>
        <w:tc>
          <w:tcPr>
            <w:tcW w:type="dxa" w:w="1080"/>
            <w:tcMar>
              <w:top w:w="80" w:type="dxa"/>
              <w:start w:w="80" w:type="dxa"/>
              <w:bottom w:w="80" w:type="dxa"/>
              <w:end w:w="80" w:type="dxa"/>
            </w:tcMar>
            <w:vAlign w:val="center"/>
            <w:shd w:fill="F7F9FB"/>
          </w:tcPr>
          <w:p>
            <w:pPr>
              <w:spacing w:after="0"/>
            </w:pPr>
            <w:r>
              <w:rPr>
                <w:sz w:val="15"/>
              </w:rPr>
              <w:t>206.5</w:t>
            </w:r>
          </w:p>
        </w:tc>
        <w:tc>
          <w:tcPr>
            <w:tcW w:type="dxa" w:w="1080"/>
            <w:tcMar>
              <w:top w:w="80" w:type="dxa"/>
              <w:start w:w="80" w:type="dxa"/>
              <w:bottom w:w="80" w:type="dxa"/>
              <w:end w:w="80" w:type="dxa"/>
            </w:tcMar>
            <w:vAlign w:val="center"/>
            <w:shd w:fill="F7F9FB"/>
          </w:tcPr>
          <w:p>
            <w:pPr>
              <w:spacing w:after="0"/>
            </w:pPr>
            <w:r>
              <w:rPr>
                <w:sz w:val="15"/>
              </w:rPr>
              <w:t>305.9</w:t>
            </w:r>
          </w:p>
        </w:tc>
        <w:tc>
          <w:tcPr>
            <w:tcW w:type="dxa" w:w="1008"/>
            <w:tcMar>
              <w:top w:w="80" w:type="dxa"/>
              <w:start w:w="80" w:type="dxa"/>
              <w:bottom w:w="80" w:type="dxa"/>
              <w:end w:w="80" w:type="dxa"/>
            </w:tcMar>
            <w:vAlign w:val="center"/>
            <w:shd w:fill="F7F9FB"/>
          </w:tcPr>
          <w:p>
            <w:pPr>
              <w:spacing w:after="0"/>
            </w:pPr>
            <w:r>
              <w:rPr>
                <w:sz w:val="15"/>
              </w:rPr>
              <w:t>11.50%</w:t>
            </w:r>
          </w:p>
        </w:tc>
        <w:tc>
          <w:tcPr>
            <w:tcW w:type="dxa" w:w="1008"/>
            <w:tcMar>
              <w:top w:w="80" w:type="dxa"/>
              <w:start w:w="80" w:type="dxa"/>
              <w:bottom w:w="80" w:type="dxa"/>
              <w:end w:w="80" w:type="dxa"/>
            </w:tcMar>
            <w:vAlign w:val="center"/>
            <w:shd w:fill="F7F9FB"/>
          </w:tcPr>
          <w:p>
            <w:pPr>
              <w:spacing w:after="0"/>
            </w:pPr>
            <w:r>
              <w:rPr>
                <w:sz w:val="15"/>
              </w:rPr>
              <w:t>-72.1</w:t>
            </w:r>
          </w:p>
        </w:tc>
        <w:tc>
          <w:tcPr>
            <w:tcW w:type="dxa" w:w="1224"/>
            <w:tcMar>
              <w:top w:w="80" w:type="dxa"/>
              <w:start w:w="80" w:type="dxa"/>
              <w:bottom w:w="80" w:type="dxa"/>
              <w:end w:w="80" w:type="dxa"/>
            </w:tcMar>
            <w:vAlign w:val="center"/>
            <w:shd w:fill="F7F9FB"/>
          </w:tcPr>
          <w:p>
            <w:pPr>
              <w:spacing w:after="0"/>
            </w:pPr>
            <w:r>
              <w:rPr>
                <w:sz w:val="15"/>
              </w:rPr>
              <w:t>+26.5%</w:t>
            </w:r>
          </w:p>
        </w:tc>
      </w:tr>
    </w:tbl>
    <w:p>
      <w:pPr>
        <w:spacing w:after="20"/>
      </w:pPr>
    </w:p>
    <w:p>
      <w:pPr>
        <w:jc w:val="center"/>
      </w:pPr>
      <w:r>
        <w:drawing>
          <wp:inline xmlns:a="http://schemas.openxmlformats.org/drawingml/2006/main" xmlns:pic="http://schemas.openxmlformats.org/drawingml/2006/picture">
            <wp:extent cx="5394960" cy="2483137"/>
            <wp:docPr id="6" name="Picture 6"/>
            <wp:cNvGraphicFramePr>
              <a:graphicFrameLocks noChangeAspect="1"/>
            </wp:cNvGraphicFramePr>
            <a:graphic>
              <a:graphicData uri="http://schemas.openxmlformats.org/drawingml/2006/picture">
                <pic:pic>
                  <pic:nvPicPr>
                    <pic:cNvPr id="0" name="skill_vs_naive.png"/>
                    <pic:cNvPicPr/>
                  </pic:nvPicPr>
                  <pic:blipFill>
                    <a:blip r:embed="rId16"/>
                    <a:stretch>
                      <a:fillRect/>
                    </a:stretch>
                  </pic:blipFill>
                  <pic:spPr>
                    <a:xfrm>
                      <a:off x="0" y="0"/>
                      <a:ext cx="5394960" cy="2483137"/>
                    </a:xfrm>
                    <a:prstGeom prst="rect"/>
                  </pic:spPr>
                </pic:pic>
              </a:graphicData>
            </a:graphic>
          </wp:inline>
        </w:drawing>
      </w:r>
    </w:p>
    <w:p>
      <w:pPr>
        <w:pStyle w:val="Caption"/>
        <w:jc w:val="center"/>
      </w:pPr>
      <w:r>
        <w:t>Figure 6. Skill of the selected model over the best seasonal-naive baseline. Every region exceeds the benchmark by more than 26%.</w:t>
      </w:r>
    </w:p>
    <w:p>
      <w:pPr>
        <w:spacing w:after="100"/>
      </w:pPr>
      <w:r>
        <w:t>Random Forest is selected in all six regions, but that does not mean one universal model is fitted across Australia. Each region is trained and scored separately. Four regions select the 39-feature no-weather configuration, while SA1 and WA select the 54-feature weather configuration. The result supports Assessment 1’s decision to model regions independently because scale, climate and load structure differ materially.</w:t>
      </w:r>
    </w:p>
    <w:p>
      <w:pPr>
        <w:spacing w:after="100"/>
      </w:pPr>
      <w:r>
        <w:t>The statistical models provide an important negative result. SARIMA and SARIMAX were not removed simply because they were slower: they were implemented and scored. Their four-month errors are generally above the seasonal-naive benchmarks and SARIMAX also produces warning/failure cases. This means the project has evidence for not selecting them, rather than an untested assumption.</w:t>
      </w:r>
    </w:p>
    <w:p>
      <w:pPr>
        <w:pStyle w:val="Heading1"/>
      </w:pPr>
      <w:r>
        <w:t>10. Did Weather Help? Model A versus Model B</w:t>
      </w:r>
    </w:p>
    <w:p>
      <w:pPr>
        <w:jc w:val="center"/>
      </w:pPr>
      <w:r>
        <w:drawing>
          <wp:inline xmlns:a="http://schemas.openxmlformats.org/drawingml/2006/main" xmlns:pic="http://schemas.openxmlformats.org/drawingml/2006/picture">
            <wp:extent cx="5760720" cy="3037471"/>
            <wp:docPr id="7" name="Picture 7"/>
            <wp:cNvGraphicFramePr>
              <a:graphicFrameLocks noChangeAspect="1"/>
            </wp:cNvGraphicFramePr>
            <a:graphic>
              <a:graphicData uri="http://schemas.openxmlformats.org/drawingml/2006/picture">
                <pic:pic>
                  <pic:nvPicPr>
                    <pic:cNvPr id="0" name="06_weather_ab_comparison.png"/>
                    <pic:cNvPicPr/>
                  </pic:nvPicPr>
                  <pic:blipFill>
                    <a:blip r:embed="rId17"/>
                    <a:stretch>
                      <a:fillRect/>
                    </a:stretch>
                  </pic:blipFill>
                  <pic:spPr>
                    <a:xfrm>
                      <a:off x="0" y="0"/>
                      <a:ext cx="5760720" cy="3037471"/>
                    </a:xfrm>
                    <a:prstGeom prst="rect"/>
                  </pic:spPr>
                </pic:pic>
              </a:graphicData>
            </a:graphic>
          </wp:inline>
        </w:drawing>
      </w:r>
    </w:p>
    <w:p>
      <w:pPr>
        <w:pStyle w:val="Caption"/>
        <w:jc w:val="center"/>
      </w:pPr>
      <w:r>
        <w:t>Figure 7. Incremental weather skill of Model B relative to Model A. Positive values favour B. Historical and live 2026 evidence is mixed, so weather is retained as a tested feature family rather than assumed to improve every region.</w:t>
      </w:r>
    </w:p>
    <w:tbl>
      <w:tblPr>
        <w:tblStyle w:val="TableGrid"/>
        <w:tblW w:type="auto" w:w="0"/>
        <w:jc w:val="center"/>
        <w:tblLayout w:type="fixed"/>
        <w:tblLook w:firstColumn="1" w:firstRow="1" w:lastColumn="0" w:lastRow="0" w:noHBand="0" w:noVBand="1" w:val="04A0"/>
      </w:tblPr>
      <w:tblGrid>
        <w:gridCol w:w="1446"/>
        <w:gridCol w:w="1446"/>
        <w:gridCol w:w="1446"/>
        <w:gridCol w:w="1446"/>
        <w:gridCol w:w="1446"/>
        <w:gridCol w:w="1446"/>
        <w:gridCol w:w="1446"/>
      </w:tblGrid>
      <w:tr>
        <w:trPr>
          <w:tblHeader w:val="true"/>
        </w:trPr>
        <w:tc>
          <w:tcPr>
            <w:tcW w:type="dxa" w:w="936"/>
            <w:shd w:fill="17365D"/>
            <w:tcMar>
              <w:top w:w="80" w:type="dxa"/>
              <w:start w:w="80" w:type="dxa"/>
              <w:bottom w:w="80" w:type="dxa"/>
              <w:end w:w="80" w:type="dxa"/>
            </w:tcMar>
            <w:vAlign w:val="center"/>
          </w:tcPr>
          <w:p>
            <w:r>
              <w:rPr>
                <w:b/>
                <w:color w:val="FFFFFF"/>
                <w:sz w:val="15"/>
              </w:rPr>
              <w:t>Region</w:t>
            </w:r>
          </w:p>
        </w:tc>
        <w:tc>
          <w:tcPr>
            <w:tcW w:type="dxa" w:w="1800"/>
            <w:shd w:fill="17365D"/>
            <w:tcMar>
              <w:top w:w="80" w:type="dxa"/>
              <w:start w:w="80" w:type="dxa"/>
              <w:bottom w:w="80" w:type="dxa"/>
              <w:end w:w="80" w:type="dxa"/>
            </w:tcMar>
            <w:vAlign w:val="center"/>
          </w:tcPr>
          <w:p>
            <w:r>
              <w:rPr>
                <w:b/>
                <w:color w:val="FFFFFF"/>
                <w:sz w:val="15"/>
              </w:rPr>
              <w:t>A champion</w:t>
            </w:r>
          </w:p>
        </w:tc>
        <w:tc>
          <w:tcPr>
            <w:tcW w:type="dxa" w:w="1800"/>
            <w:shd w:fill="17365D"/>
            <w:tcMar>
              <w:top w:w="80" w:type="dxa"/>
              <w:start w:w="80" w:type="dxa"/>
              <w:bottom w:w="80" w:type="dxa"/>
              <w:end w:w="80" w:type="dxa"/>
            </w:tcMar>
            <w:vAlign w:val="center"/>
          </w:tcPr>
          <w:p>
            <w:r>
              <w:rPr>
                <w:b/>
                <w:color w:val="FFFFFF"/>
                <w:sz w:val="15"/>
              </w:rPr>
              <w:t>B champion</w:t>
            </w:r>
          </w:p>
        </w:tc>
        <w:tc>
          <w:tcPr>
            <w:tcW w:type="dxa" w:w="1296"/>
            <w:shd w:fill="17365D"/>
            <w:tcMar>
              <w:top w:w="80" w:type="dxa"/>
              <w:start w:w="80" w:type="dxa"/>
              <w:bottom w:w="80" w:type="dxa"/>
              <w:end w:w="80" w:type="dxa"/>
            </w:tcMar>
            <w:vAlign w:val="center"/>
          </w:tcPr>
          <w:p>
            <w:r>
              <w:rPr>
                <w:b/>
                <w:color w:val="FFFFFF"/>
                <w:sz w:val="15"/>
              </w:rPr>
              <w:t>A backtest MAE</w:t>
            </w:r>
          </w:p>
        </w:tc>
        <w:tc>
          <w:tcPr>
            <w:tcW w:type="dxa" w:w="1296"/>
            <w:shd w:fill="17365D"/>
            <w:tcMar>
              <w:top w:w="80" w:type="dxa"/>
              <w:start w:w="80" w:type="dxa"/>
              <w:bottom w:w="80" w:type="dxa"/>
              <w:end w:w="80" w:type="dxa"/>
            </w:tcMar>
            <w:vAlign w:val="center"/>
          </w:tcPr>
          <w:p>
            <w:r>
              <w:rPr>
                <w:b/>
                <w:color w:val="FFFFFF"/>
                <w:sz w:val="15"/>
              </w:rPr>
              <w:t>B backtest MAE</w:t>
            </w:r>
          </w:p>
        </w:tc>
        <w:tc>
          <w:tcPr>
            <w:tcW w:type="dxa" w:w="1440"/>
            <w:shd w:fill="17365D"/>
            <w:tcMar>
              <w:top w:w="80" w:type="dxa"/>
              <w:start w:w="80" w:type="dxa"/>
              <w:bottom w:w="80" w:type="dxa"/>
              <w:end w:w="80" w:type="dxa"/>
            </w:tcMar>
            <w:vAlign w:val="center"/>
          </w:tcPr>
          <w:p>
            <w:r>
              <w:rPr>
                <w:b/>
                <w:color w:val="FFFFFF"/>
                <w:sz w:val="15"/>
              </w:rPr>
              <w:t>Backtest weather gain</w:t>
            </w:r>
          </w:p>
        </w:tc>
        <w:tc>
          <w:tcPr>
            <w:tcW w:type="dxa" w:w="1440"/>
            <w:shd w:fill="17365D"/>
            <w:tcMar>
              <w:top w:w="80" w:type="dxa"/>
              <w:start w:w="80" w:type="dxa"/>
              <w:bottom w:w="80" w:type="dxa"/>
              <w:end w:w="80" w:type="dxa"/>
            </w:tcMar>
            <w:vAlign w:val="center"/>
          </w:tcPr>
          <w:p>
            <w:r>
              <w:rPr>
                <w:b/>
                <w:color w:val="FFFFFF"/>
                <w:sz w:val="15"/>
              </w:rPr>
              <w:t>Sep verification gain</w:t>
            </w:r>
          </w:p>
        </w:tc>
      </w:tr>
      <w:tr>
        <w:tc>
          <w:tcPr>
            <w:tcW w:type="dxa" w:w="936"/>
            <w:tcMar>
              <w:top w:w="80" w:type="dxa"/>
              <w:start w:w="80" w:type="dxa"/>
              <w:bottom w:w="80" w:type="dxa"/>
              <w:end w:w="80" w:type="dxa"/>
            </w:tcMar>
            <w:vAlign w:val="center"/>
          </w:tcPr>
          <w:p>
            <w:pPr>
              <w:spacing w:after="0"/>
            </w:pPr>
            <w:r>
              <w:rPr>
                <w:sz w:val="15"/>
              </w:rPr>
              <w:t>NSW1</w:t>
            </w:r>
          </w:p>
        </w:tc>
        <w:tc>
          <w:tcPr>
            <w:tcW w:type="dxa" w:w="1800"/>
            <w:tcMar>
              <w:top w:w="80" w:type="dxa"/>
              <w:start w:w="80" w:type="dxa"/>
              <w:bottom w:w="80" w:type="dxa"/>
              <w:end w:w="80" w:type="dxa"/>
            </w:tcMar>
            <w:vAlign w:val="center"/>
          </w:tcPr>
          <w:p>
            <w:pPr>
              <w:spacing w:after="0"/>
            </w:pPr>
            <w:r>
              <w:rPr>
                <w:sz w:val="15"/>
              </w:rPr>
              <w:t>RandomForest_A</w:t>
            </w:r>
          </w:p>
        </w:tc>
        <w:tc>
          <w:tcPr>
            <w:tcW w:type="dxa" w:w="1800"/>
            <w:tcMar>
              <w:top w:w="80" w:type="dxa"/>
              <w:start w:w="80" w:type="dxa"/>
              <w:bottom w:w="80" w:type="dxa"/>
              <w:end w:w="80" w:type="dxa"/>
            </w:tcMar>
            <w:vAlign w:val="center"/>
          </w:tcPr>
          <w:p>
            <w:pPr>
              <w:spacing w:after="0"/>
            </w:pPr>
            <w:r>
              <w:rPr>
                <w:sz w:val="15"/>
              </w:rPr>
              <w:t>RandomForest_B</w:t>
            </w:r>
          </w:p>
        </w:tc>
        <w:tc>
          <w:tcPr>
            <w:tcW w:type="dxa" w:w="1296"/>
            <w:tcMar>
              <w:top w:w="80" w:type="dxa"/>
              <w:start w:w="80" w:type="dxa"/>
              <w:bottom w:w="80" w:type="dxa"/>
              <w:end w:w="80" w:type="dxa"/>
            </w:tcMar>
            <w:vAlign w:val="center"/>
          </w:tcPr>
          <w:p>
            <w:pPr>
              <w:spacing w:after="0"/>
            </w:pPr>
            <w:r>
              <w:rPr>
                <w:sz w:val="15"/>
              </w:rPr>
              <w:t>596.8</w:t>
            </w:r>
          </w:p>
        </w:tc>
        <w:tc>
          <w:tcPr>
            <w:tcW w:type="dxa" w:w="1296"/>
            <w:tcMar>
              <w:top w:w="80" w:type="dxa"/>
              <w:start w:w="80" w:type="dxa"/>
              <w:bottom w:w="80" w:type="dxa"/>
              <w:end w:w="80" w:type="dxa"/>
            </w:tcMar>
            <w:vAlign w:val="center"/>
          </w:tcPr>
          <w:p>
            <w:pPr>
              <w:spacing w:after="0"/>
            </w:pPr>
            <w:r>
              <w:rPr>
                <w:sz w:val="15"/>
              </w:rPr>
              <w:t>629.0</w:t>
            </w:r>
          </w:p>
        </w:tc>
        <w:tc>
          <w:tcPr>
            <w:tcW w:type="dxa" w:w="1440"/>
            <w:tcMar>
              <w:top w:w="80" w:type="dxa"/>
              <w:start w:w="80" w:type="dxa"/>
              <w:bottom w:w="80" w:type="dxa"/>
              <w:end w:w="80" w:type="dxa"/>
            </w:tcMar>
            <w:vAlign w:val="center"/>
          </w:tcPr>
          <w:p>
            <w:pPr>
              <w:spacing w:after="0"/>
            </w:pPr>
            <w:r>
              <w:rPr>
                <w:sz w:val="15"/>
              </w:rPr>
              <w:t>-5.4%</w:t>
            </w:r>
          </w:p>
        </w:tc>
        <w:tc>
          <w:tcPr>
            <w:tcW w:type="dxa" w:w="1440"/>
            <w:tcMar>
              <w:top w:w="80" w:type="dxa"/>
              <w:start w:w="80" w:type="dxa"/>
              <w:bottom w:w="80" w:type="dxa"/>
              <w:end w:w="80" w:type="dxa"/>
            </w:tcMar>
            <w:vAlign w:val="center"/>
          </w:tcPr>
          <w:p>
            <w:pPr>
              <w:spacing w:after="0"/>
            </w:pPr>
            <w:r>
              <w:rPr>
                <w:sz w:val="15"/>
              </w:rPr>
              <w:t>+0.8%</w:t>
            </w:r>
          </w:p>
        </w:tc>
      </w:tr>
      <w:tr>
        <w:tc>
          <w:tcPr>
            <w:tcW w:type="dxa" w:w="936"/>
            <w:tcMar>
              <w:top w:w="80" w:type="dxa"/>
              <w:start w:w="80" w:type="dxa"/>
              <w:bottom w:w="80" w:type="dxa"/>
              <w:end w:w="80" w:type="dxa"/>
            </w:tcMar>
            <w:vAlign w:val="center"/>
            <w:shd w:fill="F7F9FB"/>
          </w:tcPr>
          <w:p>
            <w:pPr>
              <w:spacing w:after="0"/>
            </w:pPr>
            <w:r>
              <w:rPr>
                <w:sz w:val="15"/>
              </w:rPr>
              <w:t>QLD1</w:t>
            </w:r>
          </w:p>
        </w:tc>
        <w:tc>
          <w:tcPr>
            <w:tcW w:type="dxa" w:w="1800"/>
            <w:tcMar>
              <w:top w:w="80" w:type="dxa"/>
              <w:start w:w="80" w:type="dxa"/>
              <w:bottom w:w="80" w:type="dxa"/>
              <w:end w:w="80" w:type="dxa"/>
            </w:tcMar>
            <w:vAlign w:val="center"/>
            <w:shd w:fill="F7F9FB"/>
          </w:tcPr>
          <w:p>
            <w:pPr>
              <w:spacing w:after="0"/>
            </w:pPr>
            <w:r>
              <w:rPr>
                <w:sz w:val="15"/>
              </w:rPr>
              <w:t>RandomForest_A</w:t>
            </w:r>
          </w:p>
        </w:tc>
        <w:tc>
          <w:tcPr>
            <w:tcW w:type="dxa" w:w="1800"/>
            <w:tcMar>
              <w:top w:w="80" w:type="dxa"/>
              <w:start w:w="80" w:type="dxa"/>
              <w:bottom w:w="80" w:type="dxa"/>
              <w:end w:w="80" w:type="dxa"/>
            </w:tcMar>
            <w:vAlign w:val="center"/>
            <w:shd w:fill="F7F9FB"/>
          </w:tcPr>
          <w:p>
            <w:pPr>
              <w:spacing w:after="0"/>
            </w:pPr>
            <w:r>
              <w:rPr>
                <w:sz w:val="15"/>
              </w:rPr>
              <w:t>RandomForest_B</w:t>
            </w:r>
          </w:p>
        </w:tc>
        <w:tc>
          <w:tcPr>
            <w:tcW w:type="dxa" w:w="1296"/>
            <w:tcMar>
              <w:top w:w="80" w:type="dxa"/>
              <w:start w:w="80" w:type="dxa"/>
              <w:bottom w:w="80" w:type="dxa"/>
              <w:end w:w="80" w:type="dxa"/>
            </w:tcMar>
            <w:vAlign w:val="center"/>
            <w:shd w:fill="F7F9FB"/>
          </w:tcPr>
          <w:p>
            <w:pPr>
              <w:spacing w:after="0"/>
            </w:pPr>
            <w:r>
              <w:rPr>
                <w:sz w:val="15"/>
              </w:rPr>
              <w:t>439.1</w:t>
            </w:r>
          </w:p>
        </w:tc>
        <w:tc>
          <w:tcPr>
            <w:tcW w:type="dxa" w:w="1296"/>
            <w:tcMar>
              <w:top w:w="80" w:type="dxa"/>
              <w:start w:w="80" w:type="dxa"/>
              <w:bottom w:w="80" w:type="dxa"/>
              <w:end w:w="80" w:type="dxa"/>
            </w:tcMar>
            <w:vAlign w:val="center"/>
            <w:shd w:fill="F7F9FB"/>
          </w:tcPr>
          <w:p>
            <w:pPr>
              <w:spacing w:after="0"/>
            </w:pPr>
            <w:r>
              <w:rPr>
                <w:sz w:val="15"/>
              </w:rPr>
              <w:t>490.8</w:t>
            </w:r>
          </w:p>
        </w:tc>
        <w:tc>
          <w:tcPr>
            <w:tcW w:type="dxa" w:w="1440"/>
            <w:tcMar>
              <w:top w:w="80" w:type="dxa"/>
              <w:start w:w="80" w:type="dxa"/>
              <w:bottom w:w="80" w:type="dxa"/>
              <w:end w:w="80" w:type="dxa"/>
            </w:tcMar>
            <w:vAlign w:val="center"/>
            <w:shd w:fill="F7F9FB"/>
          </w:tcPr>
          <w:p>
            <w:pPr>
              <w:spacing w:after="0"/>
            </w:pPr>
            <w:r>
              <w:rPr>
                <w:sz w:val="15"/>
              </w:rPr>
              <w:t>-11.8%</w:t>
            </w:r>
          </w:p>
        </w:tc>
        <w:tc>
          <w:tcPr>
            <w:tcW w:type="dxa" w:w="1440"/>
            <w:tcMar>
              <w:top w:w="80" w:type="dxa"/>
              <w:start w:w="80" w:type="dxa"/>
              <w:bottom w:w="80" w:type="dxa"/>
              <w:end w:w="80" w:type="dxa"/>
            </w:tcMar>
            <w:vAlign w:val="center"/>
            <w:shd w:fill="F7F9FB"/>
          </w:tcPr>
          <w:p>
            <w:pPr>
              <w:spacing w:after="0"/>
            </w:pPr>
            <w:r>
              <w:rPr>
                <w:sz w:val="15"/>
              </w:rPr>
              <w:t>-0.4%</w:t>
            </w:r>
          </w:p>
        </w:tc>
      </w:tr>
      <w:tr>
        <w:tc>
          <w:tcPr>
            <w:tcW w:type="dxa" w:w="936"/>
            <w:tcMar>
              <w:top w:w="80" w:type="dxa"/>
              <w:start w:w="80" w:type="dxa"/>
              <w:bottom w:w="80" w:type="dxa"/>
              <w:end w:w="80" w:type="dxa"/>
            </w:tcMar>
            <w:vAlign w:val="center"/>
          </w:tcPr>
          <w:p>
            <w:pPr>
              <w:spacing w:after="0"/>
            </w:pPr>
            <w:r>
              <w:rPr>
                <w:sz w:val="15"/>
              </w:rPr>
              <w:t>SA1</w:t>
            </w:r>
          </w:p>
        </w:tc>
        <w:tc>
          <w:tcPr>
            <w:tcW w:type="dxa" w:w="1800"/>
            <w:tcMar>
              <w:top w:w="80" w:type="dxa"/>
              <w:start w:w="80" w:type="dxa"/>
              <w:bottom w:w="80" w:type="dxa"/>
              <w:end w:w="80" w:type="dxa"/>
            </w:tcMar>
            <w:vAlign w:val="center"/>
          </w:tcPr>
          <w:p>
            <w:pPr>
              <w:spacing w:after="0"/>
            </w:pPr>
            <w:r>
              <w:rPr>
                <w:sz w:val="15"/>
              </w:rPr>
              <w:t>RandomForest_A</w:t>
            </w:r>
          </w:p>
        </w:tc>
        <w:tc>
          <w:tcPr>
            <w:tcW w:type="dxa" w:w="1800"/>
            <w:tcMar>
              <w:top w:w="80" w:type="dxa"/>
              <w:start w:w="80" w:type="dxa"/>
              <w:bottom w:w="80" w:type="dxa"/>
              <w:end w:w="80" w:type="dxa"/>
            </w:tcMar>
            <w:vAlign w:val="center"/>
          </w:tcPr>
          <w:p>
            <w:pPr>
              <w:spacing w:after="0"/>
            </w:pPr>
            <w:r>
              <w:rPr>
                <w:sz w:val="15"/>
              </w:rPr>
              <w:t>RandomForest_B</w:t>
            </w:r>
          </w:p>
        </w:tc>
        <w:tc>
          <w:tcPr>
            <w:tcW w:type="dxa" w:w="1296"/>
            <w:tcMar>
              <w:top w:w="80" w:type="dxa"/>
              <w:start w:w="80" w:type="dxa"/>
              <w:bottom w:w="80" w:type="dxa"/>
              <w:end w:w="80" w:type="dxa"/>
            </w:tcMar>
            <w:vAlign w:val="center"/>
          </w:tcPr>
          <w:p>
            <w:pPr>
              <w:spacing w:after="0"/>
            </w:pPr>
            <w:r>
              <w:rPr>
                <w:sz w:val="15"/>
              </w:rPr>
              <w:t>187.1</w:t>
            </w:r>
          </w:p>
        </w:tc>
        <w:tc>
          <w:tcPr>
            <w:tcW w:type="dxa" w:w="1296"/>
            <w:tcMar>
              <w:top w:w="80" w:type="dxa"/>
              <w:start w:w="80" w:type="dxa"/>
              <w:bottom w:w="80" w:type="dxa"/>
              <w:end w:w="80" w:type="dxa"/>
            </w:tcMar>
            <w:vAlign w:val="center"/>
          </w:tcPr>
          <w:p>
            <w:pPr>
              <w:spacing w:after="0"/>
            </w:pPr>
            <w:r>
              <w:rPr>
                <w:sz w:val="15"/>
              </w:rPr>
              <w:t>183.1</w:t>
            </w:r>
          </w:p>
        </w:tc>
        <w:tc>
          <w:tcPr>
            <w:tcW w:type="dxa" w:w="1440"/>
            <w:tcMar>
              <w:top w:w="80" w:type="dxa"/>
              <w:start w:w="80" w:type="dxa"/>
              <w:bottom w:w="80" w:type="dxa"/>
              <w:end w:w="80" w:type="dxa"/>
            </w:tcMar>
            <w:vAlign w:val="center"/>
          </w:tcPr>
          <w:p>
            <w:pPr>
              <w:spacing w:after="0"/>
            </w:pPr>
            <w:r>
              <w:rPr>
                <w:sz w:val="15"/>
              </w:rPr>
              <w:t>+2.1%</w:t>
            </w:r>
          </w:p>
        </w:tc>
        <w:tc>
          <w:tcPr>
            <w:tcW w:type="dxa" w:w="1440"/>
            <w:tcMar>
              <w:top w:w="80" w:type="dxa"/>
              <w:start w:w="80" w:type="dxa"/>
              <w:bottom w:w="80" w:type="dxa"/>
              <w:end w:w="80" w:type="dxa"/>
            </w:tcMar>
            <w:vAlign w:val="center"/>
          </w:tcPr>
          <w:p>
            <w:pPr>
              <w:spacing w:after="0"/>
            </w:pPr>
            <w:r>
              <w:rPr>
                <w:sz w:val="15"/>
              </w:rPr>
              <w:t>-1.2%</w:t>
            </w:r>
          </w:p>
        </w:tc>
      </w:tr>
      <w:tr>
        <w:tc>
          <w:tcPr>
            <w:tcW w:type="dxa" w:w="936"/>
            <w:tcMar>
              <w:top w:w="80" w:type="dxa"/>
              <w:start w:w="80" w:type="dxa"/>
              <w:bottom w:w="80" w:type="dxa"/>
              <w:end w:w="80" w:type="dxa"/>
            </w:tcMar>
            <w:vAlign w:val="center"/>
            <w:shd w:fill="F7F9FB"/>
          </w:tcPr>
          <w:p>
            <w:pPr>
              <w:spacing w:after="0"/>
            </w:pPr>
            <w:r>
              <w:rPr>
                <w:sz w:val="15"/>
              </w:rPr>
              <w:t>TAS1</w:t>
            </w:r>
          </w:p>
        </w:tc>
        <w:tc>
          <w:tcPr>
            <w:tcW w:type="dxa" w:w="1800"/>
            <w:tcMar>
              <w:top w:w="80" w:type="dxa"/>
              <w:start w:w="80" w:type="dxa"/>
              <w:bottom w:w="80" w:type="dxa"/>
              <w:end w:w="80" w:type="dxa"/>
            </w:tcMar>
            <w:vAlign w:val="center"/>
            <w:shd w:fill="F7F9FB"/>
          </w:tcPr>
          <w:p>
            <w:pPr>
              <w:spacing w:after="0"/>
            </w:pPr>
            <w:r>
              <w:rPr>
                <w:sz w:val="15"/>
              </w:rPr>
              <w:t>RandomForest_A</w:t>
            </w:r>
          </w:p>
        </w:tc>
        <w:tc>
          <w:tcPr>
            <w:tcW w:type="dxa" w:w="1800"/>
            <w:tcMar>
              <w:top w:w="80" w:type="dxa"/>
              <w:start w:w="80" w:type="dxa"/>
              <w:bottom w:w="80" w:type="dxa"/>
              <w:end w:w="80" w:type="dxa"/>
            </w:tcMar>
            <w:vAlign w:val="center"/>
            <w:shd w:fill="F7F9FB"/>
          </w:tcPr>
          <w:p>
            <w:pPr>
              <w:spacing w:after="0"/>
            </w:pPr>
            <w:r>
              <w:rPr>
                <w:sz w:val="15"/>
              </w:rPr>
              <w:t>XGBoost_B</w:t>
            </w:r>
          </w:p>
        </w:tc>
        <w:tc>
          <w:tcPr>
            <w:tcW w:type="dxa" w:w="1296"/>
            <w:tcMar>
              <w:top w:w="80" w:type="dxa"/>
              <w:start w:w="80" w:type="dxa"/>
              <w:bottom w:w="80" w:type="dxa"/>
              <w:end w:w="80" w:type="dxa"/>
            </w:tcMar>
            <w:vAlign w:val="center"/>
            <w:shd w:fill="F7F9FB"/>
          </w:tcPr>
          <w:p>
            <w:pPr>
              <w:spacing w:after="0"/>
            </w:pPr>
            <w:r>
              <w:rPr>
                <w:sz w:val="15"/>
              </w:rPr>
              <w:t>70.2</w:t>
            </w:r>
          </w:p>
        </w:tc>
        <w:tc>
          <w:tcPr>
            <w:tcW w:type="dxa" w:w="1296"/>
            <w:tcMar>
              <w:top w:w="80" w:type="dxa"/>
              <w:start w:w="80" w:type="dxa"/>
              <w:bottom w:w="80" w:type="dxa"/>
              <w:end w:w="80" w:type="dxa"/>
            </w:tcMar>
            <w:vAlign w:val="center"/>
            <w:shd w:fill="F7F9FB"/>
          </w:tcPr>
          <w:p>
            <w:pPr>
              <w:spacing w:after="0"/>
            </w:pPr>
            <w:r>
              <w:rPr>
                <w:sz w:val="15"/>
              </w:rPr>
              <w:t>71.5</w:t>
            </w:r>
          </w:p>
        </w:tc>
        <w:tc>
          <w:tcPr>
            <w:tcW w:type="dxa" w:w="1440"/>
            <w:tcMar>
              <w:top w:w="80" w:type="dxa"/>
              <w:start w:w="80" w:type="dxa"/>
              <w:bottom w:w="80" w:type="dxa"/>
              <w:end w:w="80" w:type="dxa"/>
            </w:tcMar>
            <w:vAlign w:val="center"/>
            <w:shd w:fill="F7F9FB"/>
          </w:tcPr>
          <w:p>
            <w:pPr>
              <w:spacing w:after="0"/>
            </w:pPr>
            <w:r>
              <w:rPr>
                <w:sz w:val="15"/>
              </w:rPr>
              <w:t>-1.9%</w:t>
            </w:r>
          </w:p>
        </w:tc>
        <w:tc>
          <w:tcPr>
            <w:tcW w:type="dxa" w:w="1440"/>
            <w:tcMar>
              <w:top w:w="80" w:type="dxa"/>
              <w:start w:w="80" w:type="dxa"/>
              <w:bottom w:w="80" w:type="dxa"/>
              <w:end w:w="80" w:type="dxa"/>
            </w:tcMar>
            <w:vAlign w:val="center"/>
            <w:shd w:fill="F7F9FB"/>
          </w:tcPr>
          <w:p>
            <w:pPr>
              <w:spacing w:after="0"/>
            </w:pPr>
            <w:r>
              <w:rPr>
                <w:sz w:val="15"/>
              </w:rPr>
              <w:t>-7.7%</w:t>
            </w:r>
          </w:p>
        </w:tc>
      </w:tr>
      <w:tr>
        <w:tc>
          <w:tcPr>
            <w:tcW w:type="dxa" w:w="936"/>
            <w:tcMar>
              <w:top w:w="80" w:type="dxa"/>
              <w:start w:w="80" w:type="dxa"/>
              <w:bottom w:w="80" w:type="dxa"/>
              <w:end w:w="80" w:type="dxa"/>
            </w:tcMar>
            <w:vAlign w:val="center"/>
          </w:tcPr>
          <w:p>
            <w:pPr>
              <w:spacing w:after="0"/>
            </w:pPr>
            <w:r>
              <w:rPr>
                <w:sz w:val="15"/>
              </w:rPr>
              <w:t>VIC1</w:t>
            </w:r>
          </w:p>
        </w:tc>
        <w:tc>
          <w:tcPr>
            <w:tcW w:type="dxa" w:w="1800"/>
            <w:tcMar>
              <w:top w:w="80" w:type="dxa"/>
              <w:start w:w="80" w:type="dxa"/>
              <w:bottom w:w="80" w:type="dxa"/>
              <w:end w:w="80" w:type="dxa"/>
            </w:tcMar>
            <w:vAlign w:val="center"/>
          </w:tcPr>
          <w:p>
            <w:pPr>
              <w:spacing w:after="0"/>
            </w:pPr>
            <w:r>
              <w:rPr>
                <w:sz w:val="15"/>
              </w:rPr>
              <w:t>RandomForest_A</w:t>
            </w:r>
          </w:p>
        </w:tc>
        <w:tc>
          <w:tcPr>
            <w:tcW w:type="dxa" w:w="1800"/>
            <w:tcMar>
              <w:top w:w="80" w:type="dxa"/>
              <w:start w:w="80" w:type="dxa"/>
              <w:bottom w:w="80" w:type="dxa"/>
              <w:end w:w="80" w:type="dxa"/>
            </w:tcMar>
            <w:vAlign w:val="center"/>
          </w:tcPr>
          <w:p>
            <w:pPr>
              <w:spacing w:after="0"/>
            </w:pPr>
            <w:r>
              <w:rPr>
                <w:sz w:val="15"/>
              </w:rPr>
              <w:t>RandomForest_B</w:t>
            </w:r>
          </w:p>
        </w:tc>
        <w:tc>
          <w:tcPr>
            <w:tcW w:type="dxa" w:w="1296"/>
            <w:tcMar>
              <w:top w:w="80" w:type="dxa"/>
              <w:start w:w="80" w:type="dxa"/>
              <w:bottom w:w="80" w:type="dxa"/>
              <w:end w:w="80" w:type="dxa"/>
            </w:tcMar>
            <w:vAlign w:val="center"/>
          </w:tcPr>
          <w:p>
            <w:pPr>
              <w:spacing w:after="0"/>
            </w:pPr>
            <w:r>
              <w:rPr>
                <w:sz w:val="15"/>
              </w:rPr>
              <w:t>458.2</w:t>
            </w:r>
          </w:p>
        </w:tc>
        <w:tc>
          <w:tcPr>
            <w:tcW w:type="dxa" w:w="1296"/>
            <w:tcMar>
              <w:top w:w="80" w:type="dxa"/>
              <w:start w:w="80" w:type="dxa"/>
              <w:bottom w:w="80" w:type="dxa"/>
              <w:end w:w="80" w:type="dxa"/>
            </w:tcMar>
            <w:vAlign w:val="center"/>
          </w:tcPr>
          <w:p>
            <w:pPr>
              <w:spacing w:after="0"/>
            </w:pPr>
            <w:r>
              <w:rPr>
                <w:sz w:val="15"/>
              </w:rPr>
              <w:t>461.7</w:t>
            </w:r>
          </w:p>
        </w:tc>
        <w:tc>
          <w:tcPr>
            <w:tcW w:type="dxa" w:w="1440"/>
            <w:tcMar>
              <w:top w:w="80" w:type="dxa"/>
              <w:start w:w="80" w:type="dxa"/>
              <w:bottom w:w="80" w:type="dxa"/>
              <w:end w:w="80" w:type="dxa"/>
            </w:tcMar>
            <w:vAlign w:val="center"/>
          </w:tcPr>
          <w:p>
            <w:pPr>
              <w:spacing w:after="0"/>
            </w:pPr>
            <w:r>
              <w:rPr>
                <w:sz w:val="15"/>
              </w:rPr>
              <w:t>-0.8%</w:t>
            </w:r>
          </w:p>
        </w:tc>
        <w:tc>
          <w:tcPr>
            <w:tcW w:type="dxa" w:w="1440"/>
            <w:tcMar>
              <w:top w:w="80" w:type="dxa"/>
              <w:start w:w="80" w:type="dxa"/>
              <w:bottom w:w="80" w:type="dxa"/>
              <w:end w:w="80" w:type="dxa"/>
            </w:tcMar>
            <w:vAlign w:val="center"/>
          </w:tcPr>
          <w:p>
            <w:pPr>
              <w:spacing w:after="0"/>
            </w:pPr>
            <w:r>
              <w:rPr>
                <w:sz w:val="15"/>
              </w:rPr>
              <w:t>-2.7%</w:t>
            </w:r>
          </w:p>
        </w:tc>
      </w:tr>
      <w:tr>
        <w:tc>
          <w:tcPr>
            <w:tcW w:type="dxa" w:w="936"/>
            <w:tcMar>
              <w:top w:w="80" w:type="dxa"/>
              <w:start w:w="80" w:type="dxa"/>
              <w:bottom w:w="80" w:type="dxa"/>
              <w:end w:w="80" w:type="dxa"/>
            </w:tcMar>
            <w:vAlign w:val="center"/>
            <w:shd w:fill="F7F9FB"/>
          </w:tcPr>
          <w:p>
            <w:pPr>
              <w:spacing w:after="0"/>
            </w:pPr>
            <w:r>
              <w:rPr>
                <w:sz w:val="15"/>
              </w:rPr>
              <w:t>WA</w:t>
            </w:r>
          </w:p>
        </w:tc>
        <w:tc>
          <w:tcPr>
            <w:tcW w:type="dxa" w:w="1800"/>
            <w:tcMar>
              <w:top w:w="80" w:type="dxa"/>
              <w:start w:w="80" w:type="dxa"/>
              <w:bottom w:w="80" w:type="dxa"/>
              <w:end w:w="80" w:type="dxa"/>
            </w:tcMar>
            <w:vAlign w:val="center"/>
            <w:shd w:fill="F7F9FB"/>
          </w:tcPr>
          <w:p>
            <w:pPr>
              <w:spacing w:after="0"/>
            </w:pPr>
            <w:r>
              <w:rPr>
                <w:sz w:val="15"/>
              </w:rPr>
              <w:t>RandomForest_A</w:t>
            </w:r>
          </w:p>
        </w:tc>
        <w:tc>
          <w:tcPr>
            <w:tcW w:type="dxa" w:w="1800"/>
            <w:tcMar>
              <w:top w:w="80" w:type="dxa"/>
              <w:start w:w="80" w:type="dxa"/>
              <w:bottom w:w="80" w:type="dxa"/>
              <w:end w:w="80" w:type="dxa"/>
            </w:tcMar>
            <w:vAlign w:val="center"/>
            <w:shd w:fill="F7F9FB"/>
          </w:tcPr>
          <w:p>
            <w:pPr>
              <w:spacing w:after="0"/>
            </w:pPr>
            <w:r>
              <w:rPr>
                <w:sz w:val="15"/>
              </w:rPr>
              <w:t>RandomForest_B</w:t>
            </w:r>
          </w:p>
        </w:tc>
        <w:tc>
          <w:tcPr>
            <w:tcW w:type="dxa" w:w="1296"/>
            <w:tcMar>
              <w:top w:w="80" w:type="dxa"/>
              <w:start w:w="80" w:type="dxa"/>
              <w:bottom w:w="80" w:type="dxa"/>
              <w:end w:w="80" w:type="dxa"/>
            </w:tcMar>
            <w:vAlign w:val="center"/>
            <w:shd w:fill="F7F9FB"/>
          </w:tcPr>
          <w:p>
            <w:pPr>
              <w:spacing w:after="0"/>
            </w:pPr>
            <w:r>
              <w:rPr>
                <w:sz w:val="15"/>
              </w:rPr>
              <w:t>218.4</w:t>
            </w:r>
          </w:p>
        </w:tc>
        <w:tc>
          <w:tcPr>
            <w:tcW w:type="dxa" w:w="1296"/>
            <w:tcMar>
              <w:top w:w="80" w:type="dxa"/>
              <w:start w:w="80" w:type="dxa"/>
              <w:bottom w:w="80" w:type="dxa"/>
              <w:end w:w="80" w:type="dxa"/>
            </w:tcMar>
            <w:vAlign w:val="center"/>
            <w:shd w:fill="F7F9FB"/>
          </w:tcPr>
          <w:p>
            <w:pPr>
              <w:spacing w:after="0"/>
            </w:pPr>
            <w:r>
              <w:rPr>
                <w:sz w:val="15"/>
              </w:rPr>
              <w:t>206.5</w:t>
            </w:r>
          </w:p>
        </w:tc>
        <w:tc>
          <w:tcPr>
            <w:tcW w:type="dxa" w:w="1440"/>
            <w:tcMar>
              <w:top w:w="80" w:type="dxa"/>
              <w:start w:w="80" w:type="dxa"/>
              <w:bottom w:w="80" w:type="dxa"/>
              <w:end w:w="80" w:type="dxa"/>
            </w:tcMar>
            <w:vAlign w:val="center"/>
            <w:shd w:fill="F7F9FB"/>
          </w:tcPr>
          <w:p>
            <w:pPr>
              <w:spacing w:after="0"/>
            </w:pPr>
            <w:r>
              <w:rPr>
                <w:sz w:val="15"/>
              </w:rPr>
              <w:t>+5.4%</w:t>
            </w:r>
          </w:p>
        </w:tc>
        <w:tc>
          <w:tcPr>
            <w:tcW w:type="dxa" w:w="1440"/>
            <w:tcMar>
              <w:top w:w="80" w:type="dxa"/>
              <w:start w:w="80" w:type="dxa"/>
              <w:bottom w:w="80" w:type="dxa"/>
              <w:end w:w="80" w:type="dxa"/>
            </w:tcMar>
            <w:vAlign w:val="center"/>
            <w:shd w:fill="F7F9FB"/>
          </w:tcPr>
          <w:p>
            <w:pPr>
              <w:spacing w:after="0"/>
            </w:pPr>
            <w:r>
              <w:rPr>
                <w:sz w:val="15"/>
              </w:rPr>
              <w:t>-0.2%</w:t>
            </w:r>
          </w:p>
        </w:tc>
      </w:tr>
    </w:tbl>
    <w:p>
      <w:pPr>
        <w:spacing w:after="20"/>
      </w:pPr>
    </w:p>
    <w:p>
      <w:pPr>
        <w:spacing w:after="100"/>
      </w:pPr>
      <w:r>
        <w:t>The key interpretation is not that weather “failed”. A genuine weather forecast covers only 15–21 September in the current Stage 2 package, while the operational forecast extends to 31 December. For most of the horizon, Model B therefore uses origin-safe climatology rather than knowledge of the actual future weather. Historical backtests also hide realised target-period weather to avoid leakage. Under those constraints, weather produces a meaningful four-month improvement in WA and a small improvement in SA1, while the other regions favour Model A. In current September verification, only NSW1 shows a small Model B improvement in MAE; the other gains are neutral or negative.</w:t>
      </w:r>
    </w:p>
    <w:tbl>
      <w:tblPr>
        <w:tblW w:type="auto" w:w="0"/>
        <w:jc w:val="center"/>
        <w:tblLayout w:type="autofit"/>
        <w:tblLook w:firstColumn="1" w:firstRow="1" w:lastColumn="0" w:lastRow="0" w:noHBand="0" w:noVBand="1" w:val="04A0"/>
      </w:tblPr>
      <w:tblGrid>
        <w:gridCol w:w="10123"/>
      </w:tblGrid>
      <w:tr>
        <w:tc>
          <w:tcPr>
            <w:tcW w:type="dxa" w:w="10123"/>
            <w:shd w:fill="EDF4FB"/>
            <w:tcMar>
              <w:top w:w="120" w:type="dxa"/>
              <w:start w:w="140" w:type="dxa"/>
              <w:bottom w:w="120" w:type="dxa"/>
              <w:end w:w="140" w:type="dxa"/>
            </w:tcMar>
          </w:tcPr>
          <w:p>
            <w:pPr>
              <w:spacing w:after="0"/>
            </w:pPr>
            <w:r>
              <w:rPr>
                <w:b/>
                <w:color w:val="17365D"/>
              </w:rPr>
              <w:t xml:space="preserve">Decision implication  </w:t>
            </w:r>
            <w:r>
              <w:t>Keep both A and B in the architecture. Model B is useful as a controlled experiment and as a near-term live forecast when genuine weather is available, but it should not be assumed to dominate the full four-month horizon until more archived forecast-weather vintages exist.</w:t>
            </w:r>
          </w:p>
        </w:tc>
      </w:tr>
    </w:tbl>
    <w:p>
      <w:pPr>
        <w:spacing w:after="20"/>
      </w:pPr>
    </w:p>
    <w:p>
      <w:pPr>
        <w:pStyle w:val="Heading1"/>
      </w:pPr>
      <w:r>
        <w:t>11. 2026 Verification: What Happened When Reality Arrived?</w:t>
      </w:r>
    </w:p>
    <w:p>
      <w:pPr>
        <w:jc w:val="center"/>
      </w:pPr>
      <w:r>
        <w:drawing>
          <wp:inline xmlns:a="http://schemas.openxmlformats.org/drawingml/2006/main" xmlns:pic="http://schemas.openxmlformats.org/drawingml/2006/picture">
            <wp:extent cx="5852160" cy="3006957"/>
            <wp:docPr id="8" name="Picture 8"/>
            <wp:cNvGraphicFramePr>
              <a:graphicFrameLocks noChangeAspect="1"/>
            </wp:cNvGraphicFramePr>
            <a:graphic>
              <a:graphicData uri="http://schemas.openxmlformats.org/drawingml/2006/picture">
                <pic:pic>
                  <pic:nvPicPr>
                    <pic:cNvPr id="0" name="08_current_verification_mae_bias.png"/>
                    <pic:cNvPicPr/>
                  </pic:nvPicPr>
                  <pic:blipFill>
                    <a:blip r:embed="rId18"/>
                    <a:stretch>
                      <a:fillRect/>
                    </a:stretch>
                  </pic:blipFill>
                  <pic:spPr>
                    <a:xfrm>
                      <a:off x="0" y="0"/>
                      <a:ext cx="5852160" cy="3006957"/>
                    </a:xfrm>
                    <a:prstGeom prst="rect"/>
                  </pic:spPr>
                </pic:pic>
              </a:graphicData>
            </a:graphic>
          </wp:inline>
        </w:drawing>
      </w:r>
    </w:p>
    <w:p>
      <w:pPr>
        <w:pStyle w:val="Caption"/>
        <w:jc w:val="center"/>
      </w:pPr>
      <w:r>
        <w:t>Figure 8. September 2026 verification of the frozen forecast. MAE measures absolute error; Bias shows whether the forecast systematically sits above or below actual demand.</w:t>
      </w:r>
    </w:p>
    <w:tbl>
      <w:tblPr>
        <w:tblStyle w:val="TableGrid"/>
        <w:tblW w:type="auto" w:w="0"/>
        <w:jc w:val="center"/>
        <w:tblLayout w:type="fixed"/>
        <w:tblLook w:firstColumn="1" w:firstRow="1" w:lastColumn="0" w:lastRow="0" w:noHBand="0" w:noVBand="1" w:val="04A0"/>
      </w:tblPr>
      <w:tblGrid>
        <w:gridCol w:w="1446"/>
        <w:gridCol w:w="1446"/>
        <w:gridCol w:w="1446"/>
        <w:gridCol w:w="1446"/>
        <w:gridCol w:w="1446"/>
        <w:gridCol w:w="1446"/>
        <w:gridCol w:w="1446"/>
      </w:tblGrid>
      <w:tr>
        <w:trPr>
          <w:tblHeader w:val="true"/>
        </w:trPr>
        <w:tc>
          <w:tcPr>
            <w:tcW w:type="dxa" w:w="1080"/>
            <w:shd w:fill="17365D"/>
            <w:tcMar>
              <w:top w:w="80" w:type="dxa"/>
              <w:start w:w="80" w:type="dxa"/>
              <w:bottom w:w="80" w:type="dxa"/>
              <w:end w:w="80" w:type="dxa"/>
            </w:tcMar>
            <w:vAlign w:val="center"/>
          </w:tcPr>
          <w:p>
            <w:r>
              <w:rPr>
                <w:b/>
                <w:color w:val="FFFFFF"/>
                <w:sz w:val="16"/>
              </w:rPr>
              <w:t>Region</w:t>
            </w:r>
          </w:p>
        </w:tc>
        <w:tc>
          <w:tcPr>
            <w:tcW w:type="dxa" w:w="936"/>
            <w:shd w:fill="17365D"/>
            <w:tcMar>
              <w:top w:w="80" w:type="dxa"/>
              <w:start w:w="80" w:type="dxa"/>
              <w:bottom w:w="80" w:type="dxa"/>
              <w:end w:w="80" w:type="dxa"/>
            </w:tcMar>
            <w:vAlign w:val="center"/>
          </w:tcPr>
          <w:p>
            <w:r>
              <w:rPr>
                <w:b/>
                <w:color w:val="FFFFFF"/>
                <w:sz w:val="16"/>
              </w:rPr>
              <w:t>Intervals</w:t>
            </w:r>
          </w:p>
        </w:tc>
        <w:tc>
          <w:tcPr>
            <w:tcW w:type="dxa" w:w="1080"/>
            <w:shd w:fill="17365D"/>
            <w:tcMar>
              <w:top w:w="80" w:type="dxa"/>
              <w:start w:w="80" w:type="dxa"/>
              <w:bottom w:w="80" w:type="dxa"/>
              <w:end w:w="80" w:type="dxa"/>
            </w:tcMar>
            <w:vAlign w:val="center"/>
          </w:tcPr>
          <w:p>
            <w:r>
              <w:rPr>
                <w:b/>
                <w:color w:val="FFFFFF"/>
                <w:sz w:val="16"/>
              </w:rPr>
              <w:t>MAE</w:t>
            </w:r>
          </w:p>
        </w:tc>
        <w:tc>
          <w:tcPr>
            <w:tcW w:type="dxa" w:w="1080"/>
            <w:shd w:fill="17365D"/>
            <w:tcMar>
              <w:top w:w="80" w:type="dxa"/>
              <w:start w:w="80" w:type="dxa"/>
              <w:bottom w:w="80" w:type="dxa"/>
              <w:end w:w="80" w:type="dxa"/>
            </w:tcMar>
            <w:vAlign w:val="center"/>
          </w:tcPr>
          <w:p>
            <w:r>
              <w:rPr>
                <w:b/>
                <w:color w:val="FFFFFF"/>
                <w:sz w:val="16"/>
              </w:rPr>
              <w:t>RMSE</w:t>
            </w:r>
          </w:p>
        </w:tc>
        <w:tc>
          <w:tcPr>
            <w:tcW w:type="dxa" w:w="1008"/>
            <w:shd w:fill="17365D"/>
            <w:tcMar>
              <w:top w:w="80" w:type="dxa"/>
              <w:start w:w="80" w:type="dxa"/>
              <w:bottom w:w="80" w:type="dxa"/>
              <w:end w:w="80" w:type="dxa"/>
            </w:tcMar>
            <w:vAlign w:val="center"/>
          </w:tcPr>
          <w:p>
            <w:r>
              <w:rPr>
                <w:b/>
                <w:color w:val="FFFFFF"/>
                <w:sz w:val="16"/>
              </w:rPr>
              <w:t>sMAPE</w:t>
            </w:r>
          </w:p>
        </w:tc>
        <w:tc>
          <w:tcPr>
            <w:tcW w:type="dxa" w:w="1080"/>
            <w:shd w:fill="17365D"/>
            <w:tcMar>
              <w:top w:w="80" w:type="dxa"/>
              <w:start w:w="80" w:type="dxa"/>
              <w:bottom w:w="80" w:type="dxa"/>
              <w:end w:w="80" w:type="dxa"/>
            </w:tcMar>
            <w:vAlign w:val="center"/>
          </w:tcPr>
          <w:p>
            <w:r>
              <w:rPr>
                <w:b/>
                <w:color w:val="FFFFFF"/>
                <w:sz w:val="16"/>
              </w:rPr>
              <w:t>Bias</w:t>
            </w:r>
          </w:p>
        </w:tc>
        <w:tc>
          <w:tcPr>
            <w:tcW w:type="dxa" w:w="1224"/>
            <w:shd w:fill="17365D"/>
            <w:tcMar>
              <w:top w:w="80" w:type="dxa"/>
              <w:start w:w="80" w:type="dxa"/>
              <w:bottom w:w="80" w:type="dxa"/>
              <w:end w:w="80" w:type="dxa"/>
            </w:tcMar>
            <w:vAlign w:val="center"/>
          </w:tcPr>
          <w:p>
            <w:r>
              <w:rPr>
                <w:b/>
                <w:color w:val="FFFFFF"/>
                <w:sz w:val="16"/>
              </w:rPr>
              <w:t>Median AE</w:t>
            </w:r>
          </w:p>
        </w:tc>
      </w:tr>
      <w:tr>
        <w:tc>
          <w:tcPr>
            <w:tcW w:type="dxa" w:w="1080"/>
            <w:tcMar>
              <w:top w:w="80" w:type="dxa"/>
              <w:start w:w="80" w:type="dxa"/>
              <w:bottom w:w="80" w:type="dxa"/>
              <w:end w:w="80" w:type="dxa"/>
            </w:tcMar>
            <w:vAlign w:val="center"/>
          </w:tcPr>
          <w:p>
            <w:pPr>
              <w:spacing w:after="0"/>
            </w:pPr>
            <w:r>
              <w:rPr>
                <w:sz w:val="16"/>
              </w:rPr>
              <w:t>NSW1</w:t>
            </w:r>
          </w:p>
        </w:tc>
        <w:tc>
          <w:tcPr>
            <w:tcW w:type="dxa" w:w="936"/>
            <w:tcMar>
              <w:top w:w="80" w:type="dxa"/>
              <w:start w:w="80" w:type="dxa"/>
              <w:bottom w:w="80" w:type="dxa"/>
              <w:end w:w="80" w:type="dxa"/>
            </w:tcMar>
            <w:vAlign w:val="center"/>
          </w:tcPr>
          <w:p>
            <w:pPr>
              <w:spacing w:after="0"/>
            </w:pPr>
            <w:r>
              <w:rPr>
                <w:sz w:val="16"/>
              </w:rPr>
              <w:t>625</w:t>
            </w:r>
          </w:p>
        </w:tc>
        <w:tc>
          <w:tcPr>
            <w:tcW w:type="dxa" w:w="1080"/>
            <w:tcMar>
              <w:top w:w="80" w:type="dxa"/>
              <w:start w:w="80" w:type="dxa"/>
              <w:bottom w:w="80" w:type="dxa"/>
              <w:end w:w="80" w:type="dxa"/>
            </w:tcMar>
            <w:vAlign w:val="center"/>
          </w:tcPr>
          <w:p>
            <w:pPr>
              <w:spacing w:after="0"/>
            </w:pPr>
            <w:r>
              <w:rPr>
                <w:sz w:val="16"/>
              </w:rPr>
              <w:t>401.2</w:t>
            </w:r>
          </w:p>
        </w:tc>
        <w:tc>
          <w:tcPr>
            <w:tcW w:type="dxa" w:w="1080"/>
            <w:tcMar>
              <w:top w:w="80" w:type="dxa"/>
              <w:start w:w="80" w:type="dxa"/>
              <w:bottom w:w="80" w:type="dxa"/>
              <w:end w:w="80" w:type="dxa"/>
            </w:tcMar>
            <w:vAlign w:val="center"/>
          </w:tcPr>
          <w:p>
            <w:pPr>
              <w:spacing w:after="0"/>
            </w:pPr>
            <w:r>
              <w:rPr>
                <w:sz w:val="16"/>
              </w:rPr>
              <w:t>495.4</w:t>
            </w:r>
          </w:p>
        </w:tc>
        <w:tc>
          <w:tcPr>
            <w:tcW w:type="dxa" w:w="1008"/>
            <w:tcMar>
              <w:top w:w="80" w:type="dxa"/>
              <w:start w:w="80" w:type="dxa"/>
              <w:bottom w:w="80" w:type="dxa"/>
              <w:end w:w="80" w:type="dxa"/>
            </w:tcMar>
            <w:vAlign w:val="center"/>
          </w:tcPr>
          <w:p>
            <w:pPr>
              <w:spacing w:after="0"/>
            </w:pPr>
            <w:r>
              <w:rPr>
                <w:sz w:val="16"/>
              </w:rPr>
              <w:t>6.27%</w:t>
            </w:r>
          </w:p>
        </w:tc>
        <w:tc>
          <w:tcPr>
            <w:tcW w:type="dxa" w:w="1080"/>
            <w:tcMar>
              <w:top w:w="80" w:type="dxa"/>
              <w:start w:w="80" w:type="dxa"/>
              <w:bottom w:w="80" w:type="dxa"/>
              <w:end w:w="80" w:type="dxa"/>
            </w:tcMar>
            <w:vAlign w:val="center"/>
          </w:tcPr>
          <w:p>
            <w:pPr>
              <w:spacing w:after="0"/>
            </w:pPr>
            <w:r>
              <w:rPr>
                <w:sz w:val="16"/>
              </w:rPr>
              <w:t>+227.3</w:t>
            </w:r>
          </w:p>
        </w:tc>
        <w:tc>
          <w:tcPr>
            <w:tcW w:type="dxa" w:w="1224"/>
            <w:tcMar>
              <w:top w:w="80" w:type="dxa"/>
              <w:start w:w="80" w:type="dxa"/>
              <w:bottom w:w="80" w:type="dxa"/>
              <w:end w:w="80" w:type="dxa"/>
            </w:tcMar>
            <w:vAlign w:val="center"/>
          </w:tcPr>
          <w:p>
            <w:pPr>
              <w:spacing w:after="0"/>
            </w:pPr>
            <w:r>
              <w:rPr>
                <w:sz w:val="16"/>
              </w:rPr>
              <w:t>346.5</w:t>
            </w:r>
          </w:p>
        </w:tc>
      </w:tr>
      <w:tr>
        <w:tc>
          <w:tcPr>
            <w:tcW w:type="dxa" w:w="1080"/>
            <w:tcMar>
              <w:top w:w="80" w:type="dxa"/>
              <w:start w:w="80" w:type="dxa"/>
              <w:bottom w:w="80" w:type="dxa"/>
              <w:end w:w="80" w:type="dxa"/>
            </w:tcMar>
            <w:vAlign w:val="center"/>
            <w:shd w:fill="F7F9FB"/>
          </w:tcPr>
          <w:p>
            <w:pPr>
              <w:spacing w:after="0"/>
            </w:pPr>
            <w:r>
              <w:rPr>
                <w:sz w:val="16"/>
              </w:rPr>
              <w:t>QLD1</w:t>
            </w:r>
          </w:p>
        </w:tc>
        <w:tc>
          <w:tcPr>
            <w:tcW w:type="dxa" w:w="936"/>
            <w:tcMar>
              <w:top w:w="80" w:type="dxa"/>
              <w:start w:w="80" w:type="dxa"/>
              <w:bottom w:w="80" w:type="dxa"/>
              <w:end w:w="80" w:type="dxa"/>
            </w:tcMar>
            <w:vAlign w:val="center"/>
            <w:shd w:fill="F7F9FB"/>
          </w:tcPr>
          <w:p>
            <w:pPr>
              <w:spacing w:after="0"/>
            </w:pPr>
            <w:r>
              <w:rPr>
                <w:sz w:val="16"/>
              </w:rPr>
              <w:t>625</w:t>
            </w:r>
          </w:p>
        </w:tc>
        <w:tc>
          <w:tcPr>
            <w:tcW w:type="dxa" w:w="1080"/>
            <w:tcMar>
              <w:top w:w="80" w:type="dxa"/>
              <w:start w:w="80" w:type="dxa"/>
              <w:bottom w:w="80" w:type="dxa"/>
              <w:end w:w="80" w:type="dxa"/>
            </w:tcMar>
            <w:vAlign w:val="center"/>
            <w:shd w:fill="F7F9FB"/>
          </w:tcPr>
          <w:p>
            <w:pPr>
              <w:spacing w:after="0"/>
            </w:pPr>
            <w:r>
              <w:rPr>
                <w:sz w:val="16"/>
              </w:rPr>
              <w:t>184.3</w:t>
            </w:r>
          </w:p>
        </w:tc>
        <w:tc>
          <w:tcPr>
            <w:tcW w:type="dxa" w:w="1080"/>
            <w:tcMar>
              <w:top w:w="80" w:type="dxa"/>
              <w:start w:w="80" w:type="dxa"/>
              <w:bottom w:w="80" w:type="dxa"/>
              <w:end w:w="80" w:type="dxa"/>
            </w:tcMar>
            <w:vAlign w:val="center"/>
            <w:shd w:fill="F7F9FB"/>
          </w:tcPr>
          <w:p>
            <w:pPr>
              <w:spacing w:after="0"/>
            </w:pPr>
            <w:r>
              <w:rPr>
                <w:sz w:val="16"/>
              </w:rPr>
              <w:t>286.7</w:t>
            </w:r>
          </w:p>
        </w:tc>
        <w:tc>
          <w:tcPr>
            <w:tcW w:type="dxa" w:w="1008"/>
            <w:tcMar>
              <w:top w:w="80" w:type="dxa"/>
              <w:start w:w="80" w:type="dxa"/>
              <w:bottom w:w="80" w:type="dxa"/>
              <w:end w:w="80" w:type="dxa"/>
            </w:tcMar>
            <w:vAlign w:val="center"/>
            <w:shd w:fill="F7F9FB"/>
          </w:tcPr>
          <w:p>
            <w:pPr>
              <w:spacing w:after="0"/>
            </w:pPr>
            <w:r>
              <w:rPr>
                <w:sz w:val="16"/>
              </w:rPr>
              <w:t>3.91%</w:t>
            </w:r>
          </w:p>
        </w:tc>
        <w:tc>
          <w:tcPr>
            <w:tcW w:type="dxa" w:w="1080"/>
            <w:tcMar>
              <w:top w:w="80" w:type="dxa"/>
              <w:start w:w="80" w:type="dxa"/>
              <w:bottom w:w="80" w:type="dxa"/>
              <w:end w:w="80" w:type="dxa"/>
            </w:tcMar>
            <w:vAlign w:val="center"/>
            <w:shd w:fill="F7F9FB"/>
          </w:tcPr>
          <w:p>
            <w:pPr>
              <w:spacing w:after="0"/>
            </w:pPr>
            <w:r>
              <w:rPr>
                <w:sz w:val="16"/>
              </w:rPr>
              <w:t>+44.1</w:t>
            </w:r>
          </w:p>
        </w:tc>
        <w:tc>
          <w:tcPr>
            <w:tcW w:type="dxa" w:w="1224"/>
            <w:tcMar>
              <w:top w:w="80" w:type="dxa"/>
              <w:start w:w="80" w:type="dxa"/>
              <w:bottom w:w="80" w:type="dxa"/>
              <w:end w:w="80" w:type="dxa"/>
            </w:tcMar>
            <w:vAlign w:val="center"/>
            <w:shd w:fill="F7F9FB"/>
          </w:tcPr>
          <w:p>
            <w:pPr>
              <w:spacing w:after="0"/>
            </w:pPr>
            <w:r>
              <w:rPr>
                <w:sz w:val="16"/>
              </w:rPr>
              <w:t>95.5</w:t>
            </w:r>
          </w:p>
        </w:tc>
      </w:tr>
      <w:tr>
        <w:tc>
          <w:tcPr>
            <w:tcW w:type="dxa" w:w="1080"/>
            <w:tcMar>
              <w:top w:w="80" w:type="dxa"/>
              <w:start w:w="80" w:type="dxa"/>
              <w:bottom w:w="80" w:type="dxa"/>
              <w:end w:w="80" w:type="dxa"/>
            </w:tcMar>
            <w:vAlign w:val="center"/>
          </w:tcPr>
          <w:p>
            <w:pPr>
              <w:spacing w:after="0"/>
            </w:pPr>
            <w:r>
              <w:rPr>
                <w:sz w:val="16"/>
              </w:rPr>
              <w:t>SA1</w:t>
            </w:r>
          </w:p>
        </w:tc>
        <w:tc>
          <w:tcPr>
            <w:tcW w:type="dxa" w:w="936"/>
            <w:tcMar>
              <w:top w:w="80" w:type="dxa"/>
              <w:start w:w="80" w:type="dxa"/>
              <w:bottom w:w="80" w:type="dxa"/>
              <w:end w:w="80" w:type="dxa"/>
            </w:tcMar>
            <w:vAlign w:val="center"/>
          </w:tcPr>
          <w:p>
            <w:pPr>
              <w:spacing w:after="0"/>
            </w:pPr>
            <w:r>
              <w:rPr>
                <w:sz w:val="16"/>
              </w:rPr>
              <w:t>625</w:t>
            </w:r>
          </w:p>
        </w:tc>
        <w:tc>
          <w:tcPr>
            <w:tcW w:type="dxa" w:w="1080"/>
            <w:tcMar>
              <w:top w:w="80" w:type="dxa"/>
              <w:start w:w="80" w:type="dxa"/>
              <w:bottom w:w="80" w:type="dxa"/>
              <w:end w:w="80" w:type="dxa"/>
            </w:tcMar>
            <w:vAlign w:val="center"/>
          </w:tcPr>
          <w:p>
            <w:pPr>
              <w:spacing w:after="0"/>
            </w:pPr>
            <w:r>
              <w:rPr>
                <w:sz w:val="16"/>
              </w:rPr>
              <w:t>154.0</w:t>
            </w:r>
          </w:p>
        </w:tc>
        <w:tc>
          <w:tcPr>
            <w:tcW w:type="dxa" w:w="1080"/>
            <w:tcMar>
              <w:top w:w="80" w:type="dxa"/>
              <w:start w:w="80" w:type="dxa"/>
              <w:bottom w:w="80" w:type="dxa"/>
              <w:end w:w="80" w:type="dxa"/>
            </w:tcMar>
            <w:vAlign w:val="center"/>
          </w:tcPr>
          <w:p>
            <w:pPr>
              <w:spacing w:after="0"/>
            </w:pPr>
            <w:r>
              <w:rPr>
                <w:sz w:val="16"/>
              </w:rPr>
              <w:t>234.0</w:t>
            </w:r>
          </w:p>
        </w:tc>
        <w:tc>
          <w:tcPr>
            <w:tcW w:type="dxa" w:w="1008"/>
            <w:tcMar>
              <w:top w:w="80" w:type="dxa"/>
              <w:start w:w="80" w:type="dxa"/>
              <w:bottom w:w="80" w:type="dxa"/>
              <w:end w:w="80" w:type="dxa"/>
            </w:tcMar>
            <w:vAlign w:val="center"/>
          </w:tcPr>
          <w:p>
            <w:pPr>
              <w:spacing w:after="0"/>
            </w:pPr>
            <w:r>
              <w:rPr>
                <w:sz w:val="16"/>
              </w:rPr>
              <w:t>19.31%</w:t>
            </w:r>
          </w:p>
        </w:tc>
        <w:tc>
          <w:tcPr>
            <w:tcW w:type="dxa" w:w="1080"/>
            <w:tcMar>
              <w:top w:w="80" w:type="dxa"/>
              <w:start w:w="80" w:type="dxa"/>
              <w:bottom w:w="80" w:type="dxa"/>
              <w:end w:w="80" w:type="dxa"/>
            </w:tcMar>
            <w:vAlign w:val="center"/>
          </w:tcPr>
          <w:p>
            <w:pPr>
              <w:spacing w:after="0"/>
            </w:pPr>
            <w:r>
              <w:rPr>
                <w:sz w:val="16"/>
              </w:rPr>
              <w:t>-1.1</w:t>
            </w:r>
          </w:p>
        </w:tc>
        <w:tc>
          <w:tcPr>
            <w:tcW w:type="dxa" w:w="1224"/>
            <w:tcMar>
              <w:top w:w="80" w:type="dxa"/>
              <w:start w:w="80" w:type="dxa"/>
              <w:bottom w:w="80" w:type="dxa"/>
              <w:end w:w="80" w:type="dxa"/>
            </w:tcMar>
            <w:vAlign w:val="center"/>
          </w:tcPr>
          <w:p>
            <w:pPr>
              <w:spacing w:after="0"/>
            </w:pPr>
            <w:r>
              <w:rPr>
                <w:sz w:val="16"/>
              </w:rPr>
              <w:t>86.5</w:t>
            </w:r>
          </w:p>
        </w:tc>
      </w:tr>
      <w:tr>
        <w:tc>
          <w:tcPr>
            <w:tcW w:type="dxa" w:w="1080"/>
            <w:tcMar>
              <w:top w:w="80" w:type="dxa"/>
              <w:start w:w="80" w:type="dxa"/>
              <w:bottom w:w="80" w:type="dxa"/>
              <w:end w:w="80" w:type="dxa"/>
            </w:tcMar>
            <w:vAlign w:val="center"/>
            <w:shd w:fill="F7F9FB"/>
          </w:tcPr>
          <w:p>
            <w:pPr>
              <w:spacing w:after="0"/>
            </w:pPr>
            <w:r>
              <w:rPr>
                <w:sz w:val="16"/>
              </w:rPr>
              <w:t>TAS1</w:t>
            </w:r>
          </w:p>
        </w:tc>
        <w:tc>
          <w:tcPr>
            <w:tcW w:type="dxa" w:w="936"/>
            <w:tcMar>
              <w:top w:w="80" w:type="dxa"/>
              <w:start w:w="80" w:type="dxa"/>
              <w:bottom w:w="80" w:type="dxa"/>
              <w:end w:w="80" w:type="dxa"/>
            </w:tcMar>
            <w:vAlign w:val="center"/>
            <w:shd w:fill="F7F9FB"/>
          </w:tcPr>
          <w:p>
            <w:pPr>
              <w:spacing w:after="0"/>
            </w:pPr>
            <w:r>
              <w:rPr>
                <w:sz w:val="16"/>
              </w:rPr>
              <w:t>625</w:t>
            </w:r>
          </w:p>
        </w:tc>
        <w:tc>
          <w:tcPr>
            <w:tcW w:type="dxa" w:w="1080"/>
            <w:tcMar>
              <w:top w:w="80" w:type="dxa"/>
              <w:start w:w="80" w:type="dxa"/>
              <w:bottom w:w="80" w:type="dxa"/>
              <w:end w:w="80" w:type="dxa"/>
            </w:tcMar>
            <w:vAlign w:val="center"/>
            <w:shd w:fill="F7F9FB"/>
          </w:tcPr>
          <w:p>
            <w:pPr>
              <w:spacing w:after="0"/>
            </w:pPr>
            <w:r>
              <w:rPr>
                <w:sz w:val="16"/>
              </w:rPr>
              <w:t>44.6</w:t>
            </w:r>
          </w:p>
        </w:tc>
        <w:tc>
          <w:tcPr>
            <w:tcW w:type="dxa" w:w="1080"/>
            <w:tcMar>
              <w:top w:w="80" w:type="dxa"/>
              <w:start w:w="80" w:type="dxa"/>
              <w:bottom w:w="80" w:type="dxa"/>
              <w:end w:w="80" w:type="dxa"/>
            </w:tcMar>
            <w:vAlign w:val="center"/>
            <w:shd w:fill="F7F9FB"/>
          </w:tcPr>
          <w:p>
            <w:pPr>
              <w:spacing w:after="0"/>
            </w:pPr>
            <w:r>
              <w:rPr>
                <w:sz w:val="16"/>
              </w:rPr>
              <w:t>56.8</w:t>
            </w:r>
          </w:p>
        </w:tc>
        <w:tc>
          <w:tcPr>
            <w:tcW w:type="dxa" w:w="1008"/>
            <w:tcMar>
              <w:top w:w="80" w:type="dxa"/>
              <w:start w:w="80" w:type="dxa"/>
              <w:bottom w:w="80" w:type="dxa"/>
              <w:end w:w="80" w:type="dxa"/>
            </w:tcMar>
            <w:vAlign w:val="center"/>
            <w:shd w:fill="F7F9FB"/>
          </w:tcPr>
          <w:p>
            <w:pPr>
              <w:spacing w:after="0"/>
            </w:pPr>
            <w:r>
              <w:rPr>
                <w:sz w:val="16"/>
              </w:rPr>
              <w:t>4.40%</w:t>
            </w:r>
          </w:p>
        </w:tc>
        <w:tc>
          <w:tcPr>
            <w:tcW w:type="dxa" w:w="1080"/>
            <w:tcMar>
              <w:top w:w="80" w:type="dxa"/>
              <w:start w:w="80" w:type="dxa"/>
              <w:bottom w:w="80" w:type="dxa"/>
              <w:end w:w="80" w:type="dxa"/>
            </w:tcMar>
            <w:vAlign w:val="center"/>
            <w:shd w:fill="F7F9FB"/>
          </w:tcPr>
          <w:p>
            <w:pPr>
              <w:spacing w:after="0"/>
            </w:pPr>
            <w:r>
              <w:rPr>
                <w:sz w:val="16"/>
              </w:rPr>
              <w:t>-4.1</w:t>
            </w:r>
          </w:p>
        </w:tc>
        <w:tc>
          <w:tcPr>
            <w:tcW w:type="dxa" w:w="1224"/>
            <w:tcMar>
              <w:top w:w="80" w:type="dxa"/>
              <w:start w:w="80" w:type="dxa"/>
              <w:bottom w:w="80" w:type="dxa"/>
              <w:end w:w="80" w:type="dxa"/>
            </w:tcMar>
            <w:vAlign w:val="center"/>
            <w:shd w:fill="F7F9FB"/>
          </w:tcPr>
          <w:p>
            <w:pPr>
              <w:spacing w:after="0"/>
            </w:pPr>
            <w:r>
              <w:rPr>
                <w:sz w:val="16"/>
              </w:rPr>
              <w:t>36.6</w:t>
            </w:r>
          </w:p>
        </w:tc>
      </w:tr>
      <w:tr>
        <w:tc>
          <w:tcPr>
            <w:tcW w:type="dxa" w:w="1080"/>
            <w:tcMar>
              <w:top w:w="80" w:type="dxa"/>
              <w:start w:w="80" w:type="dxa"/>
              <w:bottom w:w="80" w:type="dxa"/>
              <w:end w:w="80" w:type="dxa"/>
            </w:tcMar>
            <w:vAlign w:val="center"/>
          </w:tcPr>
          <w:p>
            <w:pPr>
              <w:spacing w:after="0"/>
            </w:pPr>
            <w:r>
              <w:rPr>
                <w:sz w:val="16"/>
              </w:rPr>
              <w:t>VIC1</w:t>
            </w:r>
          </w:p>
        </w:tc>
        <w:tc>
          <w:tcPr>
            <w:tcW w:type="dxa" w:w="936"/>
            <w:tcMar>
              <w:top w:w="80" w:type="dxa"/>
              <w:start w:w="80" w:type="dxa"/>
              <w:bottom w:w="80" w:type="dxa"/>
              <w:end w:w="80" w:type="dxa"/>
            </w:tcMar>
            <w:vAlign w:val="center"/>
          </w:tcPr>
          <w:p>
            <w:pPr>
              <w:spacing w:after="0"/>
            </w:pPr>
            <w:r>
              <w:rPr>
                <w:sz w:val="16"/>
              </w:rPr>
              <w:t>625</w:t>
            </w:r>
          </w:p>
        </w:tc>
        <w:tc>
          <w:tcPr>
            <w:tcW w:type="dxa" w:w="1080"/>
            <w:tcMar>
              <w:top w:w="80" w:type="dxa"/>
              <w:start w:w="80" w:type="dxa"/>
              <w:bottom w:w="80" w:type="dxa"/>
              <w:end w:w="80" w:type="dxa"/>
            </w:tcMar>
            <w:vAlign w:val="center"/>
          </w:tcPr>
          <w:p>
            <w:pPr>
              <w:spacing w:after="0"/>
            </w:pPr>
            <w:r>
              <w:rPr>
                <w:sz w:val="16"/>
              </w:rPr>
              <w:t>332.2</w:t>
            </w:r>
          </w:p>
        </w:tc>
        <w:tc>
          <w:tcPr>
            <w:tcW w:type="dxa" w:w="1080"/>
            <w:tcMar>
              <w:top w:w="80" w:type="dxa"/>
              <w:start w:w="80" w:type="dxa"/>
              <w:bottom w:w="80" w:type="dxa"/>
              <w:end w:w="80" w:type="dxa"/>
            </w:tcMar>
            <w:vAlign w:val="center"/>
          </w:tcPr>
          <w:p>
            <w:pPr>
              <w:spacing w:after="0"/>
            </w:pPr>
            <w:r>
              <w:rPr>
                <w:sz w:val="16"/>
              </w:rPr>
              <w:t>416.7</w:t>
            </w:r>
          </w:p>
        </w:tc>
        <w:tc>
          <w:tcPr>
            <w:tcW w:type="dxa" w:w="1008"/>
            <w:tcMar>
              <w:top w:w="80" w:type="dxa"/>
              <w:start w:w="80" w:type="dxa"/>
              <w:bottom w:w="80" w:type="dxa"/>
              <w:end w:w="80" w:type="dxa"/>
            </w:tcMar>
            <w:vAlign w:val="center"/>
          </w:tcPr>
          <w:p>
            <w:pPr>
              <w:spacing w:after="0"/>
            </w:pPr>
            <w:r>
              <w:rPr>
                <w:sz w:val="16"/>
              </w:rPr>
              <w:t>6.84%</w:t>
            </w:r>
          </w:p>
        </w:tc>
        <w:tc>
          <w:tcPr>
            <w:tcW w:type="dxa" w:w="1080"/>
            <w:tcMar>
              <w:top w:w="80" w:type="dxa"/>
              <w:start w:w="80" w:type="dxa"/>
              <w:bottom w:w="80" w:type="dxa"/>
              <w:end w:w="80" w:type="dxa"/>
            </w:tcMar>
            <w:vAlign w:val="center"/>
          </w:tcPr>
          <w:p>
            <w:pPr>
              <w:spacing w:after="0"/>
            </w:pPr>
            <w:r>
              <w:rPr>
                <w:sz w:val="16"/>
              </w:rPr>
              <w:t>-93.2</w:t>
            </w:r>
          </w:p>
        </w:tc>
        <w:tc>
          <w:tcPr>
            <w:tcW w:type="dxa" w:w="1224"/>
            <w:tcMar>
              <w:top w:w="80" w:type="dxa"/>
              <w:start w:w="80" w:type="dxa"/>
              <w:bottom w:w="80" w:type="dxa"/>
              <w:end w:w="80" w:type="dxa"/>
            </w:tcMar>
            <w:vAlign w:val="center"/>
          </w:tcPr>
          <w:p>
            <w:pPr>
              <w:spacing w:after="0"/>
            </w:pPr>
            <w:r>
              <w:rPr>
                <w:sz w:val="16"/>
              </w:rPr>
              <w:t>298.2</w:t>
            </w:r>
          </w:p>
        </w:tc>
      </w:tr>
      <w:tr>
        <w:tc>
          <w:tcPr>
            <w:tcW w:type="dxa" w:w="1080"/>
            <w:tcMar>
              <w:top w:w="80" w:type="dxa"/>
              <w:start w:w="80" w:type="dxa"/>
              <w:bottom w:w="80" w:type="dxa"/>
              <w:end w:w="80" w:type="dxa"/>
            </w:tcMar>
            <w:vAlign w:val="center"/>
            <w:shd w:fill="F7F9FB"/>
          </w:tcPr>
          <w:p>
            <w:pPr>
              <w:spacing w:after="0"/>
            </w:pPr>
            <w:r>
              <w:rPr>
                <w:sz w:val="16"/>
              </w:rPr>
              <w:t>WA</w:t>
            </w:r>
          </w:p>
        </w:tc>
        <w:tc>
          <w:tcPr>
            <w:tcW w:type="dxa" w:w="936"/>
            <w:tcMar>
              <w:top w:w="80" w:type="dxa"/>
              <w:start w:w="80" w:type="dxa"/>
              <w:bottom w:w="80" w:type="dxa"/>
              <w:end w:w="80" w:type="dxa"/>
            </w:tcMar>
            <w:vAlign w:val="center"/>
            <w:shd w:fill="F7F9FB"/>
          </w:tcPr>
          <w:p>
            <w:pPr>
              <w:spacing w:after="0"/>
            </w:pPr>
            <w:r>
              <w:rPr>
                <w:sz w:val="16"/>
              </w:rPr>
              <w:t>640</w:t>
            </w:r>
          </w:p>
        </w:tc>
        <w:tc>
          <w:tcPr>
            <w:tcW w:type="dxa" w:w="1080"/>
            <w:tcMar>
              <w:top w:w="80" w:type="dxa"/>
              <w:start w:w="80" w:type="dxa"/>
              <w:bottom w:w="80" w:type="dxa"/>
              <w:end w:w="80" w:type="dxa"/>
            </w:tcMar>
            <w:vAlign w:val="center"/>
            <w:shd w:fill="F7F9FB"/>
          </w:tcPr>
          <w:p>
            <w:pPr>
              <w:spacing w:after="0"/>
            </w:pPr>
            <w:r>
              <w:rPr>
                <w:sz w:val="16"/>
              </w:rPr>
              <w:t>129.5</w:t>
            </w:r>
          </w:p>
        </w:tc>
        <w:tc>
          <w:tcPr>
            <w:tcW w:type="dxa" w:w="1080"/>
            <w:tcMar>
              <w:top w:w="80" w:type="dxa"/>
              <w:start w:w="80" w:type="dxa"/>
              <w:bottom w:w="80" w:type="dxa"/>
              <w:end w:w="80" w:type="dxa"/>
            </w:tcMar>
            <w:vAlign w:val="center"/>
            <w:shd w:fill="F7F9FB"/>
          </w:tcPr>
          <w:p>
            <w:pPr>
              <w:spacing w:after="0"/>
            </w:pPr>
            <w:r>
              <w:rPr>
                <w:sz w:val="16"/>
              </w:rPr>
              <w:t>177.4</w:t>
            </w:r>
          </w:p>
        </w:tc>
        <w:tc>
          <w:tcPr>
            <w:tcW w:type="dxa" w:w="1008"/>
            <w:tcMar>
              <w:top w:w="80" w:type="dxa"/>
              <w:start w:w="80" w:type="dxa"/>
              <w:bottom w:w="80" w:type="dxa"/>
              <w:end w:w="80" w:type="dxa"/>
            </w:tcMar>
            <w:vAlign w:val="center"/>
            <w:shd w:fill="F7F9FB"/>
          </w:tcPr>
          <w:p>
            <w:pPr>
              <w:spacing w:after="0"/>
            </w:pPr>
            <w:r>
              <w:rPr>
                <w:sz w:val="16"/>
              </w:rPr>
              <w:t>6.78%</w:t>
            </w:r>
          </w:p>
        </w:tc>
        <w:tc>
          <w:tcPr>
            <w:tcW w:type="dxa" w:w="1080"/>
            <w:tcMar>
              <w:top w:w="80" w:type="dxa"/>
              <w:start w:w="80" w:type="dxa"/>
              <w:bottom w:w="80" w:type="dxa"/>
              <w:end w:w="80" w:type="dxa"/>
            </w:tcMar>
            <w:vAlign w:val="center"/>
            <w:shd w:fill="F7F9FB"/>
          </w:tcPr>
          <w:p>
            <w:pPr>
              <w:spacing w:after="0"/>
            </w:pPr>
            <w:r>
              <w:rPr>
                <w:sz w:val="16"/>
              </w:rPr>
              <w:t>-23.1</w:t>
            </w:r>
          </w:p>
        </w:tc>
        <w:tc>
          <w:tcPr>
            <w:tcW w:type="dxa" w:w="1224"/>
            <w:tcMar>
              <w:top w:w="80" w:type="dxa"/>
              <w:start w:w="80" w:type="dxa"/>
              <w:bottom w:w="80" w:type="dxa"/>
              <w:end w:w="80" w:type="dxa"/>
            </w:tcMar>
            <w:vAlign w:val="center"/>
            <w:shd w:fill="F7F9FB"/>
          </w:tcPr>
          <w:p>
            <w:pPr>
              <w:spacing w:after="0"/>
            </w:pPr>
            <w:r>
              <w:rPr>
                <w:sz w:val="16"/>
              </w:rPr>
              <w:t>94.4</w:t>
            </w:r>
          </w:p>
        </w:tc>
      </w:tr>
    </w:tbl>
    <w:p>
      <w:pPr>
        <w:spacing w:after="20"/>
      </w:pPr>
    </w:p>
    <w:p>
      <w:pPr>
        <w:spacing w:after="100"/>
      </w:pPr>
      <w:r>
        <w:t>Across all 3,765 verified half-hours, pooled MAE is 207.3 MW, RMSE is 313.3 MW and pooled sMAPE is 7.91%. This score is especially valuable because these September actuals were kept out of training at both Stage 2 and Stage 3.</w:t>
      </w:r>
    </w:p>
    <w:p>
      <w:pPr>
        <w:spacing w:after="100"/>
      </w:pPr>
      <w:r>
        <w:t>Bias reveals information that MAE cannot. NSW1 is over-forecast on average (+227.3 MW), while VIC1 and WA under-forecast on average (−93.2 MW and −23.1 MW). At the highest-demand decile, all six regions show negative mean bias. That means peak conditions are still systematically harder than average conditions even when overall MAE is acceptable. The system should therefore monitor peak-period bias separately rather than relying on a single aggregate error number.</w:t>
      </w:r>
    </w:p>
    <w:tbl>
      <w:tblPr>
        <w:tblStyle w:val="TableGrid"/>
        <w:tblW w:type="auto" w:w="0"/>
        <w:jc w:val="center"/>
        <w:tblLayout w:type="fixed"/>
        <w:tblLook w:firstColumn="1" w:firstRow="1" w:lastColumn="0" w:lastRow="0" w:noHBand="0" w:noVBand="1" w:val="04A0"/>
      </w:tblPr>
      <w:tblGrid>
        <w:gridCol w:w="2025"/>
        <w:gridCol w:w="2025"/>
        <w:gridCol w:w="2025"/>
        <w:gridCol w:w="2025"/>
        <w:gridCol w:w="2025"/>
      </w:tblGrid>
      <w:tr>
        <w:trPr>
          <w:tblHeader w:val="true"/>
        </w:trPr>
        <w:tc>
          <w:tcPr>
            <w:tcW w:type="dxa" w:w="1152"/>
            <w:shd w:fill="17365D"/>
            <w:tcMar>
              <w:top w:w="80" w:type="dxa"/>
              <w:start w:w="80" w:type="dxa"/>
              <w:bottom w:w="80" w:type="dxa"/>
              <w:end w:w="80" w:type="dxa"/>
            </w:tcMar>
            <w:vAlign w:val="center"/>
          </w:tcPr>
          <w:p>
            <w:r>
              <w:rPr>
                <w:b/>
                <w:color w:val="FFFFFF"/>
                <w:sz w:val="16"/>
              </w:rPr>
              <w:t>Region</w:t>
            </w:r>
          </w:p>
        </w:tc>
        <w:tc>
          <w:tcPr>
            <w:tcW w:type="dxa" w:w="1656"/>
            <w:shd w:fill="17365D"/>
            <w:tcMar>
              <w:top w:w="80" w:type="dxa"/>
              <w:start w:w="80" w:type="dxa"/>
              <w:bottom w:w="80" w:type="dxa"/>
              <w:end w:w="80" w:type="dxa"/>
            </w:tcMar>
            <w:vAlign w:val="center"/>
          </w:tcPr>
          <w:p>
            <w:r>
              <w:rPr>
                <w:b/>
                <w:color w:val="FFFFFF"/>
                <w:sz w:val="16"/>
              </w:rPr>
              <w:t>Top-decile intervals</w:t>
            </w:r>
          </w:p>
        </w:tc>
        <w:tc>
          <w:tcPr>
            <w:tcW w:type="dxa" w:w="2016"/>
            <w:shd w:fill="17365D"/>
            <w:tcMar>
              <w:top w:w="80" w:type="dxa"/>
              <w:start w:w="80" w:type="dxa"/>
              <w:bottom w:w="80" w:type="dxa"/>
              <w:end w:w="80" w:type="dxa"/>
            </w:tcMar>
            <w:vAlign w:val="center"/>
          </w:tcPr>
          <w:p>
            <w:r>
              <w:rPr>
                <w:b/>
                <w:color w:val="FFFFFF"/>
                <w:sz w:val="16"/>
              </w:rPr>
              <w:t>Demand threshold MW</w:t>
            </w:r>
          </w:p>
        </w:tc>
        <w:tc>
          <w:tcPr>
            <w:tcW w:type="dxa" w:w="1584"/>
            <w:shd w:fill="17365D"/>
            <w:tcMar>
              <w:top w:w="80" w:type="dxa"/>
              <w:start w:w="80" w:type="dxa"/>
              <w:bottom w:w="80" w:type="dxa"/>
              <w:end w:w="80" w:type="dxa"/>
            </w:tcMar>
            <w:vAlign w:val="center"/>
          </w:tcPr>
          <w:p>
            <w:r>
              <w:rPr>
                <w:b/>
                <w:color w:val="FFFFFF"/>
                <w:sz w:val="16"/>
              </w:rPr>
              <w:t>Peak bias MW</w:t>
            </w:r>
          </w:p>
        </w:tc>
        <w:tc>
          <w:tcPr>
            <w:tcW w:type="dxa" w:w="1440"/>
            <w:shd w:fill="17365D"/>
            <w:tcMar>
              <w:top w:w="80" w:type="dxa"/>
              <w:start w:w="80" w:type="dxa"/>
              <w:bottom w:w="80" w:type="dxa"/>
              <w:end w:w="80" w:type="dxa"/>
            </w:tcMar>
            <w:vAlign w:val="center"/>
          </w:tcPr>
          <w:p>
            <w:r>
              <w:rPr>
                <w:b/>
                <w:color w:val="FFFFFF"/>
                <w:sz w:val="16"/>
              </w:rPr>
              <w:t>Peak MAE MW</w:t>
            </w:r>
          </w:p>
        </w:tc>
      </w:tr>
      <w:tr>
        <w:tc>
          <w:tcPr>
            <w:tcW w:type="dxa" w:w="1152"/>
            <w:tcMar>
              <w:top w:w="80" w:type="dxa"/>
              <w:start w:w="80" w:type="dxa"/>
              <w:bottom w:w="80" w:type="dxa"/>
              <w:end w:w="80" w:type="dxa"/>
            </w:tcMar>
            <w:vAlign w:val="center"/>
          </w:tcPr>
          <w:p>
            <w:pPr>
              <w:spacing w:after="0"/>
            </w:pPr>
            <w:r>
              <w:rPr>
                <w:sz w:val="16"/>
              </w:rPr>
              <w:t>NSW1</w:t>
            </w:r>
          </w:p>
        </w:tc>
        <w:tc>
          <w:tcPr>
            <w:tcW w:type="dxa" w:w="1656"/>
            <w:tcMar>
              <w:top w:w="80" w:type="dxa"/>
              <w:start w:w="80" w:type="dxa"/>
              <w:bottom w:w="80" w:type="dxa"/>
              <w:end w:w="80" w:type="dxa"/>
            </w:tcMar>
            <w:vAlign w:val="center"/>
          </w:tcPr>
          <w:p>
            <w:pPr>
              <w:spacing w:after="0"/>
            </w:pPr>
            <w:r>
              <w:rPr>
                <w:sz w:val="16"/>
              </w:rPr>
              <w:t>63</w:t>
            </w:r>
          </w:p>
        </w:tc>
        <w:tc>
          <w:tcPr>
            <w:tcW w:type="dxa" w:w="2016"/>
            <w:tcMar>
              <w:top w:w="80" w:type="dxa"/>
              <w:start w:w="80" w:type="dxa"/>
              <w:bottom w:w="80" w:type="dxa"/>
              <w:end w:w="80" w:type="dxa"/>
            </w:tcMar>
            <w:vAlign w:val="center"/>
          </w:tcPr>
          <w:p>
            <w:pPr>
              <w:spacing w:after="0"/>
            </w:pPr>
            <w:r>
              <w:rPr>
                <w:sz w:val="16"/>
              </w:rPr>
              <w:t>8438.3</w:t>
            </w:r>
          </w:p>
        </w:tc>
        <w:tc>
          <w:tcPr>
            <w:tcW w:type="dxa" w:w="1584"/>
            <w:tcMar>
              <w:top w:w="80" w:type="dxa"/>
              <w:start w:w="80" w:type="dxa"/>
              <w:bottom w:w="80" w:type="dxa"/>
              <w:end w:w="80" w:type="dxa"/>
            </w:tcMar>
            <w:vAlign w:val="center"/>
          </w:tcPr>
          <w:p>
            <w:pPr>
              <w:spacing w:after="0"/>
            </w:pPr>
            <w:r>
              <w:rPr>
                <w:sz w:val="16"/>
              </w:rPr>
              <w:t>-40.0</w:t>
            </w:r>
          </w:p>
        </w:tc>
        <w:tc>
          <w:tcPr>
            <w:tcW w:type="dxa" w:w="1440"/>
            <w:tcMar>
              <w:top w:w="80" w:type="dxa"/>
              <w:start w:w="80" w:type="dxa"/>
              <w:bottom w:w="80" w:type="dxa"/>
              <w:end w:w="80" w:type="dxa"/>
            </w:tcMar>
            <w:vAlign w:val="center"/>
          </w:tcPr>
          <w:p>
            <w:pPr>
              <w:spacing w:after="0"/>
            </w:pPr>
            <w:r>
              <w:rPr>
                <w:sz w:val="16"/>
              </w:rPr>
              <w:t>332.5</w:t>
            </w:r>
          </w:p>
        </w:tc>
      </w:tr>
      <w:tr>
        <w:tc>
          <w:tcPr>
            <w:tcW w:type="dxa" w:w="1152"/>
            <w:tcMar>
              <w:top w:w="80" w:type="dxa"/>
              <w:start w:w="80" w:type="dxa"/>
              <w:bottom w:w="80" w:type="dxa"/>
              <w:end w:w="80" w:type="dxa"/>
            </w:tcMar>
            <w:vAlign w:val="center"/>
            <w:shd w:fill="F7F9FB"/>
          </w:tcPr>
          <w:p>
            <w:pPr>
              <w:spacing w:after="0"/>
            </w:pPr>
            <w:r>
              <w:rPr>
                <w:sz w:val="16"/>
              </w:rPr>
              <w:t>QLD1</w:t>
            </w:r>
          </w:p>
        </w:tc>
        <w:tc>
          <w:tcPr>
            <w:tcW w:type="dxa" w:w="1656"/>
            <w:tcMar>
              <w:top w:w="80" w:type="dxa"/>
              <w:start w:w="80" w:type="dxa"/>
              <w:bottom w:w="80" w:type="dxa"/>
              <w:end w:w="80" w:type="dxa"/>
            </w:tcMar>
            <w:vAlign w:val="center"/>
            <w:shd w:fill="F7F9FB"/>
          </w:tcPr>
          <w:p>
            <w:pPr>
              <w:spacing w:after="0"/>
            </w:pPr>
            <w:r>
              <w:rPr>
                <w:sz w:val="16"/>
              </w:rPr>
              <w:t>63</w:t>
            </w:r>
          </w:p>
        </w:tc>
        <w:tc>
          <w:tcPr>
            <w:tcW w:type="dxa" w:w="2016"/>
            <w:tcMar>
              <w:top w:w="80" w:type="dxa"/>
              <w:start w:w="80" w:type="dxa"/>
              <w:bottom w:w="80" w:type="dxa"/>
              <w:end w:w="80" w:type="dxa"/>
            </w:tcMar>
            <w:vAlign w:val="center"/>
            <w:shd w:fill="F7F9FB"/>
          </w:tcPr>
          <w:p>
            <w:pPr>
              <w:spacing w:after="0"/>
            </w:pPr>
            <w:r>
              <w:rPr>
                <w:sz w:val="16"/>
              </w:rPr>
              <w:t>6946.0</w:t>
            </w:r>
          </w:p>
        </w:tc>
        <w:tc>
          <w:tcPr>
            <w:tcW w:type="dxa" w:w="1584"/>
            <w:tcMar>
              <w:top w:w="80" w:type="dxa"/>
              <w:start w:w="80" w:type="dxa"/>
              <w:bottom w:w="80" w:type="dxa"/>
              <w:end w:w="80" w:type="dxa"/>
            </w:tcMar>
            <w:vAlign w:val="center"/>
            <w:shd w:fill="F7F9FB"/>
          </w:tcPr>
          <w:p>
            <w:pPr>
              <w:spacing w:after="0"/>
            </w:pPr>
            <w:r>
              <w:rPr>
                <w:sz w:val="16"/>
              </w:rPr>
              <w:t>-23.5</w:t>
            </w:r>
          </w:p>
        </w:tc>
        <w:tc>
          <w:tcPr>
            <w:tcW w:type="dxa" w:w="1440"/>
            <w:tcMar>
              <w:top w:w="80" w:type="dxa"/>
              <w:start w:w="80" w:type="dxa"/>
              <w:bottom w:w="80" w:type="dxa"/>
              <w:end w:w="80" w:type="dxa"/>
            </w:tcMar>
            <w:vAlign w:val="center"/>
            <w:shd w:fill="F7F9FB"/>
          </w:tcPr>
          <w:p>
            <w:pPr>
              <w:spacing w:after="0"/>
            </w:pPr>
            <w:r>
              <w:rPr>
                <w:sz w:val="16"/>
              </w:rPr>
              <w:t>73.7</w:t>
            </w:r>
          </w:p>
        </w:tc>
      </w:tr>
      <w:tr>
        <w:tc>
          <w:tcPr>
            <w:tcW w:type="dxa" w:w="1152"/>
            <w:tcMar>
              <w:top w:w="80" w:type="dxa"/>
              <w:start w:w="80" w:type="dxa"/>
              <w:bottom w:w="80" w:type="dxa"/>
              <w:end w:w="80" w:type="dxa"/>
            </w:tcMar>
            <w:vAlign w:val="center"/>
          </w:tcPr>
          <w:p>
            <w:pPr>
              <w:spacing w:after="0"/>
            </w:pPr>
            <w:r>
              <w:rPr>
                <w:sz w:val="16"/>
              </w:rPr>
              <w:t>VIC1</w:t>
            </w:r>
          </w:p>
        </w:tc>
        <w:tc>
          <w:tcPr>
            <w:tcW w:type="dxa" w:w="1656"/>
            <w:tcMar>
              <w:top w:w="80" w:type="dxa"/>
              <w:start w:w="80" w:type="dxa"/>
              <w:bottom w:w="80" w:type="dxa"/>
              <w:end w:w="80" w:type="dxa"/>
            </w:tcMar>
            <w:vAlign w:val="center"/>
          </w:tcPr>
          <w:p>
            <w:pPr>
              <w:spacing w:after="0"/>
            </w:pPr>
            <w:r>
              <w:rPr>
                <w:sz w:val="16"/>
              </w:rPr>
              <w:t>63</w:t>
            </w:r>
          </w:p>
        </w:tc>
        <w:tc>
          <w:tcPr>
            <w:tcW w:type="dxa" w:w="2016"/>
            <w:tcMar>
              <w:top w:w="80" w:type="dxa"/>
              <w:start w:w="80" w:type="dxa"/>
              <w:bottom w:w="80" w:type="dxa"/>
              <w:end w:w="80" w:type="dxa"/>
            </w:tcMar>
            <w:vAlign w:val="center"/>
          </w:tcPr>
          <w:p>
            <w:pPr>
              <w:spacing w:after="0"/>
            </w:pPr>
            <w:r>
              <w:rPr>
                <w:sz w:val="16"/>
              </w:rPr>
              <w:t>6508.8</w:t>
            </w:r>
          </w:p>
        </w:tc>
        <w:tc>
          <w:tcPr>
            <w:tcW w:type="dxa" w:w="1584"/>
            <w:tcMar>
              <w:top w:w="80" w:type="dxa"/>
              <w:start w:w="80" w:type="dxa"/>
              <w:bottom w:w="80" w:type="dxa"/>
              <w:end w:w="80" w:type="dxa"/>
            </w:tcMar>
            <w:vAlign w:val="center"/>
          </w:tcPr>
          <w:p>
            <w:pPr>
              <w:spacing w:after="0"/>
            </w:pPr>
            <w:r>
              <w:rPr>
                <w:sz w:val="16"/>
              </w:rPr>
              <w:t>-413.0</w:t>
            </w:r>
          </w:p>
        </w:tc>
        <w:tc>
          <w:tcPr>
            <w:tcW w:type="dxa" w:w="1440"/>
            <w:tcMar>
              <w:top w:w="80" w:type="dxa"/>
              <w:start w:w="80" w:type="dxa"/>
              <w:bottom w:w="80" w:type="dxa"/>
              <w:end w:w="80" w:type="dxa"/>
            </w:tcMar>
            <w:vAlign w:val="center"/>
          </w:tcPr>
          <w:p>
            <w:pPr>
              <w:spacing w:after="0"/>
            </w:pPr>
            <w:r>
              <w:rPr>
                <w:sz w:val="16"/>
              </w:rPr>
              <w:t>435.6</w:t>
            </w:r>
          </w:p>
        </w:tc>
      </w:tr>
      <w:tr>
        <w:tc>
          <w:tcPr>
            <w:tcW w:type="dxa" w:w="1152"/>
            <w:tcMar>
              <w:top w:w="80" w:type="dxa"/>
              <w:start w:w="80" w:type="dxa"/>
              <w:bottom w:w="80" w:type="dxa"/>
              <w:end w:w="80" w:type="dxa"/>
            </w:tcMar>
            <w:vAlign w:val="center"/>
            <w:shd w:fill="F7F9FB"/>
          </w:tcPr>
          <w:p>
            <w:pPr>
              <w:spacing w:after="0"/>
            </w:pPr>
            <w:r>
              <w:rPr>
                <w:sz w:val="16"/>
              </w:rPr>
              <w:t>SA1</w:t>
            </w:r>
          </w:p>
        </w:tc>
        <w:tc>
          <w:tcPr>
            <w:tcW w:type="dxa" w:w="1656"/>
            <w:tcMar>
              <w:top w:w="80" w:type="dxa"/>
              <w:start w:w="80" w:type="dxa"/>
              <w:bottom w:w="80" w:type="dxa"/>
              <w:end w:w="80" w:type="dxa"/>
            </w:tcMar>
            <w:vAlign w:val="center"/>
            <w:shd w:fill="F7F9FB"/>
          </w:tcPr>
          <w:p>
            <w:pPr>
              <w:spacing w:after="0"/>
            </w:pPr>
            <w:r>
              <w:rPr>
                <w:sz w:val="16"/>
              </w:rPr>
              <w:t>63</w:t>
            </w:r>
          </w:p>
        </w:tc>
        <w:tc>
          <w:tcPr>
            <w:tcW w:type="dxa" w:w="2016"/>
            <w:tcMar>
              <w:top w:w="80" w:type="dxa"/>
              <w:start w:w="80" w:type="dxa"/>
              <w:bottom w:w="80" w:type="dxa"/>
              <w:end w:w="80" w:type="dxa"/>
            </w:tcMar>
            <w:vAlign w:val="center"/>
            <w:shd w:fill="F7F9FB"/>
          </w:tcPr>
          <w:p>
            <w:pPr>
              <w:spacing w:after="0"/>
            </w:pPr>
            <w:r>
              <w:rPr>
                <w:sz w:val="16"/>
              </w:rPr>
              <w:t>1658.7</w:t>
            </w:r>
          </w:p>
        </w:tc>
        <w:tc>
          <w:tcPr>
            <w:tcW w:type="dxa" w:w="1584"/>
            <w:tcMar>
              <w:top w:w="80" w:type="dxa"/>
              <w:start w:w="80" w:type="dxa"/>
              <w:bottom w:w="80" w:type="dxa"/>
              <w:end w:w="80" w:type="dxa"/>
            </w:tcMar>
            <w:vAlign w:val="center"/>
            <w:shd w:fill="F7F9FB"/>
          </w:tcPr>
          <w:p>
            <w:pPr>
              <w:spacing w:after="0"/>
            </w:pPr>
            <w:r>
              <w:rPr>
                <w:sz w:val="16"/>
              </w:rPr>
              <w:t>-83.1</w:t>
            </w:r>
          </w:p>
        </w:tc>
        <w:tc>
          <w:tcPr>
            <w:tcW w:type="dxa" w:w="1440"/>
            <w:tcMar>
              <w:top w:w="80" w:type="dxa"/>
              <w:start w:w="80" w:type="dxa"/>
              <w:bottom w:w="80" w:type="dxa"/>
              <w:end w:w="80" w:type="dxa"/>
            </w:tcMar>
            <w:vAlign w:val="center"/>
            <w:shd w:fill="F7F9FB"/>
          </w:tcPr>
          <w:p>
            <w:pPr>
              <w:spacing w:after="0"/>
            </w:pPr>
            <w:r>
              <w:rPr>
                <w:sz w:val="16"/>
              </w:rPr>
              <w:t>114.5</w:t>
            </w:r>
          </w:p>
        </w:tc>
      </w:tr>
      <w:tr>
        <w:tc>
          <w:tcPr>
            <w:tcW w:type="dxa" w:w="1152"/>
            <w:tcMar>
              <w:top w:w="80" w:type="dxa"/>
              <w:start w:w="80" w:type="dxa"/>
              <w:bottom w:w="80" w:type="dxa"/>
              <w:end w:w="80" w:type="dxa"/>
            </w:tcMar>
            <w:vAlign w:val="center"/>
          </w:tcPr>
          <w:p>
            <w:pPr>
              <w:spacing w:after="0"/>
            </w:pPr>
            <w:r>
              <w:rPr>
                <w:sz w:val="16"/>
              </w:rPr>
              <w:t>TAS1</w:t>
            </w:r>
          </w:p>
        </w:tc>
        <w:tc>
          <w:tcPr>
            <w:tcW w:type="dxa" w:w="1656"/>
            <w:tcMar>
              <w:top w:w="80" w:type="dxa"/>
              <w:start w:w="80" w:type="dxa"/>
              <w:bottom w:w="80" w:type="dxa"/>
              <w:end w:w="80" w:type="dxa"/>
            </w:tcMar>
            <w:vAlign w:val="center"/>
          </w:tcPr>
          <w:p>
            <w:pPr>
              <w:spacing w:after="0"/>
            </w:pPr>
            <w:r>
              <w:rPr>
                <w:sz w:val="16"/>
              </w:rPr>
              <w:t>63</w:t>
            </w:r>
          </w:p>
        </w:tc>
        <w:tc>
          <w:tcPr>
            <w:tcW w:type="dxa" w:w="2016"/>
            <w:tcMar>
              <w:top w:w="80" w:type="dxa"/>
              <w:start w:w="80" w:type="dxa"/>
              <w:bottom w:w="80" w:type="dxa"/>
              <w:end w:w="80" w:type="dxa"/>
            </w:tcMar>
            <w:vAlign w:val="center"/>
          </w:tcPr>
          <w:p>
            <w:pPr>
              <w:spacing w:after="0"/>
            </w:pPr>
            <w:r>
              <w:rPr>
                <w:sz w:val="16"/>
              </w:rPr>
              <w:t>1183.8</w:t>
            </w:r>
          </w:p>
        </w:tc>
        <w:tc>
          <w:tcPr>
            <w:tcW w:type="dxa" w:w="1584"/>
            <w:tcMar>
              <w:top w:w="80" w:type="dxa"/>
              <w:start w:w="80" w:type="dxa"/>
              <w:bottom w:w="80" w:type="dxa"/>
              <w:end w:w="80" w:type="dxa"/>
            </w:tcMar>
            <w:vAlign w:val="center"/>
          </w:tcPr>
          <w:p>
            <w:pPr>
              <w:spacing w:after="0"/>
            </w:pPr>
            <w:r>
              <w:rPr>
                <w:sz w:val="16"/>
              </w:rPr>
              <w:t>-59.0</w:t>
            </w:r>
          </w:p>
        </w:tc>
        <w:tc>
          <w:tcPr>
            <w:tcW w:type="dxa" w:w="1440"/>
            <w:tcMar>
              <w:top w:w="80" w:type="dxa"/>
              <w:start w:w="80" w:type="dxa"/>
              <w:bottom w:w="80" w:type="dxa"/>
              <w:end w:w="80" w:type="dxa"/>
            </w:tcMar>
            <w:vAlign w:val="center"/>
          </w:tcPr>
          <w:p>
            <w:pPr>
              <w:spacing w:after="0"/>
            </w:pPr>
            <w:r>
              <w:rPr>
                <w:sz w:val="16"/>
              </w:rPr>
              <w:t>59.6</w:t>
            </w:r>
          </w:p>
        </w:tc>
      </w:tr>
      <w:tr>
        <w:tc>
          <w:tcPr>
            <w:tcW w:type="dxa" w:w="1152"/>
            <w:tcMar>
              <w:top w:w="80" w:type="dxa"/>
              <w:start w:w="80" w:type="dxa"/>
              <w:bottom w:w="80" w:type="dxa"/>
              <w:end w:w="80" w:type="dxa"/>
            </w:tcMar>
            <w:vAlign w:val="center"/>
            <w:shd w:fill="F7F9FB"/>
          </w:tcPr>
          <w:p>
            <w:pPr>
              <w:spacing w:after="0"/>
            </w:pPr>
            <w:r>
              <w:rPr>
                <w:sz w:val="16"/>
              </w:rPr>
              <w:t>WA</w:t>
            </w:r>
          </w:p>
        </w:tc>
        <w:tc>
          <w:tcPr>
            <w:tcW w:type="dxa" w:w="1656"/>
            <w:tcMar>
              <w:top w:w="80" w:type="dxa"/>
              <w:start w:w="80" w:type="dxa"/>
              <w:bottom w:w="80" w:type="dxa"/>
              <w:end w:w="80" w:type="dxa"/>
            </w:tcMar>
            <w:vAlign w:val="center"/>
            <w:shd w:fill="F7F9FB"/>
          </w:tcPr>
          <w:p>
            <w:pPr>
              <w:spacing w:after="0"/>
            </w:pPr>
            <w:r>
              <w:rPr>
                <w:sz w:val="16"/>
              </w:rPr>
              <w:t>64</w:t>
            </w:r>
          </w:p>
        </w:tc>
        <w:tc>
          <w:tcPr>
            <w:tcW w:type="dxa" w:w="2016"/>
            <w:tcMar>
              <w:top w:w="80" w:type="dxa"/>
              <w:start w:w="80" w:type="dxa"/>
              <w:bottom w:w="80" w:type="dxa"/>
              <w:end w:w="80" w:type="dxa"/>
            </w:tcMar>
            <w:vAlign w:val="center"/>
            <w:shd w:fill="F7F9FB"/>
          </w:tcPr>
          <w:p>
            <w:pPr>
              <w:spacing w:after="0"/>
            </w:pPr>
            <w:r>
              <w:rPr>
                <w:sz w:val="16"/>
              </w:rPr>
              <w:t>2491.2</w:t>
            </w:r>
          </w:p>
        </w:tc>
        <w:tc>
          <w:tcPr>
            <w:tcW w:type="dxa" w:w="1584"/>
            <w:tcMar>
              <w:top w:w="80" w:type="dxa"/>
              <w:start w:w="80" w:type="dxa"/>
              <w:bottom w:w="80" w:type="dxa"/>
              <w:end w:w="80" w:type="dxa"/>
            </w:tcMar>
            <w:vAlign w:val="center"/>
            <w:shd w:fill="F7F9FB"/>
          </w:tcPr>
          <w:p>
            <w:pPr>
              <w:spacing w:after="0"/>
            </w:pPr>
            <w:r>
              <w:rPr>
                <w:sz w:val="16"/>
              </w:rPr>
              <w:t>-66.4</w:t>
            </w:r>
          </w:p>
        </w:tc>
        <w:tc>
          <w:tcPr>
            <w:tcW w:type="dxa" w:w="1440"/>
            <w:tcMar>
              <w:top w:w="80" w:type="dxa"/>
              <w:start w:w="80" w:type="dxa"/>
              <w:bottom w:w="80" w:type="dxa"/>
              <w:end w:w="80" w:type="dxa"/>
            </w:tcMar>
            <w:vAlign w:val="center"/>
            <w:shd w:fill="F7F9FB"/>
          </w:tcPr>
          <w:p>
            <w:pPr>
              <w:spacing w:after="0"/>
            </w:pPr>
            <w:r>
              <w:rPr>
                <w:sz w:val="16"/>
              </w:rPr>
              <w:t>116.5</w:t>
            </w:r>
          </w:p>
        </w:tc>
      </w:tr>
    </w:tbl>
    <w:p>
      <w:pPr>
        <w:spacing w:after="20"/>
      </w:pPr>
    </w:p>
    <w:tbl>
      <w:tblPr>
        <w:tblW w:type="auto" w:w="0"/>
        <w:jc w:val="center"/>
        <w:tblLayout w:type="autofit"/>
        <w:tblLook w:firstColumn="1" w:firstRow="1" w:lastColumn="0" w:lastRow="0" w:noHBand="0" w:noVBand="1" w:val="04A0"/>
      </w:tblPr>
      <w:tblGrid>
        <w:gridCol w:w="10123"/>
      </w:tblGrid>
      <w:tr>
        <w:tc>
          <w:tcPr>
            <w:tcW w:type="dxa" w:w="10123"/>
            <w:shd w:fill="FFF2CC"/>
            <w:tcMar>
              <w:top w:w="120" w:type="dxa"/>
              <w:start w:w="140" w:type="dxa"/>
              <w:bottom w:w="120" w:type="dxa"/>
              <w:end w:w="140" w:type="dxa"/>
            </w:tcMar>
          </w:tcPr>
          <w:p>
            <w:pPr>
              <w:spacing w:after="0"/>
            </w:pPr>
            <w:r>
              <w:rPr>
                <w:b/>
                <w:color w:val="BF9000"/>
              </w:rPr>
              <w:t xml:space="preserve">Why SA1 has a high sMAPE  </w:t>
            </w:r>
            <w:r>
              <w:t>SA1’s September MAE is 154.0 MW, but sMAPE is 19.31%. SA1 operates on a much smaller and sometimes near-zero demand scale than NSW/VIC, so percentage error expands even when absolute MW error is not the largest. This is why the report always presents MW metrics and percentage metrics together.</w:t>
            </w:r>
          </w:p>
        </w:tc>
      </w:tr>
    </w:tbl>
    <w:p>
      <w:pPr>
        <w:spacing w:after="20"/>
      </w:pPr>
    </w:p>
    <w:p>
      <w:pPr>
        <w:pStyle w:val="Heading1"/>
      </w:pPr>
      <w:r>
        <w:t>12. Long-Horizon Behaviour: Error Growth under Recursion</w:t>
      </w:r>
    </w:p>
    <w:p>
      <w:pPr>
        <w:jc w:val="center"/>
      </w:pPr>
      <w:r>
        <w:drawing>
          <wp:inline xmlns:a="http://schemas.openxmlformats.org/drawingml/2006/main" xmlns:pic="http://schemas.openxmlformats.org/drawingml/2006/picture">
            <wp:extent cx="5943600" cy="2960007"/>
            <wp:docPr id="9" name="Picture 9"/>
            <wp:cNvGraphicFramePr>
              <a:graphicFrameLocks noChangeAspect="1"/>
            </wp:cNvGraphicFramePr>
            <a:graphic>
              <a:graphicData uri="http://schemas.openxmlformats.org/drawingml/2006/picture">
                <pic:pic>
                  <pic:nvPicPr>
                    <pic:cNvPr id="0" name="07_horizon_error_growth.png"/>
                    <pic:cNvPicPr/>
                  </pic:nvPicPr>
                  <pic:blipFill>
                    <a:blip r:embed="rId19"/>
                    <a:stretch>
                      <a:fillRect/>
                    </a:stretch>
                  </pic:blipFill>
                  <pic:spPr>
                    <a:xfrm>
                      <a:off x="0" y="0"/>
                      <a:ext cx="5943600" cy="2960007"/>
                    </a:xfrm>
                    <a:prstGeom prst="rect"/>
                  </pic:spPr>
                </pic:pic>
              </a:graphicData>
            </a:graphic>
          </wp:inline>
        </w:drawing>
      </w:r>
    </w:p>
    <w:p>
      <w:pPr>
        <w:pStyle w:val="Caption"/>
        <w:jc w:val="center"/>
      </w:pPr>
      <w:r>
        <w:t>Figure 9. Selected-model sMAPE by forecast segment. Error generally rises as the horizon moves away from observed history and recursive lags depend increasingly on earlier model predictions.</w:t>
      </w:r>
    </w:p>
    <w:tbl>
      <w:tblPr>
        <w:tblStyle w:val="TableGrid"/>
        <w:tblW w:type="auto" w:w="0"/>
        <w:jc w:val="center"/>
        <w:tblLayout w:type="fixed"/>
        <w:tblLook w:firstColumn="1" w:firstRow="1" w:lastColumn="0" w:lastRow="0" w:noHBand="0" w:noVBand="1" w:val="04A0"/>
      </w:tblPr>
      <w:tblGrid>
        <w:gridCol w:w="1446"/>
        <w:gridCol w:w="1446"/>
        <w:gridCol w:w="1446"/>
        <w:gridCol w:w="1446"/>
        <w:gridCol w:w="1446"/>
        <w:gridCol w:w="1446"/>
        <w:gridCol w:w="1446"/>
      </w:tblGrid>
      <w:tr>
        <w:trPr>
          <w:tblHeader w:val="true"/>
        </w:trPr>
        <w:tc>
          <w:tcPr>
            <w:tcW w:type="dxa" w:w="1008"/>
            <w:shd w:fill="17365D"/>
            <w:tcMar>
              <w:top w:w="80" w:type="dxa"/>
              <w:start w:w="80" w:type="dxa"/>
              <w:bottom w:w="80" w:type="dxa"/>
              <w:end w:w="80" w:type="dxa"/>
            </w:tcMar>
            <w:vAlign w:val="center"/>
          </w:tcPr>
          <w:p>
            <w:r>
              <w:rPr>
                <w:b/>
                <w:color w:val="FFFFFF"/>
                <w:sz w:val="15"/>
              </w:rPr>
              <w:t>Region</w:t>
            </w:r>
          </w:p>
        </w:tc>
        <w:tc>
          <w:tcPr>
            <w:tcW w:type="dxa" w:w="1152"/>
            <w:shd w:fill="17365D"/>
            <w:tcMar>
              <w:top w:w="80" w:type="dxa"/>
              <w:start w:w="80" w:type="dxa"/>
              <w:bottom w:w="80" w:type="dxa"/>
              <w:end w:w="80" w:type="dxa"/>
            </w:tcMar>
            <w:vAlign w:val="center"/>
          </w:tcPr>
          <w:p>
            <w:r>
              <w:rPr>
                <w:b/>
                <w:color w:val="FFFFFF"/>
                <w:sz w:val="15"/>
              </w:rPr>
              <w:t>First 7d</w:t>
            </w:r>
          </w:p>
        </w:tc>
        <w:tc>
          <w:tcPr>
            <w:tcW w:type="dxa" w:w="1296"/>
            <w:shd w:fill="17365D"/>
            <w:tcMar>
              <w:top w:w="80" w:type="dxa"/>
              <w:start w:w="80" w:type="dxa"/>
              <w:bottom w:w="80" w:type="dxa"/>
              <w:end w:w="80" w:type="dxa"/>
            </w:tcMar>
            <w:vAlign w:val="center"/>
          </w:tcPr>
          <w:p>
            <w:r>
              <w:rPr>
                <w:b/>
                <w:color w:val="FFFFFF"/>
                <w:sz w:val="15"/>
              </w:rPr>
              <w:t>Days 8–30</w:t>
            </w:r>
          </w:p>
        </w:tc>
        <w:tc>
          <w:tcPr>
            <w:tcW w:type="dxa" w:w="1152"/>
            <w:shd w:fill="17365D"/>
            <w:tcMar>
              <w:top w:w="80" w:type="dxa"/>
              <w:start w:w="80" w:type="dxa"/>
              <w:bottom w:w="80" w:type="dxa"/>
              <w:end w:w="80" w:type="dxa"/>
            </w:tcMar>
            <w:vAlign w:val="center"/>
          </w:tcPr>
          <w:p>
            <w:r>
              <w:rPr>
                <w:b/>
                <w:color w:val="FFFFFF"/>
                <w:sz w:val="15"/>
              </w:rPr>
              <w:t>Month 2</w:t>
            </w:r>
          </w:p>
        </w:tc>
        <w:tc>
          <w:tcPr>
            <w:tcW w:type="dxa" w:w="1152"/>
            <w:shd w:fill="17365D"/>
            <w:tcMar>
              <w:top w:w="80" w:type="dxa"/>
              <w:start w:w="80" w:type="dxa"/>
              <w:bottom w:w="80" w:type="dxa"/>
              <w:end w:w="80" w:type="dxa"/>
            </w:tcMar>
            <w:vAlign w:val="center"/>
          </w:tcPr>
          <w:p>
            <w:r>
              <w:rPr>
                <w:b/>
                <w:color w:val="FFFFFF"/>
                <w:sz w:val="15"/>
              </w:rPr>
              <w:t>Month 3</w:t>
            </w:r>
          </w:p>
        </w:tc>
        <w:tc>
          <w:tcPr>
            <w:tcW w:type="dxa" w:w="1152"/>
            <w:shd w:fill="17365D"/>
            <w:tcMar>
              <w:top w:w="80" w:type="dxa"/>
              <w:start w:w="80" w:type="dxa"/>
              <w:bottom w:w="80" w:type="dxa"/>
              <w:end w:w="80" w:type="dxa"/>
            </w:tcMar>
            <w:vAlign w:val="center"/>
          </w:tcPr>
          <w:p>
            <w:r>
              <w:rPr>
                <w:b/>
                <w:color w:val="FFFFFF"/>
                <w:sz w:val="15"/>
              </w:rPr>
              <w:t>Month 4</w:t>
            </w:r>
          </w:p>
        </w:tc>
        <w:tc>
          <w:tcPr>
            <w:tcW w:type="dxa" w:w="1296"/>
            <w:shd w:fill="17365D"/>
            <w:tcMar>
              <w:top w:w="80" w:type="dxa"/>
              <w:start w:w="80" w:type="dxa"/>
              <w:bottom w:w="80" w:type="dxa"/>
              <w:end w:w="80" w:type="dxa"/>
            </w:tcMar>
            <w:vAlign w:val="center"/>
          </w:tcPr>
          <w:p>
            <w:r>
              <w:rPr>
                <w:b/>
                <w:color w:val="FFFFFF"/>
                <w:sz w:val="15"/>
              </w:rPr>
              <w:t>Stable origins</w:t>
            </w:r>
          </w:p>
        </w:tc>
      </w:tr>
      <w:tr>
        <w:tc>
          <w:tcPr>
            <w:tcW w:type="dxa" w:w="1008"/>
            <w:tcMar>
              <w:top w:w="80" w:type="dxa"/>
              <w:start w:w="80" w:type="dxa"/>
              <w:bottom w:w="80" w:type="dxa"/>
              <w:end w:w="80" w:type="dxa"/>
            </w:tcMar>
            <w:vAlign w:val="center"/>
          </w:tcPr>
          <w:p>
            <w:pPr>
              <w:spacing w:after="0"/>
            </w:pPr>
            <w:r>
              <w:rPr>
                <w:sz w:val="15"/>
              </w:rPr>
              <w:t>NSW1</w:t>
            </w:r>
          </w:p>
        </w:tc>
        <w:tc>
          <w:tcPr>
            <w:tcW w:type="dxa" w:w="1152"/>
            <w:tcMar>
              <w:top w:w="80" w:type="dxa"/>
              <w:start w:w="80" w:type="dxa"/>
              <w:bottom w:w="80" w:type="dxa"/>
              <w:end w:w="80" w:type="dxa"/>
            </w:tcMar>
            <w:vAlign w:val="center"/>
          </w:tcPr>
          <w:p>
            <w:pPr>
              <w:spacing w:after="0"/>
            </w:pPr>
            <w:r>
              <w:rPr>
                <w:sz w:val="15"/>
              </w:rPr>
              <w:t>5.34%</w:t>
            </w:r>
          </w:p>
        </w:tc>
        <w:tc>
          <w:tcPr>
            <w:tcW w:type="dxa" w:w="1296"/>
            <w:tcMar>
              <w:top w:w="80" w:type="dxa"/>
              <w:start w:w="80" w:type="dxa"/>
              <w:bottom w:w="80" w:type="dxa"/>
              <w:end w:w="80" w:type="dxa"/>
            </w:tcMar>
            <w:vAlign w:val="center"/>
          </w:tcPr>
          <w:p>
            <w:pPr>
              <w:spacing w:after="0"/>
            </w:pPr>
            <w:r>
              <w:rPr>
                <w:sz w:val="15"/>
              </w:rPr>
              <w:t>7.91%</w:t>
            </w:r>
          </w:p>
        </w:tc>
        <w:tc>
          <w:tcPr>
            <w:tcW w:type="dxa" w:w="1152"/>
            <w:tcMar>
              <w:top w:w="80" w:type="dxa"/>
              <w:start w:w="80" w:type="dxa"/>
              <w:bottom w:w="80" w:type="dxa"/>
              <w:end w:w="80" w:type="dxa"/>
            </w:tcMar>
            <w:vAlign w:val="center"/>
          </w:tcPr>
          <w:p>
            <w:pPr>
              <w:spacing w:after="0"/>
            </w:pPr>
            <w:r>
              <w:rPr>
                <w:sz w:val="15"/>
              </w:rPr>
              <w:t>7.82%</w:t>
            </w:r>
          </w:p>
        </w:tc>
        <w:tc>
          <w:tcPr>
            <w:tcW w:type="dxa" w:w="1152"/>
            <w:tcMar>
              <w:top w:w="80" w:type="dxa"/>
              <w:start w:w="80" w:type="dxa"/>
              <w:bottom w:w="80" w:type="dxa"/>
              <w:end w:w="80" w:type="dxa"/>
            </w:tcMar>
            <w:vAlign w:val="center"/>
          </w:tcPr>
          <w:p>
            <w:pPr>
              <w:spacing w:after="0"/>
            </w:pPr>
            <w:r>
              <w:rPr>
                <w:sz w:val="15"/>
              </w:rPr>
              <w:t>8.07%</w:t>
            </w:r>
          </w:p>
        </w:tc>
        <w:tc>
          <w:tcPr>
            <w:tcW w:type="dxa" w:w="1152"/>
            <w:tcMar>
              <w:top w:w="80" w:type="dxa"/>
              <w:start w:w="80" w:type="dxa"/>
              <w:bottom w:w="80" w:type="dxa"/>
              <w:end w:w="80" w:type="dxa"/>
            </w:tcMar>
            <w:vAlign w:val="center"/>
          </w:tcPr>
          <w:p>
            <w:pPr>
              <w:spacing w:after="0"/>
            </w:pPr>
            <w:r>
              <w:rPr>
                <w:sz w:val="15"/>
              </w:rPr>
              <w:t>13.05%</w:t>
            </w:r>
          </w:p>
        </w:tc>
        <w:tc>
          <w:tcPr>
            <w:tcW w:type="dxa" w:w="1296"/>
            <w:tcMar>
              <w:top w:w="80" w:type="dxa"/>
              <w:start w:w="80" w:type="dxa"/>
              <w:bottom w:w="80" w:type="dxa"/>
              <w:end w:w="80" w:type="dxa"/>
            </w:tcMar>
            <w:vAlign w:val="center"/>
          </w:tcPr>
          <w:p>
            <w:pPr>
              <w:spacing w:after="0"/>
            </w:pPr>
            <w:r>
              <w:rPr>
                <w:sz w:val="15"/>
              </w:rPr>
              <w:t>3</w:t>
            </w:r>
          </w:p>
        </w:tc>
      </w:tr>
      <w:tr>
        <w:tc>
          <w:tcPr>
            <w:tcW w:type="dxa" w:w="1008"/>
            <w:tcMar>
              <w:top w:w="80" w:type="dxa"/>
              <w:start w:w="80" w:type="dxa"/>
              <w:bottom w:w="80" w:type="dxa"/>
              <w:end w:w="80" w:type="dxa"/>
            </w:tcMar>
            <w:vAlign w:val="center"/>
            <w:shd w:fill="F7F9FB"/>
          </w:tcPr>
          <w:p>
            <w:pPr>
              <w:spacing w:after="0"/>
            </w:pPr>
            <w:r>
              <w:rPr>
                <w:sz w:val="15"/>
              </w:rPr>
              <w:t>QLD1</w:t>
            </w:r>
          </w:p>
        </w:tc>
        <w:tc>
          <w:tcPr>
            <w:tcW w:type="dxa" w:w="1152"/>
            <w:tcMar>
              <w:top w:w="80" w:type="dxa"/>
              <w:start w:w="80" w:type="dxa"/>
              <w:bottom w:w="80" w:type="dxa"/>
              <w:end w:w="80" w:type="dxa"/>
            </w:tcMar>
            <w:vAlign w:val="center"/>
            <w:shd w:fill="F7F9FB"/>
          </w:tcPr>
          <w:p>
            <w:pPr>
              <w:spacing w:after="0"/>
            </w:pPr>
            <w:r>
              <w:rPr>
                <w:sz w:val="15"/>
              </w:rPr>
              <w:t>4.39%</w:t>
            </w:r>
          </w:p>
        </w:tc>
        <w:tc>
          <w:tcPr>
            <w:tcW w:type="dxa" w:w="1296"/>
            <w:tcMar>
              <w:top w:w="80" w:type="dxa"/>
              <w:start w:w="80" w:type="dxa"/>
              <w:bottom w:w="80" w:type="dxa"/>
              <w:end w:w="80" w:type="dxa"/>
            </w:tcMar>
            <w:vAlign w:val="center"/>
            <w:shd w:fill="F7F9FB"/>
          </w:tcPr>
          <w:p>
            <w:pPr>
              <w:spacing w:after="0"/>
            </w:pPr>
            <w:r>
              <w:rPr>
                <w:sz w:val="15"/>
              </w:rPr>
              <w:t>4.62%</w:t>
            </w:r>
          </w:p>
        </w:tc>
        <w:tc>
          <w:tcPr>
            <w:tcW w:type="dxa" w:w="1152"/>
            <w:tcMar>
              <w:top w:w="80" w:type="dxa"/>
              <w:start w:w="80" w:type="dxa"/>
              <w:bottom w:w="80" w:type="dxa"/>
              <w:end w:w="80" w:type="dxa"/>
            </w:tcMar>
            <w:vAlign w:val="center"/>
            <w:shd w:fill="F7F9FB"/>
          </w:tcPr>
          <w:p>
            <w:pPr>
              <w:spacing w:after="0"/>
            </w:pPr>
            <w:r>
              <w:rPr>
                <w:sz w:val="15"/>
              </w:rPr>
              <w:t>6.72%</w:t>
            </w:r>
          </w:p>
        </w:tc>
        <w:tc>
          <w:tcPr>
            <w:tcW w:type="dxa" w:w="1152"/>
            <w:tcMar>
              <w:top w:w="80" w:type="dxa"/>
              <w:start w:w="80" w:type="dxa"/>
              <w:bottom w:w="80" w:type="dxa"/>
              <w:end w:w="80" w:type="dxa"/>
            </w:tcMar>
            <w:vAlign w:val="center"/>
            <w:shd w:fill="F7F9FB"/>
          </w:tcPr>
          <w:p>
            <w:pPr>
              <w:spacing w:after="0"/>
            </w:pPr>
            <w:r>
              <w:rPr>
                <w:sz w:val="15"/>
              </w:rPr>
              <w:t>8.46%</w:t>
            </w:r>
          </w:p>
        </w:tc>
        <w:tc>
          <w:tcPr>
            <w:tcW w:type="dxa" w:w="1152"/>
            <w:tcMar>
              <w:top w:w="80" w:type="dxa"/>
              <w:start w:w="80" w:type="dxa"/>
              <w:bottom w:w="80" w:type="dxa"/>
              <w:end w:w="80" w:type="dxa"/>
            </w:tcMar>
            <w:vAlign w:val="center"/>
            <w:shd w:fill="F7F9FB"/>
          </w:tcPr>
          <w:p>
            <w:pPr>
              <w:spacing w:after="0"/>
            </w:pPr>
            <w:r>
              <w:rPr>
                <w:sz w:val="15"/>
              </w:rPr>
              <w:t>10.41%</w:t>
            </w:r>
          </w:p>
        </w:tc>
        <w:tc>
          <w:tcPr>
            <w:tcW w:type="dxa" w:w="1296"/>
            <w:tcMar>
              <w:top w:w="80" w:type="dxa"/>
              <w:start w:w="80" w:type="dxa"/>
              <w:bottom w:w="80" w:type="dxa"/>
              <w:end w:w="80" w:type="dxa"/>
            </w:tcMar>
            <w:vAlign w:val="center"/>
            <w:shd w:fill="F7F9FB"/>
          </w:tcPr>
          <w:p>
            <w:pPr>
              <w:spacing w:after="0"/>
            </w:pPr>
            <w:r>
              <w:rPr>
                <w:sz w:val="15"/>
              </w:rPr>
              <w:t>3</w:t>
            </w:r>
          </w:p>
        </w:tc>
      </w:tr>
      <w:tr>
        <w:tc>
          <w:tcPr>
            <w:tcW w:type="dxa" w:w="1008"/>
            <w:tcMar>
              <w:top w:w="80" w:type="dxa"/>
              <w:start w:w="80" w:type="dxa"/>
              <w:bottom w:w="80" w:type="dxa"/>
              <w:end w:w="80" w:type="dxa"/>
            </w:tcMar>
            <w:vAlign w:val="center"/>
          </w:tcPr>
          <w:p>
            <w:pPr>
              <w:spacing w:after="0"/>
            </w:pPr>
            <w:r>
              <w:rPr>
                <w:sz w:val="15"/>
              </w:rPr>
              <w:t>VIC1</w:t>
            </w:r>
          </w:p>
        </w:tc>
        <w:tc>
          <w:tcPr>
            <w:tcW w:type="dxa" w:w="1152"/>
            <w:tcMar>
              <w:top w:w="80" w:type="dxa"/>
              <w:start w:w="80" w:type="dxa"/>
              <w:bottom w:w="80" w:type="dxa"/>
              <w:end w:w="80" w:type="dxa"/>
            </w:tcMar>
            <w:vAlign w:val="center"/>
          </w:tcPr>
          <w:p>
            <w:pPr>
              <w:spacing w:after="0"/>
            </w:pPr>
            <w:r>
              <w:rPr>
                <w:sz w:val="15"/>
              </w:rPr>
              <w:t>8.50%</w:t>
            </w:r>
          </w:p>
        </w:tc>
        <w:tc>
          <w:tcPr>
            <w:tcW w:type="dxa" w:w="1296"/>
            <w:tcMar>
              <w:top w:w="80" w:type="dxa"/>
              <w:start w:w="80" w:type="dxa"/>
              <w:bottom w:w="80" w:type="dxa"/>
              <w:end w:w="80" w:type="dxa"/>
            </w:tcMar>
            <w:vAlign w:val="center"/>
          </w:tcPr>
          <w:p>
            <w:pPr>
              <w:spacing w:after="0"/>
            </w:pPr>
            <w:r>
              <w:rPr>
                <w:sz w:val="15"/>
              </w:rPr>
              <w:t>11.29%</w:t>
            </w:r>
          </w:p>
        </w:tc>
        <w:tc>
          <w:tcPr>
            <w:tcW w:type="dxa" w:w="1152"/>
            <w:tcMar>
              <w:top w:w="80" w:type="dxa"/>
              <w:start w:w="80" w:type="dxa"/>
              <w:bottom w:w="80" w:type="dxa"/>
              <w:end w:w="80" w:type="dxa"/>
            </w:tcMar>
            <w:vAlign w:val="center"/>
          </w:tcPr>
          <w:p>
            <w:pPr>
              <w:spacing w:after="0"/>
            </w:pPr>
            <w:r>
              <w:rPr>
                <w:sz w:val="15"/>
              </w:rPr>
              <w:t>9.91%</w:t>
            </w:r>
          </w:p>
        </w:tc>
        <w:tc>
          <w:tcPr>
            <w:tcW w:type="dxa" w:w="1152"/>
            <w:tcMar>
              <w:top w:w="80" w:type="dxa"/>
              <w:start w:w="80" w:type="dxa"/>
              <w:bottom w:w="80" w:type="dxa"/>
              <w:end w:w="80" w:type="dxa"/>
            </w:tcMar>
            <w:vAlign w:val="center"/>
          </w:tcPr>
          <w:p>
            <w:pPr>
              <w:spacing w:after="0"/>
            </w:pPr>
            <w:r>
              <w:rPr>
                <w:sz w:val="15"/>
              </w:rPr>
              <w:t>10.19%</w:t>
            </w:r>
          </w:p>
        </w:tc>
        <w:tc>
          <w:tcPr>
            <w:tcW w:type="dxa" w:w="1152"/>
            <w:tcMar>
              <w:top w:w="80" w:type="dxa"/>
              <w:start w:w="80" w:type="dxa"/>
              <w:bottom w:w="80" w:type="dxa"/>
              <w:end w:w="80" w:type="dxa"/>
            </w:tcMar>
            <w:vAlign w:val="center"/>
          </w:tcPr>
          <w:p>
            <w:pPr>
              <w:spacing w:after="0"/>
            </w:pPr>
            <w:r>
              <w:rPr>
                <w:sz w:val="15"/>
              </w:rPr>
              <w:t>14.90%</w:t>
            </w:r>
          </w:p>
        </w:tc>
        <w:tc>
          <w:tcPr>
            <w:tcW w:type="dxa" w:w="1296"/>
            <w:tcMar>
              <w:top w:w="80" w:type="dxa"/>
              <w:start w:w="80" w:type="dxa"/>
              <w:bottom w:w="80" w:type="dxa"/>
              <w:end w:w="80" w:type="dxa"/>
            </w:tcMar>
            <w:vAlign w:val="center"/>
          </w:tcPr>
          <w:p>
            <w:pPr>
              <w:spacing w:after="0"/>
            </w:pPr>
            <w:r>
              <w:rPr>
                <w:sz w:val="15"/>
              </w:rPr>
              <w:t>3</w:t>
            </w:r>
          </w:p>
        </w:tc>
      </w:tr>
      <w:tr>
        <w:tc>
          <w:tcPr>
            <w:tcW w:type="dxa" w:w="1008"/>
            <w:tcMar>
              <w:top w:w="80" w:type="dxa"/>
              <w:start w:w="80" w:type="dxa"/>
              <w:bottom w:w="80" w:type="dxa"/>
              <w:end w:w="80" w:type="dxa"/>
            </w:tcMar>
            <w:vAlign w:val="center"/>
            <w:shd w:fill="F7F9FB"/>
          </w:tcPr>
          <w:p>
            <w:pPr>
              <w:spacing w:after="0"/>
            </w:pPr>
            <w:r>
              <w:rPr>
                <w:sz w:val="15"/>
              </w:rPr>
              <w:t>SA1</w:t>
            </w:r>
          </w:p>
        </w:tc>
        <w:tc>
          <w:tcPr>
            <w:tcW w:type="dxa" w:w="1152"/>
            <w:tcMar>
              <w:top w:w="80" w:type="dxa"/>
              <w:start w:w="80" w:type="dxa"/>
              <w:bottom w:w="80" w:type="dxa"/>
              <w:end w:w="80" w:type="dxa"/>
            </w:tcMar>
            <w:vAlign w:val="center"/>
            <w:shd w:fill="F7F9FB"/>
          </w:tcPr>
          <w:p>
            <w:pPr>
              <w:spacing w:after="0"/>
            </w:pPr>
            <w:r>
              <w:rPr>
                <w:sz w:val="15"/>
              </w:rPr>
              <w:t>16.66%</w:t>
            </w:r>
          </w:p>
        </w:tc>
        <w:tc>
          <w:tcPr>
            <w:tcW w:type="dxa" w:w="1296"/>
            <w:tcMar>
              <w:top w:w="80" w:type="dxa"/>
              <w:start w:w="80" w:type="dxa"/>
              <w:bottom w:w="80" w:type="dxa"/>
              <w:end w:w="80" w:type="dxa"/>
            </w:tcMar>
            <w:vAlign w:val="center"/>
            <w:shd w:fill="F7F9FB"/>
          </w:tcPr>
          <w:p>
            <w:pPr>
              <w:spacing w:after="0"/>
            </w:pPr>
            <w:r>
              <w:rPr>
                <w:sz w:val="15"/>
              </w:rPr>
              <w:t>23.30%</w:t>
            </w:r>
          </w:p>
        </w:tc>
        <w:tc>
          <w:tcPr>
            <w:tcW w:type="dxa" w:w="1152"/>
            <w:tcMar>
              <w:top w:w="80" w:type="dxa"/>
              <w:start w:w="80" w:type="dxa"/>
              <w:bottom w:w="80" w:type="dxa"/>
              <w:end w:w="80" w:type="dxa"/>
            </w:tcMar>
            <w:vAlign w:val="center"/>
            <w:shd w:fill="F7F9FB"/>
          </w:tcPr>
          <w:p>
            <w:pPr>
              <w:spacing w:after="0"/>
            </w:pPr>
            <w:r>
              <w:rPr>
                <w:sz w:val="15"/>
              </w:rPr>
              <w:t>24.53%</w:t>
            </w:r>
          </w:p>
        </w:tc>
        <w:tc>
          <w:tcPr>
            <w:tcW w:type="dxa" w:w="1152"/>
            <w:tcMar>
              <w:top w:w="80" w:type="dxa"/>
              <w:start w:w="80" w:type="dxa"/>
              <w:bottom w:w="80" w:type="dxa"/>
              <w:end w:w="80" w:type="dxa"/>
            </w:tcMar>
            <w:vAlign w:val="center"/>
            <w:shd w:fill="F7F9FB"/>
          </w:tcPr>
          <w:p>
            <w:pPr>
              <w:spacing w:after="0"/>
            </w:pPr>
            <w:r>
              <w:rPr>
                <w:sz w:val="15"/>
              </w:rPr>
              <w:t>24.72%</w:t>
            </w:r>
          </w:p>
        </w:tc>
        <w:tc>
          <w:tcPr>
            <w:tcW w:type="dxa" w:w="1152"/>
            <w:tcMar>
              <w:top w:w="80" w:type="dxa"/>
              <w:start w:w="80" w:type="dxa"/>
              <w:bottom w:w="80" w:type="dxa"/>
              <w:end w:w="80" w:type="dxa"/>
            </w:tcMar>
            <w:vAlign w:val="center"/>
            <w:shd w:fill="F7F9FB"/>
          </w:tcPr>
          <w:p>
            <w:pPr>
              <w:spacing w:after="0"/>
            </w:pPr>
            <w:r>
              <w:rPr>
                <w:sz w:val="15"/>
              </w:rPr>
              <w:t>27.93%</w:t>
            </w:r>
          </w:p>
        </w:tc>
        <w:tc>
          <w:tcPr>
            <w:tcW w:type="dxa" w:w="1296"/>
            <w:tcMar>
              <w:top w:w="80" w:type="dxa"/>
              <w:start w:w="80" w:type="dxa"/>
              <w:bottom w:w="80" w:type="dxa"/>
              <w:end w:w="80" w:type="dxa"/>
            </w:tcMar>
            <w:vAlign w:val="center"/>
            <w:shd w:fill="F7F9FB"/>
          </w:tcPr>
          <w:p>
            <w:pPr>
              <w:spacing w:after="0"/>
            </w:pPr>
            <w:r>
              <w:rPr>
                <w:sz w:val="15"/>
              </w:rPr>
              <w:t>2</w:t>
            </w:r>
          </w:p>
        </w:tc>
      </w:tr>
      <w:tr>
        <w:tc>
          <w:tcPr>
            <w:tcW w:type="dxa" w:w="1008"/>
            <w:tcMar>
              <w:top w:w="80" w:type="dxa"/>
              <w:start w:w="80" w:type="dxa"/>
              <w:bottom w:w="80" w:type="dxa"/>
              <w:end w:w="80" w:type="dxa"/>
            </w:tcMar>
            <w:vAlign w:val="center"/>
          </w:tcPr>
          <w:p>
            <w:pPr>
              <w:spacing w:after="0"/>
            </w:pPr>
            <w:r>
              <w:rPr>
                <w:sz w:val="15"/>
              </w:rPr>
              <w:t>TAS1</w:t>
            </w:r>
          </w:p>
        </w:tc>
        <w:tc>
          <w:tcPr>
            <w:tcW w:type="dxa" w:w="1152"/>
            <w:tcMar>
              <w:top w:w="80" w:type="dxa"/>
              <w:start w:w="80" w:type="dxa"/>
              <w:bottom w:w="80" w:type="dxa"/>
              <w:end w:w="80" w:type="dxa"/>
            </w:tcMar>
            <w:vAlign w:val="center"/>
          </w:tcPr>
          <w:p>
            <w:pPr>
              <w:spacing w:after="0"/>
            </w:pPr>
            <w:r>
              <w:rPr>
                <w:sz w:val="15"/>
              </w:rPr>
              <w:t>4.78%</w:t>
            </w:r>
          </w:p>
        </w:tc>
        <w:tc>
          <w:tcPr>
            <w:tcW w:type="dxa" w:w="1296"/>
            <w:tcMar>
              <w:top w:w="80" w:type="dxa"/>
              <w:start w:w="80" w:type="dxa"/>
              <w:bottom w:w="80" w:type="dxa"/>
              <w:end w:w="80" w:type="dxa"/>
            </w:tcMar>
            <w:vAlign w:val="center"/>
          </w:tcPr>
          <w:p>
            <w:pPr>
              <w:spacing w:after="0"/>
            </w:pPr>
            <w:r>
              <w:rPr>
                <w:sz w:val="15"/>
              </w:rPr>
              <w:t>6.86%</w:t>
            </w:r>
          </w:p>
        </w:tc>
        <w:tc>
          <w:tcPr>
            <w:tcW w:type="dxa" w:w="1152"/>
            <w:tcMar>
              <w:top w:w="80" w:type="dxa"/>
              <w:start w:w="80" w:type="dxa"/>
              <w:bottom w:w="80" w:type="dxa"/>
              <w:end w:w="80" w:type="dxa"/>
            </w:tcMar>
            <w:vAlign w:val="center"/>
          </w:tcPr>
          <w:p>
            <w:pPr>
              <w:spacing w:after="0"/>
            </w:pPr>
            <w:r>
              <w:rPr>
                <w:sz w:val="15"/>
              </w:rPr>
              <w:t>7.02%</w:t>
            </w:r>
          </w:p>
        </w:tc>
        <w:tc>
          <w:tcPr>
            <w:tcW w:type="dxa" w:w="1152"/>
            <w:tcMar>
              <w:top w:w="80" w:type="dxa"/>
              <w:start w:w="80" w:type="dxa"/>
              <w:bottom w:w="80" w:type="dxa"/>
              <w:end w:w="80" w:type="dxa"/>
            </w:tcMar>
            <w:vAlign w:val="center"/>
          </w:tcPr>
          <w:p>
            <w:pPr>
              <w:spacing w:after="0"/>
            </w:pPr>
            <w:r>
              <w:rPr>
                <w:sz w:val="15"/>
              </w:rPr>
              <w:t>6.59%</w:t>
            </w:r>
          </w:p>
        </w:tc>
        <w:tc>
          <w:tcPr>
            <w:tcW w:type="dxa" w:w="1152"/>
            <w:tcMar>
              <w:top w:w="80" w:type="dxa"/>
              <w:start w:w="80" w:type="dxa"/>
              <w:bottom w:w="80" w:type="dxa"/>
              <w:end w:w="80" w:type="dxa"/>
            </w:tcMar>
            <w:vAlign w:val="center"/>
          </w:tcPr>
          <w:p>
            <w:pPr>
              <w:spacing w:after="0"/>
            </w:pPr>
            <w:r>
              <w:rPr>
                <w:sz w:val="15"/>
              </w:rPr>
              <w:t>7.38%</w:t>
            </w:r>
          </w:p>
        </w:tc>
        <w:tc>
          <w:tcPr>
            <w:tcW w:type="dxa" w:w="1296"/>
            <w:tcMar>
              <w:top w:w="80" w:type="dxa"/>
              <w:start w:w="80" w:type="dxa"/>
              <w:bottom w:w="80" w:type="dxa"/>
              <w:end w:w="80" w:type="dxa"/>
            </w:tcMar>
            <w:vAlign w:val="center"/>
          </w:tcPr>
          <w:p>
            <w:pPr>
              <w:spacing w:after="0"/>
            </w:pPr>
            <w:r>
              <w:rPr>
                <w:sz w:val="15"/>
              </w:rPr>
              <w:t>3</w:t>
            </w:r>
          </w:p>
        </w:tc>
      </w:tr>
      <w:tr>
        <w:tc>
          <w:tcPr>
            <w:tcW w:type="dxa" w:w="1008"/>
            <w:tcMar>
              <w:top w:w="80" w:type="dxa"/>
              <w:start w:w="80" w:type="dxa"/>
              <w:bottom w:w="80" w:type="dxa"/>
              <w:end w:w="80" w:type="dxa"/>
            </w:tcMar>
            <w:vAlign w:val="center"/>
            <w:shd w:fill="F7F9FB"/>
          </w:tcPr>
          <w:p>
            <w:pPr>
              <w:spacing w:after="0"/>
            </w:pPr>
            <w:r>
              <w:rPr>
                <w:sz w:val="15"/>
              </w:rPr>
              <w:t>WA</w:t>
            </w:r>
          </w:p>
        </w:tc>
        <w:tc>
          <w:tcPr>
            <w:tcW w:type="dxa" w:w="1152"/>
            <w:tcMar>
              <w:top w:w="80" w:type="dxa"/>
              <w:start w:w="80" w:type="dxa"/>
              <w:bottom w:w="80" w:type="dxa"/>
              <w:end w:w="80" w:type="dxa"/>
            </w:tcMar>
            <w:vAlign w:val="center"/>
            <w:shd w:fill="F7F9FB"/>
          </w:tcPr>
          <w:p>
            <w:pPr>
              <w:spacing w:after="0"/>
            </w:pPr>
            <w:r>
              <w:rPr>
                <w:sz w:val="15"/>
              </w:rPr>
              <w:t>10.66%</w:t>
            </w:r>
          </w:p>
        </w:tc>
        <w:tc>
          <w:tcPr>
            <w:tcW w:type="dxa" w:w="1296"/>
            <w:tcMar>
              <w:top w:w="80" w:type="dxa"/>
              <w:start w:w="80" w:type="dxa"/>
              <w:bottom w:w="80" w:type="dxa"/>
              <w:end w:w="80" w:type="dxa"/>
            </w:tcMar>
            <w:vAlign w:val="center"/>
            <w:shd w:fill="F7F9FB"/>
          </w:tcPr>
          <w:p>
            <w:pPr>
              <w:spacing w:after="0"/>
            </w:pPr>
            <w:r>
              <w:rPr>
                <w:sz w:val="15"/>
              </w:rPr>
              <w:t>9.38%</w:t>
            </w:r>
          </w:p>
        </w:tc>
        <w:tc>
          <w:tcPr>
            <w:tcW w:type="dxa" w:w="1152"/>
            <w:tcMar>
              <w:top w:w="80" w:type="dxa"/>
              <w:start w:w="80" w:type="dxa"/>
              <w:bottom w:w="80" w:type="dxa"/>
              <w:end w:w="80" w:type="dxa"/>
            </w:tcMar>
            <w:vAlign w:val="center"/>
            <w:shd w:fill="F7F9FB"/>
          </w:tcPr>
          <w:p>
            <w:pPr>
              <w:spacing w:after="0"/>
            </w:pPr>
            <w:r>
              <w:rPr>
                <w:sz w:val="15"/>
              </w:rPr>
              <w:t>9.18%</w:t>
            </w:r>
          </w:p>
        </w:tc>
        <w:tc>
          <w:tcPr>
            <w:tcW w:type="dxa" w:w="1152"/>
            <w:tcMar>
              <w:top w:w="80" w:type="dxa"/>
              <w:start w:w="80" w:type="dxa"/>
              <w:bottom w:w="80" w:type="dxa"/>
              <w:end w:w="80" w:type="dxa"/>
            </w:tcMar>
            <w:vAlign w:val="center"/>
            <w:shd w:fill="F7F9FB"/>
          </w:tcPr>
          <w:p>
            <w:pPr>
              <w:spacing w:after="0"/>
            </w:pPr>
            <w:r>
              <w:rPr>
                <w:sz w:val="15"/>
              </w:rPr>
              <w:t>14.35%</w:t>
            </w:r>
          </w:p>
        </w:tc>
        <w:tc>
          <w:tcPr>
            <w:tcW w:type="dxa" w:w="1152"/>
            <w:tcMar>
              <w:top w:w="80" w:type="dxa"/>
              <w:start w:w="80" w:type="dxa"/>
              <w:bottom w:w="80" w:type="dxa"/>
              <w:end w:w="80" w:type="dxa"/>
            </w:tcMar>
            <w:vAlign w:val="center"/>
            <w:shd w:fill="F7F9FB"/>
          </w:tcPr>
          <w:p>
            <w:pPr>
              <w:spacing w:after="0"/>
            </w:pPr>
            <w:r>
              <w:rPr>
                <w:sz w:val="15"/>
              </w:rPr>
              <w:t>12.74%</w:t>
            </w:r>
          </w:p>
        </w:tc>
        <w:tc>
          <w:tcPr>
            <w:tcW w:type="dxa" w:w="1296"/>
            <w:tcMar>
              <w:top w:w="80" w:type="dxa"/>
              <w:start w:w="80" w:type="dxa"/>
              <w:bottom w:w="80" w:type="dxa"/>
              <w:end w:w="80" w:type="dxa"/>
            </w:tcMar>
            <w:vAlign w:val="center"/>
            <w:shd w:fill="F7F9FB"/>
          </w:tcPr>
          <w:p>
            <w:pPr>
              <w:spacing w:after="0"/>
            </w:pPr>
            <w:r>
              <w:rPr>
                <w:sz w:val="15"/>
              </w:rPr>
              <w:t>2</w:t>
            </w:r>
          </w:p>
        </w:tc>
      </w:tr>
    </w:tbl>
    <w:p>
      <w:pPr>
        <w:spacing w:after="20"/>
      </w:pPr>
    </w:p>
    <w:p>
      <w:pPr>
        <w:spacing w:after="100"/>
      </w:pPr>
      <w:r>
        <w:t>The project should therefore treat a four-month point forecast differently from a day-ahead forecast. The first week is still anchored strongly by recent actual demand. By months two to four, all lag inputs are recursive, so the model is effectively using its own earlier estimates plus deterministic calendar/history profiles. The rising error curve is not a software failure; it is a structural property of long recursive forecasting and should be communicated as uncertainty in the final dashboard.</w:t>
      </w:r>
    </w:p>
    <w:p>
      <w:r>
        <w:br w:type="page"/>
      </w:r>
    </w:p>
    <w:p>
      <w:pPr>
        <w:pStyle w:val="Heading1"/>
      </w:pPr>
      <w:r>
        <w:t>13. Forecast Products Produced by Stage 3</w:t>
      </w:r>
    </w:p>
    <w:p>
      <w:pPr>
        <w:spacing w:after="100"/>
      </w:pPr>
      <w:r>
        <w:t>Stage 3 produces multiple forecast products because “the forecast” is not one file. The frozen vintage answers the audit question “what did we predict at the formal month boundary?”, while the live/Model B vintage answers “what would we issue now with the newest forecast-safe information?”. Keeping them separate prevents hindsight from rewriting history.</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1872"/>
            <w:shd w:fill="17365D"/>
            <w:tcMar>
              <w:top w:w="80" w:type="dxa"/>
              <w:start w:w="80" w:type="dxa"/>
              <w:bottom w:w="80" w:type="dxa"/>
              <w:end w:w="80" w:type="dxa"/>
            </w:tcMar>
            <w:vAlign w:val="center"/>
          </w:tcPr>
          <w:p>
            <w:r>
              <w:rPr>
                <w:b/>
                <w:color w:val="FFFFFF"/>
                <w:sz w:val="16"/>
              </w:rPr>
              <w:t>Product</w:t>
            </w:r>
          </w:p>
        </w:tc>
        <w:tc>
          <w:tcPr>
            <w:tcW w:type="dxa" w:w="3888"/>
            <w:shd w:fill="17365D"/>
            <w:tcMar>
              <w:top w:w="80" w:type="dxa"/>
              <w:start w:w="80" w:type="dxa"/>
              <w:bottom w:w="80" w:type="dxa"/>
              <w:end w:w="80" w:type="dxa"/>
            </w:tcMar>
            <w:vAlign w:val="center"/>
          </w:tcPr>
          <w:p>
            <w:r>
              <w:rPr>
                <w:b/>
                <w:color w:val="FFFFFF"/>
                <w:sz w:val="16"/>
              </w:rPr>
              <w:t>Purpose</w:t>
            </w:r>
          </w:p>
        </w:tc>
        <w:tc>
          <w:tcPr>
            <w:tcW w:type="dxa" w:w="4464"/>
            <w:shd w:fill="17365D"/>
            <w:tcMar>
              <w:top w:w="80" w:type="dxa"/>
              <w:start w:w="80" w:type="dxa"/>
              <w:bottom w:w="80" w:type="dxa"/>
              <w:end w:w="80" w:type="dxa"/>
            </w:tcMar>
            <w:vAlign w:val="center"/>
          </w:tcPr>
          <w:p>
            <w:r>
              <w:rPr>
                <w:b/>
                <w:color w:val="FFFFFF"/>
                <w:sz w:val="16"/>
              </w:rPr>
              <w:t>Current 2026 behaviour</w:t>
            </w:r>
          </w:p>
        </w:tc>
      </w:tr>
      <w:tr>
        <w:tc>
          <w:tcPr>
            <w:tcW w:type="dxa" w:w="1872"/>
            <w:tcMar>
              <w:top w:w="80" w:type="dxa"/>
              <w:start w:w="80" w:type="dxa"/>
              <w:bottom w:w="80" w:type="dxa"/>
              <w:end w:w="80" w:type="dxa"/>
            </w:tcMar>
            <w:vAlign w:val="center"/>
          </w:tcPr>
          <w:p>
            <w:pPr>
              <w:spacing w:after="0"/>
            </w:pPr>
            <w:r>
              <w:rPr>
                <w:sz w:val="16"/>
              </w:rPr>
              <w:t>Frozen forecast</w:t>
            </w:r>
          </w:p>
        </w:tc>
        <w:tc>
          <w:tcPr>
            <w:tcW w:type="dxa" w:w="3888"/>
            <w:tcMar>
              <w:top w:w="80" w:type="dxa"/>
              <w:start w:w="80" w:type="dxa"/>
              <w:bottom w:w="80" w:type="dxa"/>
              <w:end w:w="80" w:type="dxa"/>
            </w:tcMar>
            <w:vAlign w:val="center"/>
          </w:tcPr>
          <w:p>
            <w:pPr>
              <w:spacing w:after="0"/>
            </w:pPr>
            <w:r>
              <w:rPr>
                <w:sz w:val="16"/>
              </w:rPr>
              <w:t>Immutable reference used for later accuracy verification</w:t>
            </w:r>
          </w:p>
        </w:tc>
        <w:tc>
          <w:tcPr>
            <w:tcW w:type="dxa" w:w="4464"/>
            <w:tcMar>
              <w:top w:w="80" w:type="dxa"/>
              <w:start w:w="80" w:type="dxa"/>
              <w:bottom w:w="80" w:type="dxa"/>
              <w:end w:w="80" w:type="dxa"/>
            </w:tcMar>
            <w:vAlign w:val="center"/>
          </w:tcPr>
          <w:p>
            <w:pPr>
              <w:spacing w:after="0"/>
            </w:pPr>
            <w:r>
              <w:rPr>
                <w:sz w:val="16"/>
              </w:rPr>
              <w:t>1 Sep–31 Dec 2026, 5,856 half-hours per region, trained only through 31 Aug</w:t>
            </w:r>
          </w:p>
        </w:tc>
      </w:tr>
      <w:tr>
        <w:tc>
          <w:tcPr>
            <w:tcW w:type="dxa" w:w="1872"/>
            <w:tcMar>
              <w:top w:w="80" w:type="dxa"/>
              <w:start w:w="80" w:type="dxa"/>
              <w:bottom w:w="80" w:type="dxa"/>
              <w:end w:w="80" w:type="dxa"/>
            </w:tcMar>
            <w:vAlign w:val="center"/>
            <w:shd w:fill="F7F9FB"/>
          </w:tcPr>
          <w:p>
            <w:pPr>
              <w:spacing w:after="0"/>
            </w:pPr>
            <w:r>
              <w:rPr>
                <w:sz w:val="16"/>
              </w:rPr>
              <w:t>Current/live forecast</w:t>
            </w:r>
          </w:p>
        </w:tc>
        <w:tc>
          <w:tcPr>
            <w:tcW w:type="dxa" w:w="3888"/>
            <w:tcMar>
              <w:top w:w="80" w:type="dxa"/>
              <w:start w:w="80" w:type="dxa"/>
              <w:bottom w:w="80" w:type="dxa"/>
              <w:end w:w="80" w:type="dxa"/>
            </w:tcMar>
            <w:vAlign w:val="center"/>
            <w:shd w:fill="F7F9FB"/>
          </w:tcPr>
          <w:p>
            <w:pPr>
              <w:spacing w:after="0"/>
            </w:pPr>
            <w:r>
              <w:rPr>
                <w:sz w:val="16"/>
              </w:rPr>
              <w:t>Operational re-issue with current forecast-safe information</w:t>
            </w:r>
          </w:p>
        </w:tc>
        <w:tc>
          <w:tcPr>
            <w:tcW w:type="dxa" w:w="4464"/>
            <w:tcMar>
              <w:top w:w="80" w:type="dxa"/>
              <w:start w:w="80" w:type="dxa"/>
              <w:bottom w:w="80" w:type="dxa"/>
              <w:end w:w="80" w:type="dxa"/>
            </w:tcMar>
            <w:vAlign w:val="center"/>
            <w:shd w:fill="F7F9FB"/>
          </w:tcPr>
          <w:p>
            <w:pPr>
              <w:spacing w:after="0"/>
            </w:pPr>
            <w:r>
              <w:rPr>
                <w:sz w:val="16"/>
              </w:rPr>
              <w:t>Same four-month window; Model B can use the current 7-day weather vintage</w:t>
            </w:r>
          </w:p>
        </w:tc>
      </w:tr>
      <w:tr>
        <w:tc>
          <w:tcPr>
            <w:tcW w:type="dxa" w:w="1872"/>
            <w:tcMar>
              <w:top w:w="80" w:type="dxa"/>
              <w:start w:w="80" w:type="dxa"/>
              <w:bottom w:w="80" w:type="dxa"/>
              <w:end w:w="80" w:type="dxa"/>
            </w:tcMar>
            <w:vAlign w:val="center"/>
          </w:tcPr>
          <w:p>
            <w:pPr>
              <w:spacing w:after="0"/>
            </w:pPr>
            <w:r>
              <w:rPr>
                <w:sz w:val="16"/>
              </w:rPr>
              <w:t>Model A four-month</w:t>
            </w:r>
          </w:p>
        </w:tc>
        <w:tc>
          <w:tcPr>
            <w:tcW w:type="dxa" w:w="3888"/>
            <w:tcMar>
              <w:top w:w="80" w:type="dxa"/>
              <w:start w:w="80" w:type="dxa"/>
              <w:bottom w:w="80" w:type="dxa"/>
              <w:end w:w="80" w:type="dxa"/>
            </w:tcMar>
            <w:vAlign w:val="center"/>
          </w:tcPr>
          <w:p>
            <w:pPr>
              <w:spacing w:after="0"/>
            </w:pPr>
            <w:r>
              <w:rPr>
                <w:sz w:val="16"/>
              </w:rPr>
              <w:t>Weather-independent structural forecast</w:t>
            </w:r>
          </w:p>
        </w:tc>
        <w:tc>
          <w:tcPr>
            <w:tcW w:type="dxa" w:w="4464"/>
            <w:tcMar>
              <w:top w:w="80" w:type="dxa"/>
              <w:start w:w="80" w:type="dxa"/>
              <w:bottom w:w="80" w:type="dxa"/>
              <w:end w:w="80" w:type="dxa"/>
            </w:tcMar>
            <w:vAlign w:val="center"/>
          </w:tcPr>
          <w:p>
            <w:pPr>
              <w:spacing w:after="0"/>
            </w:pPr>
            <w:r>
              <w:rPr>
                <w:sz w:val="16"/>
              </w:rPr>
              <w:t>Available for all six regions across the full horizon</w:t>
            </w:r>
          </w:p>
        </w:tc>
      </w:tr>
      <w:tr>
        <w:tc>
          <w:tcPr>
            <w:tcW w:type="dxa" w:w="1872"/>
            <w:tcMar>
              <w:top w:w="80" w:type="dxa"/>
              <w:start w:w="80" w:type="dxa"/>
              <w:bottom w:w="80" w:type="dxa"/>
              <w:end w:w="80" w:type="dxa"/>
            </w:tcMar>
            <w:vAlign w:val="center"/>
            <w:shd w:fill="F7F9FB"/>
          </w:tcPr>
          <w:p>
            <w:pPr>
              <w:spacing w:after="0"/>
            </w:pPr>
            <w:r>
              <w:rPr>
                <w:sz w:val="16"/>
              </w:rPr>
              <w:t>Model B rolling/live</w:t>
            </w:r>
          </w:p>
        </w:tc>
        <w:tc>
          <w:tcPr>
            <w:tcW w:type="dxa" w:w="3888"/>
            <w:tcMar>
              <w:top w:w="80" w:type="dxa"/>
              <w:start w:w="80" w:type="dxa"/>
              <w:bottom w:w="80" w:type="dxa"/>
              <w:end w:w="80" w:type="dxa"/>
            </w:tcMar>
            <w:vAlign w:val="center"/>
            <w:shd w:fill="F7F9FB"/>
          </w:tcPr>
          <w:p>
            <w:pPr>
              <w:spacing w:after="0"/>
            </w:pPr>
            <w:r>
              <w:rPr>
                <w:sz w:val="16"/>
              </w:rPr>
              <w:t>Weather-informed alternative</w:t>
            </w:r>
          </w:p>
        </w:tc>
        <w:tc>
          <w:tcPr>
            <w:tcW w:type="dxa" w:w="4464"/>
            <w:tcMar>
              <w:top w:w="80" w:type="dxa"/>
              <w:start w:w="80" w:type="dxa"/>
              <w:bottom w:w="80" w:type="dxa"/>
              <w:end w:w="80" w:type="dxa"/>
            </w:tcMar>
            <w:vAlign w:val="center"/>
            <w:shd w:fill="F7F9FB"/>
          </w:tcPr>
          <w:p>
            <w:pPr>
              <w:spacing w:after="0"/>
            </w:pPr>
            <w:r>
              <w:rPr>
                <w:sz w:val="16"/>
              </w:rPr>
              <w:t>Genuine 7-day forecast weather, then climatology fallback</w:t>
            </w:r>
          </w:p>
        </w:tc>
      </w:tr>
      <w:tr>
        <w:tc>
          <w:tcPr>
            <w:tcW w:type="dxa" w:w="1872"/>
            <w:tcMar>
              <w:top w:w="80" w:type="dxa"/>
              <w:start w:w="80" w:type="dxa"/>
              <w:bottom w:w="80" w:type="dxa"/>
              <w:end w:w="80" w:type="dxa"/>
            </w:tcMar>
            <w:vAlign w:val="center"/>
          </w:tcPr>
          <w:p>
            <w:pPr>
              <w:spacing w:after="0"/>
            </w:pPr>
            <w:r>
              <w:rPr>
                <w:sz w:val="16"/>
              </w:rPr>
              <w:t>Monthly summary</w:t>
            </w:r>
          </w:p>
        </w:tc>
        <w:tc>
          <w:tcPr>
            <w:tcW w:type="dxa" w:w="3888"/>
            <w:tcMar>
              <w:top w:w="80" w:type="dxa"/>
              <w:start w:w="80" w:type="dxa"/>
              <w:bottom w:w="80" w:type="dxa"/>
              <w:end w:w="80" w:type="dxa"/>
            </w:tcMar>
            <w:vAlign w:val="center"/>
          </w:tcPr>
          <w:p>
            <w:pPr>
              <w:spacing w:after="0"/>
            </w:pPr>
            <w:r>
              <w:rPr>
                <w:sz w:val="16"/>
              </w:rPr>
              <w:t>Decision-support aggregation</w:t>
            </w:r>
          </w:p>
        </w:tc>
        <w:tc>
          <w:tcPr>
            <w:tcW w:type="dxa" w:w="4464"/>
            <w:tcMar>
              <w:top w:w="80" w:type="dxa"/>
              <w:start w:w="80" w:type="dxa"/>
              <w:bottom w:w="80" w:type="dxa"/>
              <w:end w:w="80" w:type="dxa"/>
            </w:tcMar>
            <w:vAlign w:val="center"/>
          </w:tcPr>
          <w:p>
            <w:pPr>
              <w:spacing w:after="0"/>
            </w:pPr>
            <w:r>
              <w:rPr>
                <w:sz w:val="16"/>
              </w:rPr>
              <w:t>Mean, median, min, max, peak timestamp, energy-equivalent summary and recursive share</w:t>
            </w:r>
          </w:p>
        </w:tc>
      </w:tr>
    </w:tbl>
    <w:p>
      <w:pPr>
        <w:spacing w:after="20"/>
      </w:pPr>
    </w:p>
    <w:p>
      <w:pPr>
        <w:jc w:val="center"/>
      </w:pPr>
      <w:r>
        <w:drawing>
          <wp:inline xmlns:a="http://schemas.openxmlformats.org/drawingml/2006/main" xmlns:pic="http://schemas.openxmlformats.org/drawingml/2006/picture">
            <wp:extent cx="5806440" cy="2438855"/>
            <wp:docPr id="10" name="Picture 10"/>
            <wp:cNvGraphicFramePr>
              <a:graphicFrameLocks noChangeAspect="1"/>
            </wp:cNvGraphicFramePr>
            <a:graphic>
              <a:graphicData uri="http://schemas.openxmlformats.org/drawingml/2006/picture">
                <pic:pic>
                  <pic:nvPicPr>
                    <pic:cNvPr id="0" name="forecast_monthly_means.png"/>
                    <pic:cNvPicPr/>
                  </pic:nvPicPr>
                  <pic:blipFill>
                    <a:blip r:embed="rId20"/>
                    <a:stretch>
                      <a:fillRect/>
                    </a:stretch>
                  </pic:blipFill>
                  <pic:spPr>
                    <a:xfrm>
                      <a:off x="0" y="0"/>
                      <a:ext cx="5806440" cy="2438855"/>
                    </a:xfrm>
                    <a:prstGeom prst="rect"/>
                  </pic:spPr>
                </pic:pic>
              </a:graphicData>
            </a:graphic>
          </wp:inline>
        </w:drawing>
      </w:r>
    </w:p>
    <w:p>
      <w:pPr>
        <w:pStyle w:val="Caption"/>
        <w:jc w:val="center"/>
      </w:pPr>
      <w:r>
        <w:t>Figure 10. Frozen forecast monthly means by region. The figure translates 5,856 half-hourly predictions into a higher-level seasonal outlook for September–December 2026.</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trPr>
        <w:tc>
          <w:tcPr>
            <w:tcW w:type="dxa" w:w="1152"/>
            <w:shd w:fill="17365D"/>
            <w:tcMar>
              <w:top w:w="80" w:type="dxa"/>
              <w:start w:w="80" w:type="dxa"/>
              <w:bottom w:w="80" w:type="dxa"/>
              <w:end w:w="80" w:type="dxa"/>
            </w:tcMar>
            <w:vAlign w:val="center"/>
          </w:tcPr>
          <w:p>
            <w:r>
              <w:rPr>
                <w:b/>
                <w:color w:val="FFFFFF"/>
                <w:sz w:val="16"/>
              </w:rPr>
              <w:t>Region</w:t>
            </w:r>
          </w:p>
        </w:tc>
        <w:tc>
          <w:tcPr>
            <w:tcW w:type="dxa" w:w="1584"/>
            <w:shd w:fill="17365D"/>
            <w:tcMar>
              <w:top w:w="80" w:type="dxa"/>
              <w:start w:w="80" w:type="dxa"/>
              <w:bottom w:w="80" w:type="dxa"/>
              <w:end w:w="80" w:type="dxa"/>
            </w:tcMar>
            <w:vAlign w:val="center"/>
          </w:tcPr>
          <w:p>
            <w:r>
              <w:rPr>
                <w:b/>
                <w:color w:val="FFFFFF"/>
                <w:sz w:val="16"/>
              </w:rPr>
              <w:t>Dec mean MW</w:t>
            </w:r>
          </w:p>
        </w:tc>
        <w:tc>
          <w:tcPr>
            <w:tcW w:type="dxa" w:w="1584"/>
            <w:shd w:fill="17365D"/>
            <w:tcMar>
              <w:top w:w="80" w:type="dxa"/>
              <w:start w:w="80" w:type="dxa"/>
              <w:bottom w:w="80" w:type="dxa"/>
              <w:end w:w="80" w:type="dxa"/>
            </w:tcMar>
            <w:vAlign w:val="center"/>
          </w:tcPr>
          <w:p>
            <w:r>
              <w:rPr>
                <w:b/>
                <w:color w:val="FFFFFF"/>
                <w:sz w:val="16"/>
              </w:rPr>
              <w:t>Dec peak MW</w:t>
            </w:r>
          </w:p>
        </w:tc>
        <w:tc>
          <w:tcPr>
            <w:tcW w:type="dxa" w:w="3456"/>
            <w:shd w:fill="17365D"/>
            <w:tcMar>
              <w:top w:w="80" w:type="dxa"/>
              <w:start w:w="80" w:type="dxa"/>
              <w:bottom w:w="80" w:type="dxa"/>
              <w:end w:w="80" w:type="dxa"/>
            </w:tcMar>
            <w:vAlign w:val="center"/>
          </w:tcPr>
          <w:p>
            <w:r>
              <w:rPr>
                <w:b/>
                <w:color w:val="FFFFFF"/>
                <w:sz w:val="16"/>
              </w:rPr>
              <w:t>Predicted peak timestamp</w:t>
            </w:r>
          </w:p>
        </w:tc>
      </w:tr>
      <w:tr>
        <w:tc>
          <w:tcPr>
            <w:tcW w:type="dxa" w:w="1152"/>
            <w:tcMar>
              <w:top w:w="80" w:type="dxa"/>
              <w:start w:w="80" w:type="dxa"/>
              <w:bottom w:w="80" w:type="dxa"/>
              <w:end w:w="80" w:type="dxa"/>
            </w:tcMar>
            <w:vAlign w:val="center"/>
          </w:tcPr>
          <w:p>
            <w:pPr>
              <w:spacing w:after="0"/>
            </w:pPr>
            <w:r>
              <w:rPr>
                <w:sz w:val="16"/>
              </w:rPr>
              <w:t>NSW1</w:t>
            </w:r>
          </w:p>
        </w:tc>
        <w:tc>
          <w:tcPr>
            <w:tcW w:type="dxa" w:w="1584"/>
            <w:tcMar>
              <w:top w:w="80" w:type="dxa"/>
              <w:start w:w="80" w:type="dxa"/>
              <w:bottom w:w="80" w:type="dxa"/>
              <w:end w:w="80" w:type="dxa"/>
            </w:tcMar>
            <w:vAlign w:val="center"/>
          </w:tcPr>
          <w:p>
            <w:pPr>
              <w:spacing w:after="0"/>
            </w:pPr>
            <w:r>
              <w:rPr>
                <w:sz w:val="16"/>
              </w:rPr>
              <w:t>7521</w:t>
            </w:r>
          </w:p>
        </w:tc>
        <w:tc>
          <w:tcPr>
            <w:tcW w:type="dxa" w:w="1584"/>
            <w:tcMar>
              <w:top w:w="80" w:type="dxa"/>
              <w:start w:w="80" w:type="dxa"/>
              <w:bottom w:w="80" w:type="dxa"/>
              <w:end w:w="80" w:type="dxa"/>
            </w:tcMar>
            <w:vAlign w:val="center"/>
          </w:tcPr>
          <w:p>
            <w:pPr>
              <w:spacing w:after="0"/>
            </w:pPr>
            <w:r>
              <w:rPr>
                <w:sz w:val="16"/>
              </w:rPr>
              <w:t>10748</w:t>
            </w:r>
          </w:p>
        </w:tc>
        <w:tc>
          <w:tcPr>
            <w:tcW w:type="dxa" w:w="3456"/>
            <w:tcMar>
              <w:top w:w="80" w:type="dxa"/>
              <w:start w:w="80" w:type="dxa"/>
              <w:bottom w:w="80" w:type="dxa"/>
              <w:end w:w="80" w:type="dxa"/>
            </w:tcMar>
            <w:vAlign w:val="center"/>
          </w:tcPr>
          <w:p>
            <w:pPr>
              <w:spacing w:after="0"/>
            </w:pPr>
            <w:r>
              <w:rPr>
                <w:sz w:val="16"/>
              </w:rPr>
              <w:t>2026-12-17 17:00:00</w:t>
            </w:r>
          </w:p>
        </w:tc>
      </w:tr>
      <w:tr>
        <w:tc>
          <w:tcPr>
            <w:tcW w:type="dxa" w:w="1152"/>
            <w:tcMar>
              <w:top w:w="80" w:type="dxa"/>
              <w:start w:w="80" w:type="dxa"/>
              <w:bottom w:w="80" w:type="dxa"/>
              <w:end w:w="80" w:type="dxa"/>
            </w:tcMar>
            <w:vAlign w:val="center"/>
            <w:shd w:fill="F7F9FB"/>
          </w:tcPr>
          <w:p>
            <w:pPr>
              <w:spacing w:after="0"/>
            </w:pPr>
            <w:r>
              <w:rPr>
                <w:sz w:val="16"/>
              </w:rPr>
              <w:t>QLD1</w:t>
            </w:r>
          </w:p>
        </w:tc>
        <w:tc>
          <w:tcPr>
            <w:tcW w:type="dxa" w:w="1584"/>
            <w:tcMar>
              <w:top w:w="80" w:type="dxa"/>
              <w:start w:w="80" w:type="dxa"/>
              <w:bottom w:w="80" w:type="dxa"/>
              <w:end w:w="80" w:type="dxa"/>
            </w:tcMar>
            <w:vAlign w:val="center"/>
            <w:shd w:fill="F7F9FB"/>
          </w:tcPr>
          <w:p>
            <w:pPr>
              <w:spacing w:after="0"/>
            </w:pPr>
            <w:r>
              <w:rPr>
                <w:sz w:val="16"/>
              </w:rPr>
              <w:t>6598</w:t>
            </w:r>
          </w:p>
        </w:tc>
        <w:tc>
          <w:tcPr>
            <w:tcW w:type="dxa" w:w="1584"/>
            <w:tcMar>
              <w:top w:w="80" w:type="dxa"/>
              <w:start w:w="80" w:type="dxa"/>
              <w:bottom w:w="80" w:type="dxa"/>
              <w:end w:w="80" w:type="dxa"/>
            </w:tcMar>
            <w:vAlign w:val="center"/>
            <w:shd w:fill="F7F9FB"/>
          </w:tcPr>
          <w:p>
            <w:pPr>
              <w:spacing w:after="0"/>
            </w:pPr>
            <w:r>
              <w:rPr>
                <w:sz w:val="16"/>
              </w:rPr>
              <w:t>9100</w:t>
            </w:r>
          </w:p>
        </w:tc>
        <w:tc>
          <w:tcPr>
            <w:tcW w:type="dxa" w:w="3456"/>
            <w:tcMar>
              <w:top w:w="80" w:type="dxa"/>
              <w:start w:w="80" w:type="dxa"/>
              <w:bottom w:w="80" w:type="dxa"/>
              <w:end w:w="80" w:type="dxa"/>
            </w:tcMar>
            <w:vAlign w:val="center"/>
            <w:shd w:fill="F7F9FB"/>
          </w:tcPr>
          <w:p>
            <w:pPr>
              <w:spacing w:after="0"/>
            </w:pPr>
            <w:r>
              <w:rPr>
                <w:sz w:val="16"/>
              </w:rPr>
              <w:t>2026-12-21 19:00:00</w:t>
            </w:r>
          </w:p>
        </w:tc>
      </w:tr>
      <w:tr>
        <w:tc>
          <w:tcPr>
            <w:tcW w:type="dxa" w:w="1152"/>
            <w:tcMar>
              <w:top w:w="80" w:type="dxa"/>
              <w:start w:w="80" w:type="dxa"/>
              <w:bottom w:w="80" w:type="dxa"/>
              <w:end w:w="80" w:type="dxa"/>
            </w:tcMar>
            <w:vAlign w:val="center"/>
          </w:tcPr>
          <w:p>
            <w:pPr>
              <w:spacing w:after="0"/>
            </w:pPr>
            <w:r>
              <w:rPr>
                <w:sz w:val="16"/>
              </w:rPr>
              <w:t>VIC1</w:t>
            </w:r>
          </w:p>
        </w:tc>
        <w:tc>
          <w:tcPr>
            <w:tcW w:type="dxa" w:w="1584"/>
            <w:tcMar>
              <w:top w:w="80" w:type="dxa"/>
              <w:start w:w="80" w:type="dxa"/>
              <w:bottom w:w="80" w:type="dxa"/>
              <w:end w:w="80" w:type="dxa"/>
            </w:tcMar>
            <w:vAlign w:val="center"/>
          </w:tcPr>
          <w:p>
            <w:pPr>
              <w:spacing w:after="0"/>
            </w:pPr>
            <w:r>
              <w:rPr>
                <w:sz w:val="16"/>
              </w:rPr>
              <w:t>4321</w:t>
            </w:r>
          </w:p>
        </w:tc>
        <w:tc>
          <w:tcPr>
            <w:tcW w:type="dxa" w:w="1584"/>
            <w:tcMar>
              <w:top w:w="80" w:type="dxa"/>
              <w:start w:w="80" w:type="dxa"/>
              <w:bottom w:w="80" w:type="dxa"/>
              <w:end w:w="80" w:type="dxa"/>
            </w:tcMar>
            <w:vAlign w:val="center"/>
          </w:tcPr>
          <w:p>
            <w:pPr>
              <w:spacing w:after="0"/>
            </w:pPr>
            <w:r>
              <w:rPr>
                <w:sz w:val="16"/>
              </w:rPr>
              <w:t>6095</w:t>
            </w:r>
          </w:p>
        </w:tc>
        <w:tc>
          <w:tcPr>
            <w:tcW w:type="dxa" w:w="3456"/>
            <w:tcMar>
              <w:top w:w="80" w:type="dxa"/>
              <w:start w:w="80" w:type="dxa"/>
              <w:bottom w:w="80" w:type="dxa"/>
              <w:end w:w="80" w:type="dxa"/>
            </w:tcMar>
            <w:vAlign w:val="center"/>
          </w:tcPr>
          <w:p>
            <w:pPr>
              <w:spacing w:after="0"/>
            </w:pPr>
            <w:r>
              <w:rPr>
                <w:sz w:val="16"/>
              </w:rPr>
              <w:t>2026-12-28 18:30:00</w:t>
            </w:r>
          </w:p>
        </w:tc>
      </w:tr>
      <w:tr>
        <w:tc>
          <w:tcPr>
            <w:tcW w:type="dxa" w:w="1152"/>
            <w:tcMar>
              <w:top w:w="80" w:type="dxa"/>
              <w:start w:w="80" w:type="dxa"/>
              <w:bottom w:w="80" w:type="dxa"/>
              <w:end w:w="80" w:type="dxa"/>
            </w:tcMar>
            <w:vAlign w:val="center"/>
            <w:shd w:fill="F7F9FB"/>
          </w:tcPr>
          <w:p>
            <w:pPr>
              <w:spacing w:after="0"/>
            </w:pPr>
            <w:r>
              <w:rPr>
                <w:sz w:val="16"/>
              </w:rPr>
              <w:t>SA1</w:t>
            </w:r>
          </w:p>
        </w:tc>
        <w:tc>
          <w:tcPr>
            <w:tcW w:type="dxa" w:w="1584"/>
            <w:tcMar>
              <w:top w:w="80" w:type="dxa"/>
              <w:start w:w="80" w:type="dxa"/>
              <w:bottom w:w="80" w:type="dxa"/>
              <w:end w:w="80" w:type="dxa"/>
            </w:tcMar>
            <w:vAlign w:val="center"/>
            <w:shd w:fill="F7F9FB"/>
          </w:tcPr>
          <w:p>
            <w:pPr>
              <w:spacing w:after="0"/>
            </w:pPr>
            <w:r>
              <w:rPr>
                <w:sz w:val="16"/>
              </w:rPr>
              <w:t>1099</w:t>
            </w:r>
          </w:p>
        </w:tc>
        <w:tc>
          <w:tcPr>
            <w:tcW w:type="dxa" w:w="1584"/>
            <w:tcMar>
              <w:top w:w="80" w:type="dxa"/>
              <w:start w:w="80" w:type="dxa"/>
              <w:bottom w:w="80" w:type="dxa"/>
              <w:end w:w="80" w:type="dxa"/>
            </w:tcMar>
            <w:vAlign w:val="center"/>
            <w:shd w:fill="F7F9FB"/>
          </w:tcPr>
          <w:p>
            <w:pPr>
              <w:spacing w:after="0"/>
            </w:pPr>
            <w:r>
              <w:rPr>
                <w:sz w:val="16"/>
              </w:rPr>
              <w:t>1752</w:t>
            </w:r>
          </w:p>
        </w:tc>
        <w:tc>
          <w:tcPr>
            <w:tcW w:type="dxa" w:w="3456"/>
            <w:tcMar>
              <w:top w:w="80" w:type="dxa"/>
              <w:start w:w="80" w:type="dxa"/>
              <w:bottom w:w="80" w:type="dxa"/>
              <w:end w:w="80" w:type="dxa"/>
            </w:tcMar>
            <w:vAlign w:val="center"/>
            <w:shd w:fill="F7F9FB"/>
          </w:tcPr>
          <w:p>
            <w:pPr>
              <w:spacing w:after="0"/>
            </w:pPr>
            <w:r>
              <w:rPr>
                <w:sz w:val="16"/>
              </w:rPr>
              <w:t>2026-12-18 19:30:00</w:t>
            </w:r>
          </w:p>
        </w:tc>
      </w:tr>
      <w:tr>
        <w:tc>
          <w:tcPr>
            <w:tcW w:type="dxa" w:w="1152"/>
            <w:tcMar>
              <w:top w:w="80" w:type="dxa"/>
              <w:start w:w="80" w:type="dxa"/>
              <w:bottom w:w="80" w:type="dxa"/>
              <w:end w:w="80" w:type="dxa"/>
            </w:tcMar>
            <w:vAlign w:val="center"/>
          </w:tcPr>
          <w:p>
            <w:pPr>
              <w:spacing w:after="0"/>
            </w:pPr>
            <w:r>
              <w:rPr>
                <w:sz w:val="16"/>
              </w:rPr>
              <w:t>TAS1</w:t>
            </w:r>
          </w:p>
        </w:tc>
        <w:tc>
          <w:tcPr>
            <w:tcW w:type="dxa" w:w="1584"/>
            <w:tcMar>
              <w:top w:w="80" w:type="dxa"/>
              <w:start w:w="80" w:type="dxa"/>
              <w:bottom w:w="80" w:type="dxa"/>
              <w:end w:w="80" w:type="dxa"/>
            </w:tcMar>
            <w:vAlign w:val="center"/>
          </w:tcPr>
          <w:p>
            <w:pPr>
              <w:spacing w:after="0"/>
            </w:pPr>
            <w:r>
              <w:rPr>
                <w:sz w:val="16"/>
              </w:rPr>
              <w:t>935</w:t>
            </w:r>
          </w:p>
        </w:tc>
        <w:tc>
          <w:tcPr>
            <w:tcW w:type="dxa" w:w="1584"/>
            <w:tcMar>
              <w:top w:w="80" w:type="dxa"/>
              <w:start w:w="80" w:type="dxa"/>
              <w:bottom w:w="80" w:type="dxa"/>
              <w:end w:w="80" w:type="dxa"/>
            </w:tcMar>
            <w:vAlign w:val="center"/>
          </w:tcPr>
          <w:p>
            <w:pPr>
              <w:spacing w:after="0"/>
            </w:pPr>
            <w:r>
              <w:rPr>
                <w:sz w:val="16"/>
              </w:rPr>
              <w:t>1080</w:t>
            </w:r>
          </w:p>
        </w:tc>
        <w:tc>
          <w:tcPr>
            <w:tcW w:type="dxa" w:w="3456"/>
            <w:tcMar>
              <w:top w:w="80" w:type="dxa"/>
              <w:start w:w="80" w:type="dxa"/>
              <w:bottom w:w="80" w:type="dxa"/>
              <w:end w:w="80" w:type="dxa"/>
            </w:tcMar>
            <w:vAlign w:val="center"/>
          </w:tcPr>
          <w:p>
            <w:pPr>
              <w:spacing w:after="0"/>
            </w:pPr>
            <w:r>
              <w:rPr>
                <w:sz w:val="16"/>
              </w:rPr>
              <w:t>2026-12-07 20:30:00</w:t>
            </w:r>
          </w:p>
        </w:tc>
      </w:tr>
      <w:tr>
        <w:tc>
          <w:tcPr>
            <w:tcW w:type="dxa" w:w="1152"/>
            <w:tcMar>
              <w:top w:w="80" w:type="dxa"/>
              <w:start w:w="80" w:type="dxa"/>
              <w:bottom w:w="80" w:type="dxa"/>
              <w:end w:w="80" w:type="dxa"/>
            </w:tcMar>
            <w:vAlign w:val="center"/>
            <w:shd w:fill="F7F9FB"/>
          </w:tcPr>
          <w:p>
            <w:pPr>
              <w:spacing w:after="0"/>
            </w:pPr>
            <w:r>
              <w:rPr>
                <w:sz w:val="16"/>
              </w:rPr>
              <w:t>WA</w:t>
            </w:r>
          </w:p>
        </w:tc>
        <w:tc>
          <w:tcPr>
            <w:tcW w:type="dxa" w:w="1584"/>
            <w:tcMar>
              <w:top w:w="80" w:type="dxa"/>
              <w:start w:w="80" w:type="dxa"/>
              <w:bottom w:w="80" w:type="dxa"/>
              <w:end w:w="80" w:type="dxa"/>
            </w:tcMar>
            <w:vAlign w:val="center"/>
            <w:shd w:fill="F7F9FB"/>
          </w:tcPr>
          <w:p>
            <w:pPr>
              <w:spacing w:after="0"/>
            </w:pPr>
            <w:r>
              <w:rPr>
                <w:sz w:val="16"/>
              </w:rPr>
              <w:t>2075</w:t>
            </w:r>
          </w:p>
        </w:tc>
        <w:tc>
          <w:tcPr>
            <w:tcW w:type="dxa" w:w="1584"/>
            <w:tcMar>
              <w:top w:w="80" w:type="dxa"/>
              <w:start w:w="80" w:type="dxa"/>
              <w:bottom w:w="80" w:type="dxa"/>
              <w:end w:w="80" w:type="dxa"/>
            </w:tcMar>
            <w:vAlign w:val="center"/>
            <w:shd w:fill="F7F9FB"/>
          </w:tcPr>
          <w:p>
            <w:pPr>
              <w:spacing w:after="0"/>
            </w:pPr>
            <w:r>
              <w:rPr>
                <w:sz w:val="16"/>
              </w:rPr>
              <w:t>3403</w:t>
            </w:r>
          </w:p>
        </w:tc>
        <w:tc>
          <w:tcPr>
            <w:tcW w:type="dxa" w:w="3456"/>
            <w:tcMar>
              <w:top w:w="80" w:type="dxa"/>
              <w:start w:w="80" w:type="dxa"/>
              <w:bottom w:w="80" w:type="dxa"/>
              <w:end w:w="80" w:type="dxa"/>
            </w:tcMar>
            <w:vAlign w:val="center"/>
            <w:shd w:fill="F7F9FB"/>
          </w:tcPr>
          <w:p>
            <w:pPr>
              <w:spacing w:after="0"/>
            </w:pPr>
            <w:r>
              <w:rPr>
                <w:sz w:val="16"/>
              </w:rPr>
              <w:t>2026-12-24 18:00:00</w:t>
            </w:r>
          </w:p>
        </w:tc>
      </w:tr>
    </w:tbl>
    <w:p>
      <w:pPr>
        <w:spacing w:after="20"/>
      </w:pPr>
    </w:p>
    <w:p>
      <w:pPr>
        <w:spacing w:after="100"/>
      </w:pPr>
      <w:r>
        <w:t>These monthly values are forecasts, not realised demand. Their purpose at WP3 is to demonstrate that the selected models can produce a complete, internally consistent long-range trajectory. Accuracy for October–December cannot be claimed until those actuals exist.</w:t>
      </w:r>
    </w:p>
    <w:p>
      <w:pPr>
        <w:pStyle w:val="Heading1"/>
      </w:pPr>
      <w:r>
        <w:t>14. Explainability: What the Selected Random Forests Use</w:t>
      </w:r>
    </w:p>
    <w:p>
      <w:pPr>
        <w:jc w:val="center"/>
      </w:pPr>
      <w:r>
        <w:drawing>
          <wp:inline xmlns:a="http://schemas.openxmlformats.org/drawingml/2006/main" xmlns:pic="http://schemas.openxmlformats.org/drawingml/2006/picture">
            <wp:extent cx="5303520" cy="2728019"/>
            <wp:docPr id="11" name="Picture 11"/>
            <wp:cNvGraphicFramePr>
              <a:graphicFrameLocks noChangeAspect="1"/>
            </wp:cNvGraphicFramePr>
            <a:graphic>
              <a:graphicData uri="http://schemas.openxmlformats.org/drawingml/2006/picture">
                <pic:pic>
                  <pic:nvPicPr>
                    <pic:cNvPr id="0" name="09_feature_importance_NSW1.png"/>
                    <pic:cNvPicPr/>
                  </pic:nvPicPr>
                  <pic:blipFill>
                    <a:blip r:embed="rId21"/>
                    <a:stretch>
                      <a:fillRect/>
                    </a:stretch>
                  </pic:blipFill>
                  <pic:spPr>
                    <a:xfrm>
                      <a:off x="0" y="0"/>
                      <a:ext cx="5303520" cy="2728019"/>
                    </a:xfrm>
                    <a:prstGeom prst="rect"/>
                  </pic:spPr>
                </pic:pic>
              </a:graphicData>
            </a:graphic>
          </wp:inline>
        </w:drawing>
      </w:r>
    </w:p>
    <w:p>
      <w:pPr>
        <w:pStyle w:val="Caption"/>
        <w:jc w:val="center"/>
      </w:pPr>
      <w:r>
        <w:t>Figure 11. NSW1 feature importance. Recent daily/weekly demand and historical half-hour profiles dominate the selected Model A.</w:t>
      </w:r>
    </w:p>
    <w:p>
      <w:pPr>
        <w:jc w:val="center"/>
      </w:pPr>
      <w:r>
        <w:drawing>
          <wp:inline xmlns:a="http://schemas.openxmlformats.org/drawingml/2006/main" xmlns:pic="http://schemas.openxmlformats.org/drawingml/2006/picture">
            <wp:extent cx="5303520" cy="2712066"/>
            <wp:docPr id="12" name="Picture 12"/>
            <wp:cNvGraphicFramePr>
              <a:graphicFrameLocks noChangeAspect="1"/>
            </wp:cNvGraphicFramePr>
            <a:graphic>
              <a:graphicData uri="http://schemas.openxmlformats.org/drawingml/2006/picture">
                <pic:pic>
                  <pic:nvPicPr>
                    <pic:cNvPr id="0" name="09_feature_importance_WA.png"/>
                    <pic:cNvPicPr/>
                  </pic:nvPicPr>
                  <pic:blipFill>
                    <a:blip r:embed="rId22"/>
                    <a:stretch>
                      <a:fillRect/>
                    </a:stretch>
                  </pic:blipFill>
                  <pic:spPr>
                    <a:xfrm>
                      <a:off x="0" y="0"/>
                      <a:ext cx="5303520" cy="2712066"/>
                    </a:xfrm>
                    <a:prstGeom prst="rect"/>
                  </pic:spPr>
                </pic:pic>
              </a:graphicData>
            </a:graphic>
          </wp:inline>
        </w:drawing>
      </w:r>
    </w:p>
    <w:p>
      <w:pPr>
        <w:pStyle w:val="Caption"/>
        <w:jc w:val="center"/>
      </w:pPr>
      <w:r>
        <w:t>Figure 12. WA feature importance. The selected Model B still relies primarily on demand history and seasonal profiles; weather contributes additional but smaller importance.</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1152"/>
            <w:shd w:fill="17365D"/>
            <w:tcMar>
              <w:top w:w="80" w:type="dxa"/>
              <w:start w:w="80" w:type="dxa"/>
              <w:bottom w:w="80" w:type="dxa"/>
              <w:end w:w="80" w:type="dxa"/>
            </w:tcMar>
            <w:vAlign w:val="center"/>
          </w:tcPr>
          <w:p>
            <w:r>
              <w:rPr>
                <w:b/>
                <w:color w:val="FFFFFF"/>
                <w:sz w:val="16"/>
              </w:rPr>
              <w:t>Region</w:t>
            </w:r>
          </w:p>
        </w:tc>
        <w:tc>
          <w:tcPr>
            <w:tcW w:type="dxa" w:w="2160"/>
            <w:shd w:fill="17365D"/>
            <w:tcMar>
              <w:top w:w="80" w:type="dxa"/>
              <w:start w:w="80" w:type="dxa"/>
              <w:bottom w:w="80" w:type="dxa"/>
              <w:end w:w="80" w:type="dxa"/>
            </w:tcMar>
            <w:vAlign w:val="center"/>
          </w:tcPr>
          <w:p>
            <w:r>
              <w:rPr>
                <w:b/>
                <w:color w:val="FFFFFF"/>
                <w:sz w:val="16"/>
              </w:rPr>
              <w:t>Selected model</w:t>
            </w:r>
          </w:p>
        </w:tc>
        <w:tc>
          <w:tcPr>
            <w:tcW w:type="dxa" w:w="6912"/>
            <w:shd w:fill="17365D"/>
            <w:tcMar>
              <w:top w:w="80" w:type="dxa"/>
              <w:start w:w="80" w:type="dxa"/>
              <w:bottom w:w="80" w:type="dxa"/>
              <w:end w:w="80" w:type="dxa"/>
            </w:tcMar>
            <w:vAlign w:val="center"/>
          </w:tcPr>
          <w:p>
            <w:r>
              <w:rPr>
                <w:b/>
                <w:color w:val="FFFFFF"/>
                <w:sz w:val="16"/>
              </w:rPr>
              <w:t>Three highest-importance features</w:t>
            </w:r>
          </w:p>
        </w:tc>
      </w:tr>
      <w:tr>
        <w:tc>
          <w:tcPr>
            <w:tcW w:type="dxa" w:w="1152"/>
            <w:tcMar>
              <w:top w:w="80" w:type="dxa"/>
              <w:start w:w="80" w:type="dxa"/>
              <w:bottom w:w="80" w:type="dxa"/>
              <w:end w:w="80" w:type="dxa"/>
            </w:tcMar>
            <w:vAlign w:val="center"/>
          </w:tcPr>
          <w:p>
            <w:pPr>
              <w:spacing w:after="0"/>
            </w:pPr>
            <w:r>
              <w:rPr>
                <w:sz w:val="16"/>
              </w:rPr>
              <w:t>NSW1</w:t>
            </w:r>
          </w:p>
        </w:tc>
        <w:tc>
          <w:tcPr>
            <w:tcW w:type="dxa" w:w="2160"/>
            <w:tcMar>
              <w:top w:w="80" w:type="dxa"/>
              <w:start w:w="80" w:type="dxa"/>
              <w:bottom w:w="80" w:type="dxa"/>
              <w:end w:w="80" w:type="dxa"/>
            </w:tcMar>
            <w:vAlign w:val="center"/>
          </w:tcPr>
          <w:p>
            <w:pPr>
              <w:spacing w:after="0"/>
            </w:pPr>
            <w:r>
              <w:rPr>
                <w:sz w:val="16"/>
              </w:rPr>
              <w:t>RandomForest_A</w:t>
            </w:r>
          </w:p>
        </w:tc>
        <w:tc>
          <w:tcPr>
            <w:tcW w:type="dxa" w:w="6912"/>
            <w:tcMar>
              <w:top w:w="80" w:type="dxa"/>
              <w:start w:w="80" w:type="dxa"/>
              <w:bottom w:w="80" w:type="dxa"/>
              <w:end w:w="80" w:type="dxa"/>
            </w:tcMar>
            <w:vAlign w:val="center"/>
          </w:tcPr>
          <w:p>
            <w:pPr>
              <w:spacing w:after="0"/>
            </w:pPr>
            <w:r>
              <w:rPr>
                <w:sz w:val="16"/>
              </w:rPr>
              <w:t>lag_48 (0.163); historical_month_dow_halfhour_mean (0.152); same_half_hour_7day_mean (0.104)</w:t>
            </w:r>
          </w:p>
        </w:tc>
      </w:tr>
      <w:tr>
        <w:tc>
          <w:tcPr>
            <w:tcW w:type="dxa" w:w="1152"/>
            <w:tcMar>
              <w:top w:w="80" w:type="dxa"/>
              <w:start w:w="80" w:type="dxa"/>
              <w:bottom w:w="80" w:type="dxa"/>
              <w:end w:w="80" w:type="dxa"/>
            </w:tcMar>
            <w:vAlign w:val="center"/>
            <w:shd w:fill="F7F9FB"/>
          </w:tcPr>
          <w:p>
            <w:pPr>
              <w:spacing w:after="0"/>
            </w:pPr>
            <w:r>
              <w:rPr>
                <w:sz w:val="16"/>
              </w:rPr>
              <w:t>QLD1</w:t>
            </w:r>
          </w:p>
        </w:tc>
        <w:tc>
          <w:tcPr>
            <w:tcW w:type="dxa" w:w="2160"/>
            <w:tcMar>
              <w:top w:w="80" w:type="dxa"/>
              <w:start w:w="80" w:type="dxa"/>
              <w:bottom w:w="80" w:type="dxa"/>
              <w:end w:w="80" w:type="dxa"/>
            </w:tcMar>
            <w:vAlign w:val="center"/>
            <w:shd w:fill="F7F9FB"/>
          </w:tcPr>
          <w:p>
            <w:pPr>
              <w:spacing w:after="0"/>
            </w:pPr>
            <w:r>
              <w:rPr>
                <w:sz w:val="16"/>
              </w:rPr>
              <w:t>RandomForest_A</w:t>
            </w:r>
          </w:p>
        </w:tc>
        <w:tc>
          <w:tcPr>
            <w:tcW w:type="dxa" w:w="6912"/>
            <w:tcMar>
              <w:top w:w="80" w:type="dxa"/>
              <w:start w:w="80" w:type="dxa"/>
              <w:bottom w:w="80" w:type="dxa"/>
              <w:end w:w="80" w:type="dxa"/>
            </w:tcMar>
            <w:vAlign w:val="center"/>
            <w:shd w:fill="F7F9FB"/>
          </w:tcPr>
          <w:p>
            <w:pPr>
              <w:spacing w:after="0"/>
            </w:pPr>
            <w:r>
              <w:rPr>
                <w:sz w:val="16"/>
              </w:rPr>
              <w:t>lag_48 (0.164); historical_month_dow_halfhour_mean (0.144); same_half_hour_7day_mean (0.122)</w:t>
            </w:r>
          </w:p>
        </w:tc>
      </w:tr>
      <w:tr>
        <w:tc>
          <w:tcPr>
            <w:tcW w:type="dxa" w:w="1152"/>
            <w:tcMar>
              <w:top w:w="80" w:type="dxa"/>
              <w:start w:w="80" w:type="dxa"/>
              <w:bottom w:w="80" w:type="dxa"/>
              <w:end w:w="80" w:type="dxa"/>
            </w:tcMar>
            <w:vAlign w:val="center"/>
          </w:tcPr>
          <w:p>
            <w:pPr>
              <w:spacing w:after="0"/>
            </w:pPr>
            <w:r>
              <w:rPr>
                <w:sz w:val="16"/>
              </w:rPr>
              <w:t>SA1</w:t>
            </w:r>
          </w:p>
        </w:tc>
        <w:tc>
          <w:tcPr>
            <w:tcW w:type="dxa" w:w="2160"/>
            <w:tcMar>
              <w:top w:w="80" w:type="dxa"/>
              <w:start w:w="80" w:type="dxa"/>
              <w:bottom w:w="80" w:type="dxa"/>
              <w:end w:w="80" w:type="dxa"/>
            </w:tcMar>
            <w:vAlign w:val="center"/>
          </w:tcPr>
          <w:p>
            <w:pPr>
              <w:spacing w:after="0"/>
            </w:pPr>
            <w:r>
              <w:rPr>
                <w:sz w:val="16"/>
              </w:rPr>
              <w:t>RandomForest_B</w:t>
            </w:r>
          </w:p>
        </w:tc>
        <w:tc>
          <w:tcPr>
            <w:tcW w:type="dxa" w:w="6912"/>
            <w:tcMar>
              <w:top w:w="80" w:type="dxa"/>
              <w:start w:w="80" w:type="dxa"/>
              <w:bottom w:w="80" w:type="dxa"/>
              <w:end w:w="80" w:type="dxa"/>
            </w:tcMar>
            <w:vAlign w:val="center"/>
          </w:tcPr>
          <w:p>
            <w:pPr>
              <w:spacing w:after="0"/>
            </w:pPr>
            <w:r>
              <w:rPr>
                <w:sz w:val="16"/>
              </w:rPr>
              <w:t>historical_month_dow_halfhour_mean (0.146); historical_month_halfhour_mean (0.109); historical_month_halfhour_median (0.095)</w:t>
            </w:r>
          </w:p>
        </w:tc>
      </w:tr>
      <w:tr>
        <w:tc>
          <w:tcPr>
            <w:tcW w:type="dxa" w:w="1152"/>
            <w:tcMar>
              <w:top w:w="80" w:type="dxa"/>
              <w:start w:w="80" w:type="dxa"/>
              <w:bottom w:w="80" w:type="dxa"/>
              <w:end w:w="80" w:type="dxa"/>
            </w:tcMar>
            <w:vAlign w:val="center"/>
            <w:shd w:fill="F7F9FB"/>
          </w:tcPr>
          <w:p>
            <w:pPr>
              <w:spacing w:after="0"/>
            </w:pPr>
            <w:r>
              <w:rPr>
                <w:sz w:val="16"/>
              </w:rPr>
              <w:t>TAS1</w:t>
            </w:r>
          </w:p>
        </w:tc>
        <w:tc>
          <w:tcPr>
            <w:tcW w:type="dxa" w:w="2160"/>
            <w:tcMar>
              <w:top w:w="80" w:type="dxa"/>
              <w:start w:w="80" w:type="dxa"/>
              <w:bottom w:w="80" w:type="dxa"/>
              <w:end w:w="80" w:type="dxa"/>
            </w:tcMar>
            <w:vAlign w:val="center"/>
            <w:shd w:fill="F7F9FB"/>
          </w:tcPr>
          <w:p>
            <w:pPr>
              <w:spacing w:after="0"/>
            </w:pPr>
            <w:r>
              <w:rPr>
                <w:sz w:val="16"/>
              </w:rPr>
              <w:t>RandomForest_A</w:t>
            </w:r>
          </w:p>
        </w:tc>
        <w:tc>
          <w:tcPr>
            <w:tcW w:type="dxa" w:w="6912"/>
            <w:tcMar>
              <w:top w:w="80" w:type="dxa"/>
              <w:start w:w="80" w:type="dxa"/>
              <w:bottom w:w="80" w:type="dxa"/>
              <w:end w:w="80" w:type="dxa"/>
            </w:tcMar>
            <w:vAlign w:val="center"/>
            <w:shd w:fill="F7F9FB"/>
          </w:tcPr>
          <w:p>
            <w:pPr>
              <w:spacing w:after="0"/>
            </w:pPr>
            <w:r>
              <w:rPr>
                <w:sz w:val="16"/>
              </w:rPr>
              <w:t>same_half_hour_7day_mean (0.154); same_half_hour_14day_mean (0.140); lag_48 (0.129)</w:t>
            </w:r>
          </w:p>
        </w:tc>
      </w:tr>
      <w:tr>
        <w:tc>
          <w:tcPr>
            <w:tcW w:type="dxa" w:w="1152"/>
            <w:tcMar>
              <w:top w:w="80" w:type="dxa"/>
              <w:start w:w="80" w:type="dxa"/>
              <w:bottom w:w="80" w:type="dxa"/>
              <w:end w:w="80" w:type="dxa"/>
            </w:tcMar>
            <w:vAlign w:val="center"/>
          </w:tcPr>
          <w:p>
            <w:pPr>
              <w:spacing w:after="0"/>
            </w:pPr>
            <w:r>
              <w:rPr>
                <w:sz w:val="16"/>
              </w:rPr>
              <w:t>VIC1</w:t>
            </w:r>
          </w:p>
        </w:tc>
        <w:tc>
          <w:tcPr>
            <w:tcW w:type="dxa" w:w="2160"/>
            <w:tcMar>
              <w:top w:w="80" w:type="dxa"/>
              <w:start w:w="80" w:type="dxa"/>
              <w:bottom w:w="80" w:type="dxa"/>
              <w:end w:w="80" w:type="dxa"/>
            </w:tcMar>
            <w:vAlign w:val="center"/>
          </w:tcPr>
          <w:p>
            <w:pPr>
              <w:spacing w:after="0"/>
            </w:pPr>
            <w:r>
              <w:rPr>
                <w:sz w:val="16"/>
              </w:rPr>
              <w:t>RandomForest_A</w:t>
            </w:r>
          </w:p>
        </w:tc>
        <w:tc>
          <w:tcPr>
            <w:tcW w:type="dxa" w:w="6912"/>
            <w:tcMar>
              <w:top w:w="80" w:type="dxa"/>
              <w:start w:w="80" w:type="dxa"/>
              <w:bottom w:w="80" w:type="dxa"/>
              <w:end w:w="80" w:type="dxa"/>
            </w:tcMar>
            <w:vAlign w:val="center"/>
          </w:tcPr>
          <w:p>
            <w:pPr>
              <w:spacing w:after="0"/>
            </w:pPr>
            <w:r>
              <w:rPr>
                <w:sz w:val="16"/>
              </w:rPr>
              <w:t>historical_month_dow_halfhour_mean (0.165); same_half_hour_7day_mean (0.113); lag_48 (0.103)</w:t>
            </w:r>
          </w:p>
        </w:tc>
      </w:tr>
      <w:tr>
        <w:tc>
          <w:tcPr>
            <w:tcW w:type="dxa" w:w="1152"/>
            <w:tcMar>
              <w:top w:w="80" w:type="dxa"/>
              <w:start w:w="80" w:type="dxa"/>
              <w:bottom w:w="80" w:type="dxa"/>
              <w:end w:w="80" w:type="dxa"/>
            </w:tcMar>
            <w:vAlign w:val="center"/>
            <w:shd w:fill="F7F9FB"/>
          </w:tcPr>
          <w:p>
            <w:pPr>
              <w:spacing w:after="0"/>
            </w:pPr>
            <w:r>
              <w:rPr>
                <w:sz w:val="16"/>
              </w:rPr>
              <w:t>WA</w:t>
            </w:r>
          </w:p>
        </w:tc>
        <w:tc>
          <w:tcPr>
            <w:tcW w:type="dxa" w:w="2160"/>
            <w:tcMar>
              <w:top w:w="80" w:type="dxa"/>
              <w:start w:w="80" w:type="dxa"/>
              <w:bottom w:w="80" w:type="dxa"/>
              <w:end w:w="80" w:type="dxa"/>
            </w:tcMar>
            <w:vAlign w:val="center"/>
            <w:shd w:fill="F7F9FB"/>
          </w:tcPr>
          <w:p>
            <w:pPr>
              <w:spacing w:after="0"/>
            </w:pPr>
            <w:r>
              <w:rPr>
                <w:sz w:val="16"/>
              </w:rPr>
              <w:t>RandomForest_B</w:t>
            </w:r>
          </w:p>
        </w:tc>
        <w:tc>
          <w:tcPr>
            <w:tcW w:type="dxa" w:w="6912"/>
            <w:tcMar>
              <w:top w:w="80" w:type="dxa"/>
              <w:start w:w="80" w:type="dxa"/>
              <w:bottom w:w="80" w:type="dxa"/>
              <w:end w:w="80" w:type="dxa"/>
            </w:tcMar>
            <w:vAlign w:val="center"/>
            <w:shd w:fill="F7F9FB"/>
          </w:tcPr>
          <w:p>
            <w:pPr>
              <w:spacing w:after="0"/>
            </w:pPr>
            <w:r>
              <w:rPr>
                <w:sz w:val="16"/>
              </w:rPr>
              <w:t>lag_48 (0.136); historical_month_dow_halfhour_mean (0.123); same_half_hour_14day_mean (0.091)</w:t>
            </w:r>
          </w:p>
        </w:tc>
      </w:tr>
    </w:tbl>
    <w:p>
      <w:pPr>
        <w:spacing w:after="20"/>
      </w:pPr>
    </w:p>
    <w:p>
      <w:pPr>
        <w:spacing w:after="100"/>
      </w:pPr>
      <w:r>
        <w:t>Across regions, the leading predictors are variations of lag_48, same-half-hour rolling summaries and historical month/day-of-week/half-hour profiles. This is consistent with electricity demand having strong daily and weekly repetition. Feature importance describes how often/strongly the fitted trees used a variable for prediction; it does not establish that the variable causes demand.</w:t>
      </w:r>
    </w:p>
    <w:p>
      <w:pPr>
        <w:pStyle w:val="Heading1"/>
      </w:pPr>
      <w:r>
        <w:t>15. AEMO Benchmark: Useful Context, Not a Competition Score</w:t>
      </w:r>
    </w:p>
    <w:p>
      <w:pPr>
        <w:spacing w:after="100"/>
      </w:pPr>
      <w:r>
        <w:t>AEMO pre-dispatch is deliberately excluded from all model features. It is used only after forecasting as a secondary external reference. The reason is target semantics: the project forecasts Operational Demand, while the dashboard/pre-dispatch field is Scheduled Demand / TOTALDEMAND. High correlation therefore demonstrates relationship, not identity.</w:t>
      </w:r>
    </w:p>
    <w:tbl>
      <w:tblPr>
        <w:tblStyle w:val="TableGrid"/>
        <w:tblW w:type="auto" w:w="0"/>
        <w:jc w:val="center"/>
        <w:tblLayout w:type="fixed"/>
        <w:tblLook w:firstColumn="1" w:firstRow="1" w:lastColumn="0" w:lastRow="0" w:noHBand="0" w:noVBand="1" w:val="04A0"/>
      </w:tblPr>
      <w:tblGrid>
        <w:gridCol w:w="2025"/>
        <w:gridCol w:w="2025"/>
        <w:gridCol w:w="2025"/>
        <w:gridCol w:w="2025"/>
        <w:gridCol w:w="2025"/>
      </w:tblGrid>
      <w:tr>
        <w:trPr>
          <w:tblHeader w:val="true"/>
        </w:trPr>
        <w:tc>
          <w:tcPr>
            <w:tcW w:type="dxa" w:w="1008"/>
            <w:shd w:fill="17365D"/>
            <w:tcMar>
              <w:top w:w="80" w:type="dxa"/>
              <w:start w:w="80" w:type="dxa"/>
              <w:bottom w:w="80" w:type="dxa"/>
              <w:end w:w="80" w:type="dxa"/>
            </w:tcMar>
            <w:vAlign w:val="center"/>
          </w:tcPr>
          <w:p>
            <w:r>
              <w:rPr>
                <w:b/>
                <w:color w:val="FFFFFF"/>
                <w:sz w:val="15"/>
              </w:rPr>
              <w:t>Region</w:t>
            </w:r>
          </w:p>
        </w:tc>
        <w:tc>
          <w:tcPr>
            <w:tcW w:type="dxa" w:w="936"/>
            <w:shd w:fill="17365D"/>
            <w:tcMar>
              <w:top w:w="80" w:type="dxa"/>
              <w:start w:w="80" w:type="dxa"/>
              <w:bottom w:w="80" w:type="dxa"/>
              <w:end w:w="80" w:type="dxa"/>
            </w:tcMar>
            <w:vAlign w:val="center"/>
          </w:tcPr>
          <w:p>
            <w:r>
              <w:rPr>
                <w:b/>
                <w:color w:val="FFFFFF"/>
                <w:sz w:val="15"/>
              </w:rPr>
              <w:t>Overlap</w:t>
            </w:r>
          </w:p>
        </w:tc>
        <w:tc>
          <w:tcPr>
            <w:tcW w:type="dxa" w:w="2376"/>
            <w:shd w:fill="17365D"/>
            <w:tcMar>
              <w:top w:w="80" w:type="dxa"/>
              <w:start w:w="80" w:type="dxa"/>
              <w:bottom w:w="80" w:type="dxa"/>
              <w:end w:w="80" w:type="dxa"/>
            </w:tcMar>
            <w:vAlign w:val="center"/>
          </w:tcPr>
          <w:p>
            <w:r>
              <w:rPr>
                <w:b/>
                <w:color w:val="FFFFFF"/>
                <w:sz w:val="15"/>
              </w:rPr>
              <w:t>Mean absolute source difference MW</w:t>
            </w:r>
          </w:p>
        </w:tc>
        <w:tc>
          <w:tcPr>
            <w:tcW w:type="dxa" w:w="1152"/>
            <w:shd w:fill="17365D"/>
            <w:tcMar>
              <w:top w:w="80" w:type="dxa"/>
              <w:start w:w="80" w:type="dxa"/>
              <w:bottom w:w="80" w:type="dxa"/>
              <w:end w:w="80" w:type="dxa"/>
            </w:tcMar>
            <w:vAlign w:val="center"/>
          </w:tcPr>
          <w:p>
            <w:r>
              <w:rPr>
                <w:b/>
                <w:color w:val="FFFFFF"/>
                <w:sz w:val="15"/>
              </w:rPr>
              <w:t>Correlation</w:t>
            </w:r>
          </w:p>
        </w:tc>
        <w:tc>
          <w:tcPr>
            <w:tcW w:type="dxa" w:w="3744"/>
            <w:shd w:fill="17365D"/>
            <w:tcMar>
              <w:top w:w="80" w:type="dxa"/>
              <w:start w:w="80" w:type="dxa"/>
              <w:bottom w:w="80" w:type="dxa"/>
              <w:end w:w="80" w:type="dxa"/>
            </w:tcMar>
            <w:vAlign w:val="center"/>
          </w:tcPr>
          <w:p>
            <w:r>
              <w:rPr>
                <w:b/>
                <w:color w:val="FFFFFF"/>
                <w:sz w:val="15"/>
              </w:rPr>
              <w:t>Status</w:t>
            </w:r>
          </w:p>
        </w:tc>
      </w:tr>
      <w:tr>
        <w:tc>
          <w:tcPr>
            <w:tcW w:type="dxa" w:w="1008"/>
            <w:tcMar>
              <w:top w:w="80" w:type="dxa"/>
              <w:start w:w="80" w:type="dxa"/>
              <w:bottom w:w="80" w:type="dxa"/>
              <w:end w:w="80" w:type="dxa"/>
            </w:tcMar>
            <w:vAlign w:val="center"/>
          </w:tcPr>
          <w:p>
            <w:pPr>
              <w:spacing w:after="0"/>
            </w:pPr>
            <w:r>
              <w:rPr>
                <w:sz w:val="15"/>
              </w:rPr>
              <w:t>NSW1</w:t>
            </w:r>
          </w:p>
        </w:tc>
        <w:tc>
          <w:tcPr>
            <w:tcW w:type="dxa" w:w="936"/>
            <w:tcMar>
              <w:top w:w="80" w:type="dxa"/>
              <w:start w:w="80" w:type="dxa"/>
              <w:bottom w:w="80" w:type="dxa"/>
              <w:end w:w="80" w:type="dxa"/>
            </w:tcMar>
            <w:vAlign w:val="center"/>
          </w:tcPr>
          <w:p>
            <w:pPr>
              <w:spacing w:after="0"/>
            </w:pPr>
            <w:r>
              <w:rPr>
                <w:sz w:val="15"/>
              </w:rPr>
              <w:t>19</w:t>
            </w:r>
          </w:p>
        </w:tc>
        <w:tc>
          <w:tcPr>
            <w:tcW w:type="dxa" w:w="2376"/>
            <w:tcMar>
              <w:top w:w="80" w:type="dxa"/>
              <w:start w:w="80" w:type="dxa"/>
              <w:bottom w:w="80" w:type="dxa"/>
              <w:end w:w="80" w:type="dxa"/>
            </w:tcMar>
            <w:vAlign w:val="center"/>
          </w:tcPr>
          <w:p>
            <w:pPr>
              <w:spacing w:after="0"/>
            </w:pPr>
            <w:r>
              <w:rPr>
                <w:sz w:val="15"/>
              </w:rPr>
              <w:t>136.6</w:t>
            </w:r>
          </w:p>
        </w:tc>
        <w:tc>
          <w:tcPr>
            <w:tcW w:type="dxa" w:w="1152"/>
            <w:tcMar>
              <w:top w:w="80" w:type="dxa"/>
              <w:start w:w="80" w:type="dxa"/>
              <w:bottom w:w="80" w:type="dxa"/>
              <w:end w:w="80" w:type="dxa"/>
            </w:tcMar>
            <w:vAlign w:val="center"/>
          </w:tcPr>
          <w:p>
            <w:pPr>
              <w:spacing w:after="0"/>
            </w:pPr>
            <w:r>
              <w:rPr>
                <w:sz w:val="15"/>
              </w:rPr>
              <w:t>0.987</w:t>
            </w:r>
          </w:p>
        </w:tc>
        <w:tc>
          <w:tcPr>
            <w:tcW w:type="dxa" w:w="3744"/>
            <w:tcMar>
              <w:top w:w="80" w:type="dxa"/>
              <w:start w:w="80" w:type="dxa"/>
              <w:bottom w:w="80" w:type="dxa"/>
              <w:end w:w="80" w:type="dxa"/>
            </w:tcMar>
            <w:vAlign w:val="center"/>
          </w:tcPr>
          <w:p>
            <w:pPr>
              <w:spacing w:after="0"/>
            </w:pPr>
            <w:r>
              <w:rPr>
                <w:sz w:val="15"/>
              </w:rPr>
              <w:t>TARGET_MISMATCH_SECONDARY_BENCHMARK</w:t>
            </w:r>
          </w:p>
        </w:tc>
      </w:tr>
      <w:tr>
        <w:tc>
          <w:tcPr>
            <w:tcW w:type="dxa" w:w="1008"/>
            <w:tcMar>
              <w:top w:w="80" w:type="dxa"/>
              <w:start w:w="80" w:type="dxa"/>
              <w:bottom w:w="80" w:type="dxa"/>
              <w:end w:w="80" w:type="dxa"/>
            </w:tcMar>
            <w:vAlign w:val="center"/>
            <w:shd w:fill="F7F9FB"/>
          </w:tcPr>
          <w:p>
            <w:pPr>
              <w:spacing w:after="0"/>
            </w:pPr>
            <w:r>
              <w:rPr>
                <w:sz w:val="15"/>
              </w:rPr>
              <w:t>QLD1</w:t>
            </w:r>
          </w:p>
        </w:tc>
        <w:tc>
          <w:tcPr>
            <w:tcW w:type="dxa" w:w="936"/>
            <w:tcMar>
              <w:top w:w="80" w:type="dxa"/>
              <w:start w:w="80" w:type="dxa"/>
              <w:bottom w:w="80" w:type="dxa"/>
              <w:end w:w="80" w:type="dxa"/>
            </w:tcMar>
            <w:vAlign w:val="center"/>
            <w:shd w:fill="F7F9FB"/>
          </w:tcPr>
          <w:p>
            <w:pPr>
              <w:spacing w:after="0"/>
            </w:pPr>
            <w:r>
              <w:rPr>
                <w:sz w:val="15"/>
              </w:rPr>
              <w:t>19</w:t>
            </w:r>
          </w:p>
        </w:tc>
        <w:tc>
          <w:tcPr>
            <w:tcW w:type="dxa" w:w="2376"/>
            <w:tcMar>
              <w:top w:w="80" w:type="dxa"/>
              <w:start w:w="80" w:type="dxa"/>
              <w:bottom w:w="80" w:type="dxa"/>
              <w:end w:w="80" w:type="dxa"/>
            </w:tcMar>
            <w:vAlign w:val="center"/>
            <w:shd w:fill="F7F9FB"/>
          </w:tcPr>
          <w:p>
            <w:pPr>
              <w:spacing w:after="0"/>
            </w:pPr>
            <w:r>
              <w:rPr>
                <w:sz w:val="15"/>
              </w:rPr>
              <w:t>89.7</w:t>
            </w:r>
          </w:p>
        </w:tc>
        <w:tc>
          <w:tcPr>
            <w:tcW w:type="dxa" w:w="1152"/>
            <w:tcMar>
              <w:top w:w="80" w:type="dxa"/>
              <w:start w:w="80" w:type="dxa"/>
              <w:bottom w:w="80" w:type="dxa"/>
              <w:end w:w="80" w:type="dxa"/>
            </w:tcMar>
            <w:vAlign w:val="center"/>
            <w:shd w:fill="F7F9FB"/>
          </w:tcPr>
          <w:p>
            <w:pPr>
              <w:spacing w:after="0"/>
            </w:pPr>
            <w:r>
              <w:rPr>
                <w:sz w:val="15"/>
              </w:rPr>
              <w:t>0.995</w:t>
            </w:r>
          </w:p>
        </w:tc>
        <w:tc>
          <w:tcPr>
            <w:tcW w:type="dxa" w:w="3744"/>
            <w:tcMar>
              <w:top w:w="80" w:type="dxa"/>
              <w:start w:w="80" w:type="dxa"/>
              <w:bottom w:w="80" w:type="dxa"/>
              <w:end w:w="80" w:type="dxa"/>
            </w:tcMar>
            <w:vAlign w:val="center"/>
            <w:shd w:fill="F7F9FB"/>
          </w:tcPr>
          <w:p>
            <w:pPr>
              <w:spacing w:after="0"/>
            </w:pPr>
            <w:r>
              <w:rPr>
                <w:sz w:val="15"/>
              </w:rPr>
              <w:t>TARGET_MISMATCH_SECONDARY_BENCHMARK</w:t>
            </w:r>
          </w:p>
        </w:tc>
      </w:tr>
      <w:tr>
        <w:tc>
          <w:tcPr>
            <w:tcW w:type="dxa" w:w="1008"/>
            <w:tcMar>
              <w:top w:w="80" w:type="dxa"/>
              <w:start w:w="80" w:type="dxa"/>
              <w:bottom w:w="80" w:type="dxa"/>
              <w:end w:w="80" w:type="dxa"/>
            </w:tcMar>
            <w:vAlign w:val="center"/>
          </w:tcPr>
          <w:p>
            <w:pPr>
              <w:spacing w:after="0"/>
            </w:pPr>
            <w:r>
              <w:rPr>
                <w:sz w:val="15"/>
              </w:rPr>
              <w:t>SA1</w:t>
            </w:r>
          </w:p>
        </w:tc>
        <w:tc>
          <w:tcPr>
            <w:tcW w:type="dxa" w:w="936"/>
            <w:tcMar>
              <w:top w:w="80" w:type="dxa"/>
              <w:start w:w="80" w:type="dxa"/>
              <w:bottom w:w="80" w:type="dxa"/>
              <w:end w:w="80" w:type="dxa"/>
            </w:tcMar>
            <w:vAlign w:val="center"/>
          </w:tcPr>
          <w:p>
            <w:pPr>
              <w:spacing w:after="0"/>
            </w:pPr>
            <w:r>
              <w:rPr>
                <w:sz w:val="15"/>
              </w:rPr>
              <w:t>19</w:t>
            </w:r>
          </w:p>
        </w:tc>
        <w:tc>
          <w:tcPr>
            <w:tcW w:type="dxa" w:w="2376"/>
            <w:tcMar>
              <w:top w:w="80" w:type="dxa"/>
              <w:start w:w="80" w:type="dxa"/>
              <w:bottom w:w="80" w:type="dxa"/>
              <w:end w:w="80" w:type="dxa"/>
            </w:tcMar>
            <w:vAlign w:val="center"/>
          </w:tcPr>
          <w:p>
            <w:pPr>
              <w:spacing w:after="0"/>
            </w:pPr>
            <w:r>
              <w:rPr>
                <w:sz w:val="15"/>
              </w:rPr>
              <w:t>71.8</w:t>
            </w:r>
          </w:p>
        </w:tc>
        <w:tc>
          <w:tcPr>
            <w:tcW w:type="dxa" w:w="1152"/>
            <w:tcMar>
              <w:top w:w="80" w:type="dxa"/>
              <w:start w:w="80" w:type="dxa"/>
              <w:bottom w:w="80" w:type="dxa"/>
              <w:end w:w="80" w:type="dxa"/>
            </w:tcMar>
            <w:vAlign w:val="center"/>
          </w:tcPr>
          <w:p>
            <w:pPr>
              <w:spacing w:after="0"/>
            </w:pPr>
            <w:r>
              <w:rPr>
                <w:sz w:val="15"/>
              </w:rPr>
              <w:t>0.966</w:t>
            </w:r>
          </w:p>
        </w:tc>
        <w:tc>
          <w:tcPr>
            <w:tcW w:type="dxa" w:w="3744"/>
            <w:tcMar>
              <w:top w:w="80" w:type="dxa"/>
              <w:start w:w="80" w:type="dxa"/>
              <w:bottom w:w="80" w:type="dxa"/>
              <w:end w:w="80" w:type="dxa"/>
            </w:tcMar>
            <w:vAlign w:val="center"/>
          </w:tcPr>
          <w:p>
            <w:pPr>
              <w:spacing w:after="0"/>
            </w:pPr>
            <w:r>
              <w:rPr>
                <w:sz w:val="15"/>
              </w:rPr>
              <w:t>TARGET_MISMATCH_SECONDARY_BENCHMARK</w:t>
            </w:r>
          </w:p>
        </w:tc>
      </w:tr>
      <w:tr>
        <w:tc>
          <w:tcPr>
            <w:tcW w:type="dxa" w:w="1008"/>
            <w:tcMar>
              <w:top w:w="80" w:type="dxa"/>
              <w:start w:w="80" w:type="dxa"/>
              <w:bottom w:w="80" w:type="dxa"/>
              <w:end w:w="80" w:type="dxa"/>
            </w:tcMar>
            <w:vAlign w:val="center"/>
            <w:shd w:fill="F7F9FB"/>
          </w:tcPr>
          <w:p>
            <w:pPr>
              <w:spacing w:after="0"/>
            </w:pPr>
            <w:r>
              <w:rPr>
                <w:sz w:val="15"/>
              </w:rPr>
              <w:t>TAS1</w:t>
            </w:r>
          </w:p>
        </w:tc>
        <w:tc>
          <w:tcPr>
            <w:tcW w:type="dxa" w:w="936"/>
            <w:tcMar>
              <w:top w:w="80" w:type="dxa"/>
              <w:start w:w="80" w:type="dxa"/>
              <w:bottom w:w="80" w:type="dxa"/>
              <w:end w:w="80" w:type="dxa"/>
            </w:tcMar>
            <w:vAlign w:val="center"/>
            <w:shd w:fill="F7F9FB"/>
          </w:tcPr>
          <w:p>
            <w:pPr>
              <w:spacing w:after="0"/>
            </w:pPr>
            <w:r>
              <w:rPr>
                <w:sz w:val="15"/>
              </w:rPr>
              <w:t>19</w:t>
            </w:r>
          </w:p>
        </w:tc>
        <w:tc>
          <w:tcPr>
            <w:tcW w:type="dxa" w:w="2376"/>
            <w:tcMar>
              <w:top w:w="80" w:type="dxa"/>
              <w:start w:w="80" w:type="dxa"/>
              <w:bottom w:w="80" w:type="dxa"/>
              <w:end w:w="80" w:type="dxa"/>
            </w:tcMar>
            <w:vAlign w:val="center"/>
            <w:shd w:fill="F7F9FB"/>
          </w:tcPr>
          <w:p>
            <w:pPr>
              <w:spacing w:after="0"/>
            </w:pPr>
            <w:r>
              <w:rPr>
                <w:sz w:val="15"/>
              </w:rPr>
              <w:t>0.0</w:t>
            </w:r>
          </w:p>
        </w:tc>
        <w:tc>
          <w:tcPr>
            <w:tcW w:type="dxa" w:w="1152"/>
            <w:tcMar>
              <w:top w:w="80" w:type="dxa"/>
              <w:start w:w="80" w:type="dxa"/>
              <w:bottom w:w="80" w:type="dxa"/>
              <w:end w:w="80" w:type="dxa"/>
            </w:tcMar>
            <w:vAlign w:val="center"/>
            <w:shd w:fill="F7F9FB"/>
          </w:tcPr>
          <w:p>
            <w:pPr>
              <w:spacing w:after="0"/>
            </w:pPr>
            <w:r>
              <w:rPr>
                <w:sz w:val="15"/>
              </w:rPr>
              <w:t>1.000</w:t>
            </w:r>
          </w:p>
        </w:tc>
        <w:tc>
          <w:tcPr>
            <w:tcW w:type="dxa" w:w="3744"/>
            <w:tcMar>
              <w:top w:w="80" w:type="dxa"/>
              <w:start w:w="80" w:type="dxa"/>
              <w:bottom w:w="80" w:type="dxa"/>
              <w:end w:w="80" w:type="dxa"/>
            </w:tcMar>
            <w:vAlign w:val="center"/>
            <w:shd w:fill="F7F9FB"/>
          </w:tcPr>
          <w:p>
            <w:pPr>
              <w:spacing w:after="0"/>
            </w:pPr>
            <w:r>
              <w:rPr>
                <w:sz w:val="15"/>
              </w:rPr>
              <w:t>TARGET_MISMATCH_SECONDARY_BENCHMARK</w:t>
            </w:r>
          </w:p>
        </w:tc>
      </w:tr>
      <w:tr>
        <w:tc>
          <w:tcPr>
            <w:tcW w:type="dxa" w:w="1008"/>
            <w:tcMar>
              <w:top w:w="80" w:type="dxa"/>
              <w:start w:w="80" w:type="dxa"/>
              <w:bottom w:w="80" w:type="dxa"/>
              <w:end w:w="80" w:type="dxa"/>
            </w:tcMar>
            <w:vAlign w:val="center"/>
          </w:tcPr>
          <w:p>
            <w:pPr>
              <w:spacing w:after="0"/>
            </w:pPr>
            <w:r>
              <w:rPr>
                <w:sz w:val="15"/>
              </w:rPr>
              <w:t>VIC1</w:t>
            </w:r>
          </w:p>
        </w:tc>
        <w:tc>
          <w:tcPr>
            <w:tcW w:type="dxa" w:w="936"/>
            <w:tcMar>
              <w:top w:w="80" w:type="dxa"/>
              <w:start w:w="80" w:type="dxa"/>
              <w:bottom w:w="80" w:type="dxa"/>
              <w:end w:w="80" w:type="dxa"/>
            </w:tcMar>
            <w:vAlign w:val="center"/>
          </w:tcPr>
          <w:p>
            <w:pPr>
              <w:spacing w:after="0"/>
            </w:pPr>
            <w:r>
              <w:rPr>
                <w:sz w:val="15"/>
              </w:rPr>
              <w:t>19</w:t>
            </w:r>
          </w:p>
        </w:tc>
        <w:tc>
          <w:tcPr>
            <w:tcW w:type="dxa" w:w="2376"/>
            <w:tcMar>
              <w:top w:w="80" w:type="dxa"/>
              <w:start w:w="80" w:type="dxa"/>
              <w:bottom w:w="80" w:type="dxa"/>
              <w:end w:w="80" w:type="dxa"/>
            </w:tcMar>
            <w:vAlign w:val="center"/>
          </w:tcPr>
          <w:p>
            <w:pPr>
              <w:spacing w:after="0"/>
            </w:pPr>
            <w:r>
              <w:rPr>
                <w:sz w:val="15"/>
              </w:rPr>
              <w:t>165.0</w:t>
            </w:r>
          </w:p>
        </w:tc>
        <w:tc>
          <w:tcPr>
            <w:tcW w:type="dxa" w:w="1152"/>
            <w:tcMar>
              <w:top w:w="80" w:type="dxa"/>
              <w:start w:w="80" w:type="dxa"/>
              <w:bottom w:w="80" w:type="dxa"/>
              <w:end w:w="80" w:type="dxa"/>
            </w:tcMar>
            <w:vAlign w:val="center"/>
          </w:tcPr>
          <w:p>
            <w:pPr>
              <w:spacing w:after="0"/>
            </w:pPr>
            <w:r>
              <w:rPr>
                <w:sz w:val="15"/>
              </w:rPr>
              <w:t>0.961</w:t>
            </w:r>
          </w:p>
        </w:tc>
        <w:tc>
          <w:tcPr>
            <w:tcW w:type="dxa" w:w="3744"/>
            <w:tcMar>
              <w:top w:w="80" w:type="dxa"/>
              <w:start w:w="80" w:type="dxa"/>
              <w:bottom w:w="80" w:type="dxa"/>
              <w:end w:w="80" w:type="dxa"/>
            </w:tcMar>
            <w:vAlign w:val="center"/>
          </w:tcPr>
          <w:p>
            <w:pPr>
              <w:spacing w:after="0"/>
            </w:pPr>
            <w:r>
              <w:rPr>
                <w:sz w:val="15"/>
              </w:rPr>
              <w:t>TARGET_MISMATCH_SECONDARY_BENCHMARK</w:t>
            </w:r>
          </w:p>
        </w:tc>
      </w:tr>
    </w:tbl>
    <w:p>
      <w:pPr>
        <w:spacing w:after="20"/>
      </w:pPr>
    </w:p>
    <w:tbl>
      <w:tblPr>
        <w:tblStyle w:val="TableGrid"/>
        <w:tblW w:type="auto" w:w="0"/>
        <w:jc w:val="center"/>
        <w:tblLayout w:type="fixed"/>
        <w:tblLook w:firstColumn="1" w:firstRow="1" w:lastColumn="0" w:lastRow="0" w:noHBand="0" w:noVBand="1" w:val="04A0"/>
      </w:tblPr>
      <w:tblGrid>
        <w:gridCol w:w="2025"/>
        <w:gridCol w:w="2025"/>
        <w:gridCol w:w="2025"/>
        <w:gridCol w:w="2025"/>
        <w:gridCol w:w="2025"/>
      </w:tblGrid>
      <w:tr>
        <w:trPr>
          <w:tblHeader w:val="true"/>
        </w:trPr>
        <w:tc>
          <w:tcPr>
            <w:tcW w:type="dxa" w:w="1080"/>
            <w:shd w:fill="17365D"/>
            <w:tcMar>
              <w:top w:w="80" w:type="dxa"/>
              <w:start w:w="80" w:type="dxa"/>
              <w:bottom w:w="80" w:type="dxa"/>
              <w:end w:w="80" w:type="dxa"/>
            </w:tcMar>
            <w:vAlign w:val="center"/>
          </w:tcPr>
          <w:p>
            <w:r>
              <w:rPr>
                <w:b/>
                <w:color w:val="FFFFFF"/>
                <w:sz w:val="16"/>
              </w:rPr>
              <w:t>Region</w:t>
            </w:r>
          </w:p>
        </w:tc>
        <w:tc>
          <w:tcPr>
            <w:tcW w:type="dxa" w:w="1728"/>
            <w:shd w:fill="17365D"/>
            <w:tcMar>
              <w:top w:w="80" w:type="dxa"/>
              <w:start w:w="80" w:type="dxa"/>
              <w:bottom w:w="80" w:type="dxa"/>
              <w:end w:w="80" w:type="dxa"/>
            </w:tcMar>
            <w:vAlign w:val="center"/>
          </w:tcPr>
          <w:p>
            <w:r>
              <w:rPr>
                <w:b/>
                <w:color w:val="FFFFFF"/>
                <w:sz w:val="16"/>
              </w:rPr>
              <w:t>Available horizon</w:t>
            </w:r>
          </w:p>
        </w:tc>
        <w:tc>
          <w:tcPr>
            <w:tcW w:type="dxa" w:w="1584"/>
            <w:shd w:fill="17365D"/>
            <w:tcMar>
              <w:top w:w="80" w:type="dxa"/>
              <w:start w:w="80" w:type="dxa"/>
              <w:bottom w:w="80" w:type="dxa"/>
              <w:end w:w="80" w:type="dxa"/>
            </w:tcMar>
            <w:vAlign w:val="center"/>
          </w:tcPr>
          <w:p>
            <w:r>
              <w:rPr>
                <w:b/>
                <w:color w:val="FFFFFF"/>
                <w:sz w:val="16"/>
              </w:rPr>
              <w:t>Matched intervals</w:t>
            </w:r>
          </w:p>
        </w:tc>
        <w:tc>
          <w:tcPr>
            <w:tcW w:type="dxa" w:w="1728"/>
            <w:shd w:fill="17365D"/>
            <w:tcMar>
              <w:top w:w="80" w:type="dxa"/>
              <w:start w:w="80" w:type="dxa"/>
              <w:bottom w:w="80" w:type="dxa"/>
              <w:end w:w="80" w:type="dxa"/>
            </w:tcMar>
            <w:vAlign w:val="center"/>
          </w:tcPr>
          <w:p>
            <w:r>
              <w:rPr>
                <w:b/>
                <w:color w:val="FFFFFF"/>
                <w:sz w:val="16"/>
              </w:rPr>
              <w:t>Mean margin MW</w:t>
            </w:r>
          </w:p>
        </w:tc>
        <w:tc>
          <w:tcPr>
            <w:tcW w:type="dxa" w:w="1728"/>
            <w:shd w:fill="17365D"/>
            <w:tcMar>
              <w:top w:w="80" w:type="dxa"/>
              <w:start w:w="80" w:type="dxa"/>
              <w:bottom w:w="80" w:type="dxa"/>
              <w:end w:w="80" w:type="dxa"/>
            </w:tcMar>
            <w:vAlign w:val="center"/>
          </w:tcPr>
          <w:p>
            <w:r>
              <w:rPr>
                <w:b/>
                <w:color w:val="FFFFFF"/>
                <w:sz w:val="16"/>
              </w:rPr>
              <w:t>Mean |margin| MW</w:t>
            </w:r>
          </w:p>
        </w:tc>
      </w:tr>
      <w:tr>
        <w:tc>
          <w:tcPr>
            <w:tcW w:type="dxa" w:w="1080"/>
            <w:tcMar>
              <w:top w:w="80" w:type="dxa"/>
              <w:start w:w="80" w:type="dxa"/>
              <w:bottom w:w="80" w:type="dxa"/>
              <w:end w:w="80" w:type="dxa"/>
            </w:tcMar>
            <w:vAlign w:val="center"/>
          </w:tcPr>
          <w:p>
            <w:pPr>
              <w:spacing w:after="0"/>
            </w:pPr>
            <w:r>
              <w:rPr>
                <w:sz w:val="16"/>
              </w:rPr>
              <w:t>NSW1</w:t>
            </w:r>
          </w:p>
        </w:tc>
        <w:tc>
          <w:tcPr>
            <w:tcW w:type="dxa" w:w="1728"/>
            <w:tcMar>
              <w:top w:w="80" w:type="dxa"/>
              <w:start w:w="80" w:type="dxa"/>
              <w:bottom w:w="80" w:type="dxa"/>
              <w:end w:w="80" w:type="dxa"/>
            </w:tcMar>
            <w:vAlign w:val="center"/>
          </w:tcPr>
          <w:p>
            <w:pPr>
              <w:spacing w:after="0"/>
            </w:pPr>
            <w:r>
              <w:rPr>
                <w:sz w:val="16"/>
              </w:rPr>
              <w:t>37.5 h</w:t>
            </w:r>
          </w:p>
        </w:tc>
        <w:tc>
          <w:tcPr>
            <w:tcW w:type="dxa" w:w="1584"/>
            <w:tcMar>
              <w:top w:w="80" w:type="dxa"/>
              <w:start w:w="80" w:type="dxa"/>
              <w:bottom w:w="80" w:type="dxa"/>
              <w:end w:w="80" w:type="dxa"/>
            </w:tcMar>
            <w:vAlign w:val="center"/>
          </w:tcPr>
          <w:p>
            <w:pPr>
              <w:spacing w:after="0"/>
            </w:pPr>
            <w:r>
              <w:rPr>
                <w:sz w:val="16"/>
              </w:rPr>
              <w:t>75</w:t>
            </w:r>
          </w:p>
        </w:tc>
        <w:tc>
          <w:tcPr>
            <w:tcW w:type="dxa" w:w="1728"/>
            <w:tcMar>
              <w:top w:w="80" w:type="dxa"/>
              <w:start w:w="80" w:type="dxa"/>
              <w:bottom w:w="80" w:type="dxa"/>
              <w:end w:w="80" w:type="dxa"/>
            </w:tcMar>
            <w:vAlign w:val="center"/>
          </w:tcPr>
          <w:p>
            <w:pPr>
              <w:spacing w:after="0"/>
            </w:pPr>
            <w:r>
              <w:rPr>
                <w:sz w:val="16"/>
              </w:rPr>
              <w:t>-5.0</w:t>
            </w:r>
          </w:p>
        </w:tc>
        <w:tc>
          <w:tcPr>
            <w:tcW w:type="dxa" w:w="1728"/>
            <w:tcMar>
              <w:top w:w="80" w:type="dxa"/>
              <w:start w:w="80" w:type="dxa"/>
              <w:bottom w:w="80" w:type="dxa"/>
              <w:end w:w="80" w:type="dxa"/>
            </w:tcMar>
            <w:vAlign w:val="center"/>
          </w:tcPr>
          <w:p>
            <w:pPr>
              <w:spacing w:after="0"/>
            </w:pPr>
            <w:r>
              <w:rPr>
                <w:sz w:val="16"/>
              </w:rPr>
              <w:t>259.4</w:t>
            </w:r>
          </w:p>
        </w:tc>
      </w:tr>
      <w:tr>
        <w:tc>
          <w:tcPr>
            <w:tcW w:type="dxa" w:w="1080"/>
            <w:tcMar>
              <w:top w:w="80" w:type="dxa"/>
              <w:start w:w="80" w:type="dxa"/>
              <w:bottom w:w="80" w:type="dxa"/>
              <w:end w:w="80" w:type="dxa"/>
            </w:tcMar>
            <w:vAlign w:val="center"/>
            <w:shd w:fill="F7F9FB"/>
          </w:tcPr>
          <w:p>
            <w:pPr>
              <w:spacing w:after="0"/>
            </w:pPr>
            <w:r>
              <w:rPr>
                <w:sz w:val="16"/>
              </w:rPr>
              <w:t>QLD1</w:t>
            </w:r>
          </w:p>
        </w:tc>
        <w:tc>
          <w:tcPr>
            <w:tcW w:type="dxa" w:w="1728"/>
            <w:tcMar>
              <w:top w:w="80" w:type="dxa"/>
              <w:start w:w="80" w:type="dxa"/>
              <w:bottom w:w="80" w:type="dxa"/>
              <w:end w:w="80" w:type="dxa"/>
            </w:tcMar>
            <w:vAlign w:val="center"/>
            <w:shd w:fill="F7F9FB"/>
          </w:tcPr>
          <w:p>
            <w:pPr>
              <w:spacing w:after="0"/>
            </w:pPr>
            <w:r>
              <w:rPr>
                <w:sz w:val="16"/>
              </w:rPr>
              <w:t>37.5 h</w:t>
            </w:r>
          </w:p>
        </w:tc>
        <w:tc>
          <w:tcPr>
            <w:tcW w:type="dxa" w:w="1584"/>
            <w:tcMar>
              <w:top w:w="80" w:type="dxa"/>
              <w:start w:w="80" w:type="dxa"/>
              <w:bottom w:w="80" w:type="dxa"/>
              <w:end w:w="80" w:type="dxa"/>
            </w:tcMar>
            <w:vAlign w:val="center"/>
            <w:shd w:fill="F7F9FB"/>
          </w:tcPr>
          <w:p>
            <w:pPr>
              <w:spacing w:after="0"/>
            </w:pPr>
            <w:r>
              <w:rPr>
                <w:sz w:val="16"/>
              </w:rPr>
              <w:t>75</w:t>
            </w:r>
          </w:p>
        </w:tc>
        <w:tc>
          <w:tcPr>
            <w:tcW w:type="dxa" w:w="1728"/>
            <w:tcMar>
              <w:top w:w="80" w:type="dxa"/>
              <w:start w:w="80" w:type="dxa"/>
              <w:bottom w:w="80" w:type="dxa"/>
              <w:end w:w="80" w:type="dxa"/>
            </w:tcMar>
            <w:vAlign w:val="center"/>
            <w:shd w:fill="F7F9FB"/>
          </w:tcPr>
          <w:p>
            <w:pPr>
              <w:spacing w:after="0"/>
            </w:pPr>
            <w:r>
              <w:rPr>
                <w:sz w:val="16"/>
              </w:rPr>
              <w:t>-85.2</w:t>
            </w:r>
          </w:p>
        </w:tc>
        <w:tc>
          <w:tcPr>
            <w:tcW w:type="dxa" w:w="1728"/>
            <w:tcMar>
              <w:top w:w="80" w:type="dxa"/>
              <w:start w:w="80" w:type="dxa"/>
              <w:bottom w:w="80" w:type="dxa"/>
              <w:end w:w="80" w:type="dxa"/>
            </w:tcMar>
            <w:vAlign w:val="center"/>
            <w:shd w:fill="F7F9FB"/>
          </w:tcPr>
          <w:p>
            <w:pPr>
              <w:spacing w:after="0"/>
            </w:pPr>
            <w:r>
              <w:rPr>
                <w:sz w:val="16"/>
              </w:rPr>
              <w:t>121.3</w:t>
            </w:r>
          </w:p>
        </w:tc>
      </w:tr>
      <w:tr>
        <w:tc>
          <w:tcPr>
            <w:tcW w:type="dxa" w:w="1080"/>
            <w:tcMar>
              <w:top w:w="80" w:type="dxa"/>
              <w:start w:w="80" w:type="dxa"/>
              <w:bottom w:w="80" w:type="dxa"/>
              <w:end w:w="80" w:type="dxa"/>
            </w:tcMar>
            <w:vAlign w:val="center"/>
          </w:tcPr>
          <w:p>
            <w:pPr>
              <w:spacing w:after="0"/>
            </w:pPr>
            <w:r>
              <w:rPr>
                <w:sz w:val="16"/>
              </w:rPr>
              <w:t>SA1</w:t>
            </w:r>
          </w:p>
        </w:tc>
        <w:tc>
          <w:tcPr>
            <w:tcW w:type="dxa" w:w="1728"/>
            <w:tcMar>
              <w:top w:w="80" w:type="dxa"/>
              <w:start w:w="80" w:type="dxa"/>
              <w:bottom w:w="80" w:type="dxa"/>
              <w:end w:w="80" w:type="dxa"/>
            </w:tcMar>
            <w:vAlign w:val="center"/>
          </w:tcPr>
          <w:p>
            <w:pPr>
              <w:spacing w:after="0"/>
            </w:pPr>
            <w:r>
              <w:rPr>
                <w:sz w:val="16"/>
              </w:rPr>
              <w:t>37.5 h</w:t>
            </w:r>
          </w:p>
        </w:tc>
        <w:tc>
          <w:tcPr>
            <w:tcW w:type="dxa" w:w="1584"/>
            <w:tcMar>
              <w:top w:w="80" w:type="dxa"/>
              <w:start w:w="80" w:type="dxa"/>
              <w:bottom w:w="80" w:type="dxa"/>
              <w:end w:w="80" w:type="dxa"/>
            </w:tcMar>
            <w:vAlign w:val="center"/>
          </w:tcPr>
          <w:p>
            <w:pPr>
              <w:spacing w:after="0"/>
            </w:pPr>
            <w:r>
              <w:rPr>
                <w:sz w:val="16"/>
              </w:rPr>
              <w:t>75</w:t>
            </w:r>
          </w:p>
        </w:tc>
        <w:tc>
          <w:tcPr>
            <w:tcW w:type="dxa" w:w="1728"/>
            <w:tcMar>
              <w:top w:w="80" w:type="dxa"/>
              <w:start w:w="80" w:type="dxa"/>
              <w:bottom w:w="80" w:type="dxa"/>
              <w:end w:w="80" w:type="dxa"/>
            </w:tcMar>
            <w:vAlign w:val="center"/>
          </w:tcPr>
          <w:p>
            <w:pPr>
              <w:spacing w:after="0"/>
            </w:pPr>
            <w:r>
              <w:rPr>
                <w:sz w:val="16"/>
              </w:rPr>
              <w:t>-156.6</w:t>
            </w:r>
          </w:p>
        </w:tc>
        <w:tc>
          <w:tcPr>
            <w:tcW w:type="dxa" w:w="1728"/>
            <w:tcMar>
              <w:top w:w="80" w:type="dxa"/>
              <w:start w:w="80" w:type="dxa"/>
              <w:bottom w:w="80" w:type="dxa"/>
              <w:end w:w="80" w:type="dxa"/>
            </w:tcMar>
            <w:vAlign w:val="center"/>
          </w:tcPr>
          <w:p>
            <w:pPr>
              <w:spacing w:after="0"/>
            </w:pPr>
            <w:r>
              <w:rPr>
                <w:sz w:val="16"/>
              </w:rPr>
              <w:t>156.6</w:t>
            </w:r>
          </w:p>
        </w:tc>
      </w:tr>
      <w:tr>
        <w:tc>
          <w:tcPr>
            <w:tcW w:type="dxa" w:w="1080"/>
            <w:tcMar>
              <w:top w:w="80" w:type="dxa"/>
              <w:start w:w="80" w:type="dxa"/>
              <w:bottom w:w="80" w:type="dxa"/>
              <w:end w:w="80" w:type="dxa"/>
            </w:tcMar>
            <w:vAlign w:val="center"/>
            <w:shd w:fill="F7F9FB"/>
          </w:tcPr>
          <w:p>
            <w:pPr>
              <w:spacing w:after="0"/>
            </w:pPr>
            <w:r>
              <w:rPr>
                <w:sz w:val="16"/>
              </w:rPr>
              <w:t>TAS1</w:t>
            </w:r>
          </w:p>
        </w:tc>
        <w:tc>
          <w:tcPr>
            <w:tcW w:type="dxa" w:w="1728"/>
            <w:tcMar>
              <w:top w:w="80" w:type="dxa"/>
              <w:start w:w="80" w:type="dxa"/>
              <w:bottom w:w="80" w:type="dxa"/>
              <w:end w:w="80" w:type="dxa"/>
            </w:tcMar>
            <w:vAlign w:val="center"/>
            <w:shd w:fill="F7F9FB"/>
          </w:tcPr>
          <w:p>
            <w:pPr>
              <w:spacing w:after="0"/>
            </w:pPr>
            <w:r>
              <w:rPr>
                <w:sz w:val="16"/>
              </w:rPr>
              <w:t>37.5 h</w:t>
            </w:r>
          </w:p>
        </w:tc>
        <w:tc>
          <w:tcPr>
            <w:tcW w:type="dxa" w:w="1584"/>
            <w:tcMar>
              <w:top w:w="80" w:type="dxa"/>
              <w:start w:w="80" w:type="dxa"/>
              <w:bottom w:w="80" w:type="dxa"/>
              <w:end w:w="80" w:type="dxa"/>
            </w:tcMar>
            <w:vAlign w:val="center"/>
            <w:shd w:fill="F7F9FB"/>
          </w:tcPr>
          <w:p>
            <w:pPr>
              <w:spacing w:after="0"/>
            </w:pPr>
            <w:r>
              <w:rPr>
                <w:sz w:val="16"/>
              </w:rPr>
              <w:t>75</w:t>
            </w:r>
          </w:p>
        </w:tc>
        <w:tc>
          <w:tcPr>
            <w:tcW w:type="dxa" w:w="1728"/>
            <w:tcMar>
              <w:top w:w="80" w:type="dxa"/>
              <w:start w:w="80" w:type="dxa"/>
              <w:bottom w:w="80" w:type="dxa"/>
              <w:end w:w="80" w:type="dxa"/>
            </w:tcMar>
            <w:vAlign w:val="center"/>
            <w:shd w:fill="F7F9FB"/>
          </w:tcPr>
          <w:p>
            <w:pPr>
              <w:spacing w:after="0"/>
            </w:pPr>
            <w:r>
              <w:rPr>
                <w:sz w:val="16"/>
              </w:rPr>
              <w:t>+70.2</w:t>
            </w:r>
          </w:p>
        </w:tc>
        <w:tc>
          <w:tcPr>
            <w:tcW w:type="dxa" w:w="1728"/>
            <w:tcMar>
              <w:top w:w="80" w:type="dxa"/>
              <w:start w:w="80" w:type="dxa"/>
              <w:bottom w:w="80" w:type="dxa"/>
              <w:end w:w="80" w:type="dxa"/>
            </w:tcMar>
            <w:vAlign w:val="center"/>
            <w:shd w:fill="F7F9FB"/>
          </w:tcPr>
          <w:p>
            <w:pPr>
              <w:spacing w:after="0"/>
            </w:pPr>
            <w:r>
              <w:rPr>
                <w:sz w:val="16"/>
              </w:rPr>
              <w:t>80.4</w:t>
            </w:r>
          </w:p>
        </w:tc>
      </w:tr>
      <w:tr>
        <w:tc>
          <w:tcPr>
            <w:tcW w:type="dxa" w:w="1080"/>
            <w:tcMar>
              <w:top w:w="80" w:type="dxa"/>
              <w:start w:w="80" w:type="dxa"/>
              <w:bottom w:w="80" w:type="dxa"/>
              <w:end w:w="80" w:type="dxa"/>
            </w:tcMar>
            <w:vAlign w:val="center"/>
          </w:tcPr>
          <w:p>
            <w:pPr>
              <w:spacing w:after="0"/>
            </w:pPr>
            <w:r>
              <w:rPr>
                <w:sz w:val="16"/>
              </w:rPr>
              <w:t>VIC1</w:t>
            </w:r>
          </w:p>
        </w:tc>
        <w:tc>
          <w:tcPr>
            <w:tcW w:type="dxa" w:w="1728"/>
            <w:tcMar>
              <w:top w:w="80" w:type="dxa"/>
              <w:start w:w="80" w:type="dxa"/>
              <w:bottom w:w="80" w:type="dxa"/>
              <w:end w:w="80" w:type="dxa"/>
            </w:tcMar>
            <w:vAlign w:val="center"/>
          </w:tcPr>
          <w:p>
            <w:pPr>
              <w:spacing w:after="0"/>
            </w:pPr>
            <w:r>
              <w:rPr>
                <w:sz w:val="16"/>
              </w:rPr>
              <w:t>37.5 h</w:t>
            </w:r>
          </w:p>
        </w:tc>
        <w:tc>
          <w:tcPr>
            <w:tcW w:type="dxa" w:w="1584"/>
            <w:tcMar>
              <w:top w:w="80" w:type="dxa"/>
              <w:start w:w="80" w:type="dxa"/>
              <w:bottom w:w="80" w:type="dxa"/>
              <w:end w:w="80" w:type="dxa"/>
            </w:tcMar>
            <w:vAlign w:val="center"/>
          </w:tcPr>
          <w:p>
            <w:pPr>
              <w:spacing w:after="0"/>
            </w:pPr>
            <w:r>
              <w:rPr>
                <w:sz w:val="16"/>
              </w:rPr>
              <w:t>75</w:t>
            </w:r>
          </w:p>
        </w:tc>
        <w:tc>
          <w:tcPr>
            <w:tcW w:type="dxa" w:w="1728"/>
            <w:tcMar>
              <w:top w:w="80" w:type="dxa"/>
              <w:start w:w="80" w:type="dxa"/>
              <w:bottom w:w="80" w:type="dxa"/>
              <w:end w:w="80" w:type="dxa"/>
            </w:tcMar>
            <w:vAlign w:val="center"/>
          </w:tcPr>
          <w:p>
            <w:pPr>
              <w:spacing w:after="0"/>
            </w:pPr>
            <w:r>
              <w:rPr>
                <w:sz w:val="16"/>
              </w:rPr>
              <w:t>-217.9</w:t>
            </w:r>
          </w:p>
        </w:tc>
        <w:tc>
          <w:tcPr>
            <w:tcW w:type="dxa" w:w="1728"/>
            <w:tcMar>
              <w:top w:w="80" w:type="dxa"/>
              <w:start w:w="80" w:type="dxa"/>
              <w:bottom w:w="80" w:type="dxa"/>
              <w:end w:w="80" w:type="dxa"/>
            </w:tcMar>
            <w:vAlign w:val="center"/>
          </w:tcPr>
          <w:p>
            <w:pPr>
              <w:spacing w:after="0"/>
            </w:pPr>
            <w:r>
              <w:rPr>
                <w:sz w:val="16"/>
              </w:rPr>
              <w:t>296.2</w:t>
            </w:r>
          </w:p>
        </w:tc>
      </w:tr>
    </w:tbl>
    <w:p>
      <w:pPr>
        <w:spacing w:after="20"/>
      </w:pPr>
    </w:p>
    <w:p>
      <w:pPr>
        <w:jc w:val="center"/>
      </w:pPr>
      <w:r>
        <w:drawing>
          <wp:inline xmlns:a="http://schemas.openxmlformats.org/drawingml/2006/main" xmlns:pic="http://schemas.openxmlformats.org/drawingml/2006/picture">
            <wp:extent cx="5394960" cy="2450078"/>
            <wp:docPr id="13" name="Picture 13"/>
            <wp:cNvGraphicFramePr>
              <a:graphicFrameLocks noChangeAspect="1"/>
            </wp:cNvGraphicFramePr>
            <a:graphic>
              <a:graphicData uri="http://schemas.openxmlformats.org/drawingml/2006/picture">
                <pic:pic>
                  <pic:nvPicPr>
                    <pic:cNvPr id="0" name="aemo_margin_comparison.png"/>
                    <pic:cNvPicPr/>
                  </pic:nvPicPr>
                  <pic:blipFill>
                    <a:blip r:embed="rId23"/>
                    <a:stretch>
                      <a:fillRect/>
                    </a:stretch>
                  </pic:blipFill>
                  <pic:spPr>
                    <a:xfrm>
                      <a:off x="0" y="0"/>
                      <a:ext cx="5394960" cy="2450078"/>
                    </a:xfrm>
                    <a:prstGeom prst="rect"/>
                  </pic:spPr>
                </pic:pic>
              </a:graphicData>
            </a:graphic>
          </wp:inline>
        </w:drawing>
      </w:r>
    </w:p>
    <w:p>
      <w:pPr>
        <w:pStyle w:val="Caption"/>
        <w:jc w:val="center"/>
      </w:pPr>
      <w:r>
        <w:t>Figure 13. Project versus AEMO forecast margin over the actual 37.5-hour pre-dispatch horizon. The chart measures divergence only; neither source is scored as the “winner”.</w:t>
      </w:r>
    </w:p>
    <w:p>
      <w:pPr>
        <w:spacing w:after="100"/>
      </w:pPr>
      <w:r>
        <w:t>WA is correctly absent from the AEMO NEM benchmark. The five NEM regions have 75 matched forecast intervals over 37.5 hours. The separate verified-accuracy file remains FORECAST_ONLY because the later actual period for those AEMO forecast timestamps had not yet arrived in the Stage 2 actuals when this run was produced.</w:t>
      </w:r>
    </w:p>
    <w:p>
      <w:pPr>
        <w:pStyle w:val="Heading1"/>
      </w:pPr>
      <w:r>
        <w:t>16. Quality Assurance and Reproducibility</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2520"/>
            <w:shd w:fill="17365D"/>
            <w:tcMar>
              <w:top w:w="80" w:type="dxa"/>
              <w:start w:w="80" w:type="dxa"/>
              <w:bottom w:w="80" w:type="dxa"/>
              <w:end w:w="80" w:type="dxa"/>
            </w:tcMar>
            <w:vAlign w:val="center"/>
          </w:tcPr>
          <w:p>
            <w:r>
              <w:rPr>
                <w:b/>
                <w:color w:val="FFFFFF"/>
                <w:sz w:val="16"/>
              </w:rPr>
              <w:t>Control</w:t>
            </w:r>
          </w:p>
        </w:tc>
        <w:tc>
          <w:tcPr>
            <w:tcW w:type="dxa" w:w="2304"/>
            <w:shd w:fill="17365D"/>
            <w:tcMar>
              <w:top w:w="80" w:type="dxa"/>
              <w:start w:w="80" w:type="dxa"/>
              <w:bottom w:w="80" w:type="dxa"/>
              <w:end w:w="80" w:type="dxa"/>
            </w:tcMar>
            <w:vAlign w:val="center"/>
          </w:tcPr>
          <w:p>
            <w:r>
              <w:rPr>
                <w:b/>
                <w:color w:val="FFFFFF"/>
                <w:sz w:val="16"/>
              </w:rPr>
              <w:t>Result</w:t>
            </w:r>
          </w:p>
        </w:tc>
        <w:tc>
          <w:tcPr>
            <w:tcW w:type="dxa" w:w="5400"/>
            <w:shd w:fill="17365D"/>
            <w:tcMar>
              <w:top w:w="80" w:type="dxa"/>
              <w:start w:w="80" w:type="dxa"/>
              <w:bottom w:w="80" w:type="dxa"/>
              <w:end w:w="80" w:type="dxa"/>
            </w:tcMar>
            <w:vAlign w:val="center"/>
          </w:tcPr>
          <w:p>
            <w:r>
              <w:rPr>
                <w:b/>
                <w:color w:val="FFFFFF"/>
                <w:sz w:val="16"/>
              </w:rPr>
              <w:t>Interpretation</w:t>
            </w:r>
          </w:p>
        </w:tc>
      </w:tr>
      <w:tr>
        <w:tc>
          <w:tcPr>
            <w:tcW w:type="dxa" w:w="2520"/>
            <w:tcMar>
              <w:top w:w="80" w:type="dxa"/>
              <w:start w:w="80" w:type="dxa"/>
              <w:bottom w:w="80" w:type="dxa"/>
              <w:end w:w="80" w:type="dxa"/>
            </w:tcMar>
            <w:vAlign w:val="center"/>
          </w:tcPr>
          <w:p>
            <w:pPr>
              <w:spacing w:after="0"/>
            </w:pPr>
            <w:r>
              <w:rPr>
                <w:sz w:val="16"/>
              </w:rPr>
              <w:t>Region modelling status</w:t>
            </w:r>
          </w:p>
        </w:tc>
        <w:tc>
          <w:tcPr>
            <w:tcW w:type="dxa" w:w="2304"/>
            <w:tcMar>
              <w:top w:w="80" w:type="dxa"/>
              <w:start w:w="80" w:type="dxa"/>
              <w:bottom w:w="80" w:type="dxa"/>
              <w:end w:w="80" w:type="dxa"/>
            </w:tcMar>
            <w:vAlign w:val="center"/>
          </w:tcPr>
          <w:p>
            <w:pPr>
              <w:spacing w:after="0"/>
            </w:pPr>
            <w:r>
              <w:rPr>
                <w:sz w:val="16"/>
              </w:rPr>
              <w:t>6 MODEL_READY; 0 warning; 0 failed</w:t>
            </w:r>
          </w:p>
        </w:tc>
        <w:tc>
          <w:tcPr>
            <w:tcW w:type="dxa" w:w="5400"/>
            <w:tcMar>
              <w:top w:w="80" w:type="dxa"/>
              <w:start w:w="80" w:type="dxa"/>
              <w:bottom w:w="80" w:type="dxa"/>
              <w:end w:w="80" w:type="dxa"/>
            </w:tcMar>
            <w:vAlign w:val="center"/>
          </w:tcPr>
          <w:p>
            <w:pPr>
              <w:spacing w:after="0"/>
            </w:pPr>
            <w:r>
              <w:rPr>
                <w:sz w:val="16"/>
              </w:rPr>
              <w:t>Every target region produced an accepted forecast.</w:t>
            </w:r>
          </w:p>
        </w:tc>
      </w:tr>
      <w:tr>
        <w:tc>
          <w:tcPr>
            <w:tcW w:type="dxa" w:w="2520"/>
            <w:tcMar>
              <w:top w:w="80" w:type="dxa"/>
              <w:start w:w="80" w:type="dxa"/>
              <w:bottom w:w="80" w:type="dxa"/>
              <w:end w:w="80" w:type="dxa"/>
            </w:tcMar>
            <w:vAlign w:val="center"/>
            <w:shd w:fill="F7F9FB"/>
          </w:tcPr>
          <w:p>
            <w:pPr>
              <w:spacing w:after="0"/>
            </w:pPr>
            <w:r>
              <w:rPr>
                <w:sz w:val="16"/>
              </w:rPr>
              <w:t>Leakage tests</w:t>
            </w:r>
          </w:p>
        </w:tc>
        <w:tc>
          <w:tcPr>
            <w:tcW w:type="dxa" w:w="2304"/>
            <w:tcMar>
              <w:top w:w="80" w:type="dxa"/>
              <w:start w:w="80" w:type="dxa"/>
              <w:bottom w:w="80" w:type="dxa"/>
              <w:end w:w="80" w:type="dxa"/>
            </w:tcMar>
            <w:vAlign w:val="center"/>
            <w:shd w:fill="F7F9FB"/>
          </w:tcPr>
          <w:p>
            <w:pPr>
              <w:spacing w:after="0"/>
            </w:pPr>
            <w:r>
              <w:rPr>
                <w:sz w:val="16"/>
              </w:rPr>
              <w:t>78/78 PASS</w:t>
            </w:r>
          </w:p>
        </w:tc>
        <w:tc>
          <w:tcPr>
            <w:tcW w:type="dxa" w:w="5400"/>
            <w:tcMar>
              <w:top w:w="80" w:type="dxa"/>
              <w:start w:w="80" w:type="dxa"/>
              <w:bottom w:w="80" w:type="dxa"/>
              <w:end w:w="80" w:type="dxa"/>
            </w:tcMar>
            <w:vAlign w:val="center"/>
            <w:shd w:fill="F7F9FB"/>
          </w:tcPr>
          <w:p>
            <w:pPr>
              <w:spacing w:after="0"/>
            </w:pPr>
            <w:r>
              <w:rPr>
                <w:sz w:val="16"/>
              </w:rPr>
              <w:t>No detected future target leakage in the tested contracts.</w:t>
            </w:r>
          </w:p>
        </w:tc>
      </w:tr>
      <w:tr>
        <w:tc>
          <w:tcPr>
            <w:tcW w:type="dxa" w:w="2520"/>
            <w:tcMar>
              <w:top w:w="80" w:type="dxa"/>
              <w:start w:w="80" w:type="dxa"/>
              <w:bottom w:w="80" w:type="dxa"/>
              <w:end w:w="80" w:type="dxa"/>
            </w:tcMar>
            <w:vAlign w:val="center"/>
          </w:tcPr>
          <w:p>
            <w:pPr>
              <w:spacing w:after="0"/>
            </w:pPr>
            <w:r>
              <w:rPr>
                <w:sz w:val="16"/>
              </w:rPr>
              <w:t>Feature safety</w:t>
            </w:r>
          </w:p>
        </w:tc>
        <w:tc>
          <w:tcPr>
            <w:tcW w:type="dxa" w:w="2304"/>
            <w:tcMar>
              <w:top w:w="80" w:type="dxa"/>
              <w:start w:w="80" w:type="dxa"/>
              <w:bottom w:w="80" w:type="dxa"/>
              <w:end w:w="80" w:type="dxa"/>
            </w:tcMar>
            <w:vAlign w:val="center"/>
          </w:tcPr>
          <w:p>
            <w:pPr>
              <w:spacing w:after="0"/>
            </w:pPr>
            <w:r>
              <w:rPr>
                <w:sz w:val="16"/>
              </w:rPr>
              <w:t>8/8 PASS</w:t>
            </w:r>
          </w:p>
        </w:tc>
        <w:tc>
          <w:tcPr>
            <w:tcW w:type="dxa" w:w="5400"/>
            <w:tcMar>
              <w:top w:w="80" w:type="dxa"/>
              <w:start w:w="80" w:type="dxa"/>
              <w:bottom w:w="80" w:type="dxa"/>
              <w:end w:w="80" w:type="dxa"/>
            </w:tcMar>
            <w:vAlign w:val="center"/>
          </w:tcPr>
          <w:p>
            <w:pPr>
              <w:spacing w:after="0"/>
            </w:pPr>
            <w:r>
              <w:rPr>
                <w:sz w:val="16"/>
              </w:rPr>
              <w:t>Forbidden benchmark/context columns do not enter predictors.</w:t>
            </w:r>
          </w:p>
        </w:tc>
      </w:tr>
      <w:tr>
        <w:tc>
          <w:tcPr>
            <w:tcW w:type="dxa" w:w="2520"/>
            <w:tcMar>
              <w:top w:w="80" w:type="dxa"/>
              <w:start w:w="80" w:type="dxa"/>
              <w:bottom w:w="80" w:type="dxa"/>
              <w:end w:w="80" w:type="dxa"/>
            </w:tcMar>
            <w:vAlign w:val="center"/>
            <w:shd w:fill="F7F9FB"/>
          </w:tcPr>
          <w:p>
            <w:pPr>
              <w:spacing w:after="0"/>
            </w:pPr>
            <w:r>
              <w:rPr>
                <w:sz w:val="16"/>
              </w:rPr>
              <w:t>Forecast integrity</w:t>
            </w:r>
          </w:p>
        </w:tc>
        <w:tc>
          <w:tcPr>
            <w:tcW w:type="dxa" w:w="2304"/>
            <w:tcMar>
              <w:top w:w="80" w:type="dxa"/>
              <w:start w:w="80" w:type="dxa"/>
              <w:bottom w:w="80" w:type="dxa"/>
              <w:end w:w="80" w:type="dxa"/>
            </w:tcMar>
            <w:vAlign w:val="center"/>
            <w:shd w:fill="F7F9FB"/>
          </w:tcPr>
          <w:p>
            <w:pPr>
              <w:spacing w:after="0"/>
            </w:pPr>
            <w:r>
              <w:rPr>
                <w:sz w:val="16"/>
              </w:rPr>
              <w:t>110/120 PASS; 10 warnings</w:t>
            </w:r>
          </w:p>
        </w:tc>
        <w:tc>
          <w:tcPr>
            <w:tcW w:type="dxa" w:w="5400"/>
            <w:tcMar>
              <w:top w:w="80" w:type="dxa"/>
              <w:start w:w="80" w:type="dxa"/>
              <w:bottom w:w="80" w:type="dxa"/>
              <w:end w:w="80" w:type="dxa"/>
            </w:tcMar>
            <w:vAlign w:val="center"/>
            <w:shd w:fill="F7F9FB"/>
          </w:tcPr>
          <w:p>
            <w:pPr>
              <w:spacing w:after="0"/>
            </w:pPr>
            <w:r>
              <w:rPr>
                <w:sz w:val="16"/>
              </w:rPr>
              <w:t>Warnings are visible rather than suppressed.</w:t>
            </w:r>
          </w:p>
        </w:tc>
      </w:tr>
      <w:tr>
        <w:tc>
          <w:tcPr>
            <w:tcW w:type="dxa" w:w="2520"/>
            <w:tcMar>
              <w:top w:w="80" w:type="dxa"/>
              <w:start w:w="80" w:type="dxa"/>
              <w:bottom w:w="80" w:type="dxa"/>
              <w:end w:w="80" w:type="dxa"/>
            </w:tcMar>
            <w:vAlign w:val="center"/>
          </w:tcPr>
          <w:p>
            <w:pPr>
              <w:spacing w:after="0"/>
            </w:pPr>
            <w:r>
              <w:rPr>
                <w:sz w:val="16"/>
              </w:rPr>
              <w:t>December/January reusability</w:t>
            </w:r>
          </w:p>
        </w:tc>
        <w:tc>
          <w:tcPr>
            <w:tcW w:type="dxa" w:w="2304"/>
            <w:tcMar>
              <w:top w:w="80" w:type="dxa"/>
              <w:start w:w="80" w:type="dxa"/>
              <w:bottom w:w="80" w:type="dxa"/>
              <w:end w:w="80" w:type="dxa"/>
            </w:tcMar>
            <w:vAlign w:val="center"/>
          </w:tcPr>
          <w:p>
            <w:pPr>
              <w:spacing w:after="0"/>
            </w:pPr>
            <w:r>
              <w:rPr>
                <w:sz w:val="16"/>
              </w:rPr>
              <w:t>5/5 PASS</w:t>
            </w:r>
          </w:p>
        </w:tc>
        <w:tc>
          <w:tcPr>
            <w:tcW w:type="dxa" w:w="5400"/>
            <w:tcMar>
              <w:top w:w="80" w:type="dxa"/>
              <w:start w:w="80" w:type="dxa"/>
              <w:bottom w:w="80" w:type="dxa"/>
              <w:end w:w="80" w:type="dxa"/>
            </w:tcMar>
            <w:vAlign w:val="center"/>
          </w:tcPr>
          <w:p>
            <w:pPr>
              <w:spacing w:after="0"/>
            </w:pPr>
            <w:r>
              <w:rPr>
                <w:sz w:val="16"/>
              </w:rPr>
              <w:t>Month/year crossover logic is reusable.</w:t>
            </w:r>
          </w:p>
        </w:tc>
      </w:tr>
      <w:tr>
        <w:tc>
          <w:tcPr>
            <w:tcW w:type="dxa" w:w="2520"/>
            <w:tcMar>
              <w:top w:w="80" w:type="dxa"/>
              <w:start w:w="80" w:type="dxa"/>
              <w:bottom w:w="80" w:type="dxa"/>
              <w:end w:w="80" w:type="dxa"/>
            </w:tcMar>
            <w:vAlign w:val="center"/>
            <w:shd w:fill="F7F9FB"/>
          </w:tcPr>
          <w:p>
            <w:pPr>
              <w:spacing w:after="0"/>
            </w:pPr>
            <w:r>
              <w:rPr>
                <w:sz w:val="16"/>
              </w:rPr>
              <w:t>Stage 3 archive verification</w:t>
            </w:r>
          </w:p>
        </w:tc>
        <w:tc>
          <w:tcPr>
            <w:tcW w:type="dxa" w:w="2304"/>
            <w:tcMar>
              <w:top w:w="80" w:type="dxa"/>
              <w:start w:w="80" w:type="dxa"/>
              <w:bottom w:w="80" w:type="dxa"/>
              <w:end w:w="80" w:type="dxa"/>
            </w:tcMar>
            <w:vAlign w:val="center"/>
            <w:shd w:fill="F7F9FB"/>
          </w:tcPr>
          <w:p>
            <w:pPr>
              <w:spacing w:after="0"/>
            </w:pPr>
            <w:r>
              <w:rPr>
                <w:sz w:val="16"/>
              </w:rPr>
              <w:t>41/41 PASS</w:t>
            </w:r>
          </w:p>
        </w:tc>
        <w:tc>
          <w:tcPr>
            <w:tcW w:type="dxa" w:w="5400"/>
            <w:tcMar>
              <w:top w:w="80" w:type="dxa"/>
              <w:start w:w="80" w:type="dxa"/>
              <w:bottom w:w="80" w:type="dxa"/>
              <w:end w:w="80" w:type="dxa"/>
            </w:tcMar>
            <w:vAlign w:val="center"/>
            <w:shd w:fill="F7F9FB"/>
          </w:tcPr>
          <w:p>
            <w:pPr>
              <w:spacing w:after="0"/>
            </w:pPr>
            <w:r>
              <w:rPr>
                <w:sz w:val="16"/>
              </w:rPr>
              <w:t>Required artefacts remain present after ZIP creation.</w:t>
            </w:r>
          </w:p>
        </w:tc>
      </w:tr>
      <w:tr>
        <w:tc>
          <w:tcPr>
            <w:tcW w:type="dxa" w:w="2520"/>
            <w:tcMar>
              <w:top w:w="80" w:type="dxa"/>
              <w:start w:w="80" w:type="dxa"/>
              <w:bottom w:w="80" w:type="dxa"/>
              <w:end w:w="80" w:type="dxa"/>
            </w:tcMar>
            <w:vAlign w:val="center"/>
          </w:tcPr>
          <w:p>
            <w:pPr>
              <w:spacing w:after="0"/>
            </w:pPr>
            <w:r>
              <w:rPr>
                <w:sz w:val="16"/>
              </w:rPr>
              <w:t>Dependencies</w:t>
            </w:r>
          </w:p>
        </w:tc>
        <w:tc>
          <w:tcPr>
            <w:tcW w:type="dxa" w:w="2304"/>
            <w:tcMar>
              <w:top w:w="80" w:type="dxa"/>
              <w:start w:w="80" w:type="dxa"/>
              <w:bottom w:w="80" w:type="dxa"/>
              <w:end w:w="80" w:type="dxa"/>
            </w:tcMar>
            <w:vAlign w:val="center"/>
          </w:tcPr>
          <w:p>
            <w:pPr>
              <w:spacing w:after="0"/>
            </w:pPr>
            <w:r>
              <w:rPr>
                <w:sz w:val="16"/>
              </w:rPr>
              <w:t>No required package missing</w:t>
            </w:r>
          </w:p>
        </w:tc>
        <w:tc>
          <w:tcPr>
            <w:tcW w:type="dxa" w:w="5400"/>
            <w:tcMar>
              <w:top w:w="80" w:type="dxa"/>
              <w:start w:w="80" w:type="dxa"/>
              <w:bottom w:w="80" w:type="dxa"/>
              <w:end w:w="80" w:type="dxa"/>
            </w:tcMar>
            <w:vAlign w:val="center"/>
          </w:tcPr>
          <w:p>
            <w:pPr>
              <w:spacing w:after="0"/>
            </w:pPr>
            <w:r>
              <w:rPr>
                <w:sz w:val="16"/>
              </w:rPr>
              <w:t>Run records Python and library versions.</w:t>
            </w:r>
          </w:p>
        </w:tc>
      </w:tr>
    </w:tbl>
    <w:p>
      <w:pPr>
        <w:spacing w:after="20"/>
      </w:pPr>
    </w:p>
    <w:tbl>
      <w:tblPr>
        <w:tblW w:type="auto" w:w="0"/>
        <w:jc w:val="center"/>
        <w:tblLayout w:type="autofit"/>
        <w:tblLook w:firstColumn="1" w:firstRow="1" w:lastColumn="0" w:lastRow="0" w:noHBand="0" w:noVBand="1" w:val="04A0"/>
      </w:tblPr>
      <w:tblGrid>
        <w:gridCol w:w="10123"/>
      </w:tblGrid>
      <w:tr>
        <w:tc>
          <w:tcPr>
            <w:tcW w:type="dxa" w:w="10123"/>
            <w:shd w:fill="FDE9E7"/>
            <w:tcMar>
              <w:top w:w="120" w:type="dxa"/>
              <w:start w:w="140" w:type="dxa"/>
              <w:bottom w:w="120" w:type="dxa"/>
              <w:end w:w="140" w:type="dxa"/>
            </w:tcMar>
          </w:tcPr>
          <w:p>
            <w:pPr>
              <w:spacing w:after="0"/>
            </w:pPr>
            <w:r>
              <w:rPr>
                <w:b/>
                <w:color w:val="C0504D"/>
              </w:rPr>
              <w:t xml:space="preserve">Known integrity warning  </w:t>
            </w:r>
            <w:r>
              <w:t>All 10 warnings come from the same interval-label convention issue: NEM demand uses interval-ending labels, while the Stage 2 future frame is labelled 00:00–23:30 as interval starts. Forecast-vs-actual scoring uses exact timestamps, so the reported scores are still matched correctly, but the boundary labels should be corrected before the final operational release.</w:t>
            </w:r>
          </w:p>
        </w:tc>
      </w:tr>
    </w:tbl>
    <w:p>
      <w:pPr>
        <w:spacing w:after="20"/>
      </w:pPr>
    </w:p>
    <w:p>
      <w:pPr>
        <w:pStyle w:val="Heading1"/>
      </w:pPr>
      <w:r>
        <w:t>17. Risks, Limitations and Assessment 1 Commitments</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trPr>
        <w:tc>
          <w:tcPr>
            <w:tcW w:type="dxa" w:w="2232"/>
            <w:shd w:fill="17365D"/>
            <w:tcMar>
              <w:top w:w="80" w:type="dxa"/>
              <w:start w:w="80" w:type="dxa"/>
              <w:bottom w:w="80" w:type="dxa"/>
              <w:end w:w="80" w:type="dxa"/>
            </w:tcMar>
            <w:vAlign w:val="center"/>
          </w:tcPr>
          <w:p>
            <w:r>
              <w:rPr>
                <w:b/>
                <w:color w:val="FFFFFF"/>
                <w:sz w:val="15"/>
              </w:rPr>
              <w:t>Risk / limitation</w:t>
            </w:r>
          </w:p>
        </w:tc>
        <w:tc>
          <w:tcPr>
            <w:tcW w:type="dxa" w:w="1656"/>
            <w:shd w:fill="17365D"/>
            <w:tcMar>
              <w:top w:w="80" w:type="dxa"/>
              <w:start w:w="80" w:type="dxa"/>
              <w:bottom w:w="80" w:type="dxa"/>
              <w:end w:w="80" w:type="dxa"/>
            </w:tcMar>
            <w:vAlign w:val="center"/>
          </w:tcPr>
          <w:p>
            <w:r>
              <w:rPr>
                <w:b/>
                <w:color w:val="FFFFFF"/>
                <w:sz w:val="15"/>
              </w:rPr>
              <w:t>Status after WP3</w:t>
            </w:r>
          </w:p>
        </w:tc>
        <w:tc>
          <w:tcPr>
            <w:tcW w:type="dxa" w:w="3672"/>
            <w:shd w:fill="17365D"/>
            <w:tcMar>
              <w:top w:w="80" w:type="dxa"/>
              <w:start w:w="80" w:type="dxa"/>
              <w:bottom w:w="80" w:type="dxa"/>
              <w:end w:w="80" w:type="dxa"/>
            </w:tcMar>
            <w:vAlign w:val="center"/>
          </w:tcPr>
          <w:p>
            <w:r>
              <w:rPr>
                <w:b/>
                <w:color w:val="FFFFFF"/>
                <w:sz w:val="15"/>
              </w:rPr>
              <w:t>Evidence</w:t>
            </w:r>
          </w:p>
        </w:tc>
        <w:tc>
          <w:tcPr>
            <w:tcW w:type="dxa" w:w="3024"/>
            <w:shd w:fill="17365D"/>
            <w:tcMar>
              <w:top w:w="80" w:type="dxa"/>
              <w:start w:w="80" w:type="dxa"/>
              <w:bottom w:w="80" w:type="dxa"/>
              <w:end w:w="80" w:type="dxa"/>
            </w:tcMar>
            <w:vAlign w:val="center"/>
          </w:tcPr>
          <w:p>
            <w:r>
              <w:rPr>
                <w:b/>
                <w:color w:val="FFFFFF"/>
                <w:sz w:val="15"/>
              </w:rPr>
              <w:t>Next control</w:t>
            </w:r>
          </w:p>
        </w:tc>
      </w:tr>
      <w:tr>
        <w:tc>
          <w:tcPr>
            <w:tcW w:type="dxa" w:w="2232"/>
            <w:tcMar>
              <w:top w:w="80" w:type="dxa"/>
              <w:start w:w="80" w:type="dxa"/>
              <w:bottom w:w="80" w:type="dxa"/>
              <w:end w:w="80" w:type="dxa"/>
            </w:tcMar>
            <w:vAlign w:val="center"/>
          </w:tcPr>
          <w:p>
            <w:pPr>
              <w:spacing w:after="0"/>
            </w:pPr>
            <w:r>
              <w:rPr>
                <w:sz w:val="15"/>
              </w:rPr>
              <w:t>Large multi-region volume</w:t>
            </w:r>
          </w:p>
        </w:tc>
        <w:tc>
          <w:tcPr>
            <w:tcW w:type="dxa" w:w="1656"/>
            <w:tcMar>
              <w:top w:w="80" w:type="dxa"/>
              <w:start w:w="80" w:type="dxa"/>
              <w:bottom w:w="80" w:type="dxa"/>
              <w:end w:w="80" w:type="dxa"/>
            </w:tcMar>
            <w:vAlign w:val="center"/>
          </w:tcPr>
          <w:p>
            <w:pPr>
              <w:spacing w:after="0"/>
            </w:pPr>
            <w:r>
              <w:rPr>
                <w:sz w:val="15"/>
              </w:rPr>
              <w:t>Controlled</w:t>
            </w:r>
          </w:p>
        </w:tc>
        <w:tc>
          <w:tcPr>
            <w:tcW w:type="dxa" w:w="3672"/>
            <w:tcMar>
              <w:top w:w="80" w:type="dxa"/>
              <w:start w:w="80" w:type="dxa"/>
              <w:bottom w:w="80" w:type="dxa"/>
              <w:end w:w="80" w:type="dxa"/>
            </w:tcMar>
            <w:vAlign w:val="center"/>
          </w:tcPr>
          <w:p>
            <w:pPr>
              <w:spacing w:after="0"/>
            </w:pPr>
            <w:r>
              <w:rPr>
                <w:sz w:val="15"/>
              </w:rPr>
              <w:t>Full six-region Stage 3 run completed; all regions MODEL_READY</w:t>
            </w:r>
          </w:p>
        </w:tc>
        <w:tc>
          <w:tcPr>
            <w:tcW w:type="dxa" w:w="3024"/>
            <w:tcMar>
              <w:top w:w="80" w:type="dxa"/>
              <w:start w:w="80" w:type="dxa"/>
              <w:bottom w:w="80" w:type="dxa"/>
              <w:end w:w="80" w:type="dxa"/>
            </w:tcMar>
            <w:vAlign w:val="center"/>
          </w:tcPr>
          <w:p>
            <w:pPr>
              <w:spacing w:after="0"/>
            </w:pPr>
            <w:r>
              <w:rPr>
                <w:sz w:val="15"/>
              </w:rPr>
              <w:t>Keep staged ZIP handoffs and quick-mode testing.</w:t>
            </w:r>
          </w:p>
        </w:tc>
      </w:tr>
      <w:tr>
        <w:tc>
          <w:tcPr>
            <w:tcW w:type="dxa" w:w="2232"/>
            <w:tcMar>
              <w:top w:w="80" w:type="dxa"/>
              <w:start w:w="80" w:type="dxa"/>
              <w:bottom w:w="80" w:type="dxa"/>
              <w:end w:w="80" w:type="dxa"/>
            </w:tcMar>
            <w:vAlign w:val="center"/>
            <w:shd w:fill="F7F9FB"/>
          </w:tcPr>
          <w:p>
            <w:pPr>
              <w:spacing w:after="0"/>
            </w:pPr>
            <w:r>
              <w:rPr>
                <w:sz w:val="15"/>
              </w:rPr>
              <w:t>AEMO corrections missed or mishandled</w:t>
            </w:r>
          </w:p>
        </w:tc>
        <w:tc>
          <w:tcPr>
            <w:tcW w:type="dxa" w:w="1656"/>
            <w:tcMar>
              <w:top w:w="80" w:type="dxa"/>
              <w:start w:w="80" w:type="dxa"/>
              <w:bottom w:w="80" w:type="dxa"/>
              <w:end w:w="80" w:type="dxa"/>
            </w:tcMar>
            <w:vAlign w:val="center"/>
            <w:shd w:fill="F7F9FB"/>
          </w:tcPr>
          <w:p>
            <w:pPr>
              <w:spacing w:after="0"/>
            </w:pPr>
            <w:r>
              <w:rPr>
                <w:sz w:val="15"/>
              </w:rPr>
              <w:t>OPEN / partially addressed</w:t>
            </w:r>
          </w:p>
        </w:tc>
        <w:tc>
          <w:tcPr>
            <w:tcW w:type="dxa" w:w="3672"/>
            <w:tcMar>
              <w:top w:w="80" w:type="dxa"/>
              <w:start w:w="80" w:type="dxa"/>
              <w:bottom w:w="80" w:type="dxa"/>
              <w:end w:w="80" w:type="dxa"/>
            </w:tcMar>
            <w:vAlign w:val="center"/>
            <w:shd w:fill="F7F9FB"/>
          </w:tcPr>
          <w:p>
            <w:pPr>
              <w:spacing w:after="0"/>
            </w:pPr>
            <w:r>
              <w:rPr>
                <w:sz w:val="15"/>
              </w:rPr>
              <w:t>Correction-aware re-scoring is not in the integrated Stage 3 pipeline</w:t>
            </w:r>
          </w:p>
        </w:tc>
        <w:tc>
          <w:tcPr>
            <w:tcW w:type="dxa" w:w="3024"/>
            <w:tcMar>
              <w:top w:w="80" w:type="dxa"/>
              <w:start w:w="80" w:type="dxa"/>
              <w:bottom w:w="80" w:type="dxa"/>
              <w:end w:w="80" w:type="dxa"/>
            </w:tcMar>
            <w:vAlign w:val="center"/>
            <w:shd w:fill="F7F9FB"/>
          </w:tcPr>
          <w:p>
            <w:pPr>
              <w:spacing w:after="0"/>
            </w:pPr>
            <w:r>
              <w:rPr>
                <w:sz w:val="15"/>
              </w:rPr>
              <w:t>Add correction listener after scheduled runner; re-score immutable forecast vintages.</w:t>
            </w:r>
          </w:p>
        </w:tc>
      </w:tr>
      <w:tr>
        <w:tc>
          <w:tcPr>
            <w:tcW w:type="dxa" w:w="2232"/>
            <w:tcMar>
              <w:top w:w="80" w:type="dxa"/>
              <w:start w:w="80" w:type="dxa"/>
              <w:bottom w:w="80" w:type="dxa"/>
              <w:end w:w="80" w:type="dxa"/>
            </w:tcMar>
            <w:vAlign w:val="center"/>
          </w:tcPr>
          <w:p>
            <w:pPr>
              <w:spacing w:after="0"/>
            </w:pPr>
            <w:r>
              <w:rPr>
                <w:sz w:val="15"/>
              </w:rPr>
              <w:t>Per-region accuracy diverges</w:t>
            </w:r>
          </w:p>
        </w:tc>
        <w:tc>
          <w:tcPr>
            <w:tcW w:type="dxa" w:w="1656"/>
            <w:tcMar>
              <w:top w:w="80" w:type="dxa"/>
              <w:start w:w="80" w:type="dxa"/>
              <w:bottom w:w="80" w:type="dxa"/>
              <w:end w:w="80" w:type="dxa"/>
            </w:tcMar>
            <w:vAlign w:val="center"/>
          </w:tcPr>
          <w:p>
            <w:pPr>
              <w:spacing w:after="0"/>
            </w:pPr>
            <w:r>
              <w:rPr>
                <w:sz w:val="15"/>
              </w:rPr>
              <w:t>Controlled but ongoing</w:t>
            </w:r>
          </w:p>
        </w:tc>
        <w:tc>
          <w:tcPr>
            <w:tcW w:type="dxa" w:w="3672"/>
            <w:tcMar>
              <w:top w:w="80" w:type="dxa"/>
              <w:start w:w="80" w:type="dxa"/>
              <w:bottom w:w="80" w:type="dxa"/>
              <w:end w:w="80" w:type="dxa"/>
            </w:tcMar>
            <w:vAlign w:val="center"/>
          </w:tcPr>
          <w:p>
            <w:pPr>
              <w:spacing w:after="0"/>
            </w:pPr>
            <w:r>
              <w:rPr>
                <w:sz w:val="15"/>
              </w:rPr>
              <w:t>MAE/sMAPE differ materially by region; per-region models and reports already used</w:t>
            </w:r>
          </w:p>
        </w:tc>
        <w:tc>
          <w:tcPr>
            <w:tcW w:type="dxa" w:w="3024"/>
            <w:tcMar>
              <w:top w:w="80" w:type="dxa"/>
              <w:start w:w="80" w:type="dxa"/>
              <w:bottom w:w="80" w:type="dxa"/>
              <w:end w:w="80" w:type="dxa"/>
            </w:tcMar>
            <w:vAlign w:val="center"/>
          </w:tcPr>
          <w:p>
            <w:pPr>
              <w:spacing w:after="0"/>
            </w:pPr>
            <w:r>
              <w:rPr>
                <w:sz w:val="15"/>
              </w:rPr>
              <w:t>Tune and monitor by region, not national average only.</w:t>
            </w:r>
          </w:p>
        </w:tc>
      </w:tr>
      <w:tr>
        <w:tc>
          <w:tcPr>
            <w:tcW w:type="dxa" w:w="2232"/>
            <w:tcMar>
              <w:top w:w="80" w:type="dxa"/>
              <w:start w:w="80" w:type="dxa"/>
              <w:bottom w:w="80" w:type="dxa"/>
              <w:end w:w="80" w:type="dxa"/>
            </w:tcMar>
            <w:vAlign w:val="center"/>
            <w:shd w:fill="F7F9FB"/>
          </w:tcPr>
          <w:p>
            <w:pPr>
              <w:spacing w:after="0"/>
            </w:pPr>
            <w:r>
              <w:rPr>
                <w:sz w:val="15"/>
              </w:rPr>
              <w:t>Recursive long-horizon error</w:t>
            </w:r>
          </w:p>
        </w:tc>
        <w:tc>
          <w:tcPr>
            <w:tcW w:type="dxa" w:w="1656"/>
            <w:tcMar>
              <w:top w:w="80" w:type="dxa"/>
              <w:start w:w="80" w:type="dxa"/>
              <w:bottom w:w="80" w:type="dxa"/>
              <w:end w:w="80" w:type="dxa"/>
            </w:tcMar>
            <w:vAlign w:val="center"/>
            <w:shd w:fill="F7F9FB"/>
          </w:tcPr>
          <w:p>
            <w:pPr>
              <w:spacing w:after="0"/>
            </w:pPr>
            <w:r>
              <w:rPr>
                <w:sz w:val="15"/>
              </w:rPr>
              <w:t>OPEN structural risk</w:t>
            </w:r>
          </w:p>
        </w:tc>
        <w:tc>
          <w:tcPr>
            <w:tcW w:type="dxa" w:w="3672"/>
            <w:tcMar>
              <w:top w:w="80" w:type="dxa"/>
              <w:start w:w="80" w:type="dxa"/>
              <w:bottom w:w="80" w:type="dxa"/>
              <w:end w:w="80" w:type="dxa"/>
            </w:tcMar>
            <w:vAlign w:val="center"/>
            <w:shd w:fill="F7F9FB"/>
          </w:tcPr>
          <w:p>
            <w:pPr>
              <w:spacing w:after="0"/>
            </w:pPr>
            <w:r>
              <w:rPr>
                <w:sz w:val="15"/>
              </w:rPr>
              <w:t>sMAPE generally increases by month four; recursive share reaches 100%</w:t>
            </w:r>
          </w:p>
        </w:tc>
        <w:tc>
          <w:tcPr>
            <w:tcW w:type="dxa" w:w="3024"/>
            <w:tcMar>
              <w:top w:w="80" w:type="dxa"/>
              <w:start w:w="80" w:type="dxa"/>
              <w:bottom w:w="80" w:type="dxa"/>
              <w:end w:w="80" w:type="dxa"/>
            </w:tcMar>
            <w:vAlign w:val="center"/>
            <w:shd w:fill="F7F9FB"/>
          </w:tcPr>
          <w:p>
            <w:pPr>
              <w:spacing w:after="0"/>
            </w:pPr>
            <w:r>
              <w:rPr>
                <w:sz w:val="15"/>
              </w:rPr>
              <w:t>Add uncertainty bands; evaluate direct/multi-output alternatives if needed.</w:t>
            </w:r>
          </w:p>
        </w:tc>
      </w:tr>
      <w:tr>
        <w:tc>
          <w:tcPr>
            <w:tcW w:type="dxa" w:w="2232"/>
            <w:tcMar>
              <w:top w:w="80" w:type="dxa"/>
              <w:start w:w="80" w:type="dxa"/>
              <w:bottom w:w="80" w:type="dxa"/>
              <w:end w:w="80" w:type="dxa"/>
            </w:tcMar>
            <w:vAlign w:val="center"/>
          </w:tcPr>
          <w:p>
            <w:pPr>
              <w:spacing w:after="0"/>
            </w:pPr>
            <w:r>
              <w:rPr>
                <w:sz w:val="15"/>
              </w:rPr>
              <w:t>Weather forecast horizon too short</w:t>
            </w:r>
          </w:p>
        </w:tc>
        <w:tc>
          <w:tcPr>
            <w:tcW w:type="dxa" w:w="1656"/>
            <w:tcMar>
              <w:top w:w="80" w:type="dxa"/>
              <w:start w:w="80" w:type="dxa"/>
              <w:bottom w:w="80" w:type="dxa"/>
              <w:end w:w="80" w:type="dxa"/>
            </w:tcMar>
            <w:vAlign w:val="center"/>
          </w:tcPr>
          <w:p>
            <w:pPr>
              <w:spacing w:after="0"/>
            </w:pPr>
            <w:r>
              <w:rPr>
                <w:sz w:val="15"/>
              </w:rPr>
              <w:t>OPEN</w:t>
            </w:r>
          </w:p>
        </w:tc>
        <w:tc>
          <w:tcPr>
            <w:tcW w:type="dxa" w:w="3672"/>
            <w:tcMar>
              <w:top w:w="80" w:type="dxa"/>
              <w:start w:w="80" w:type="dxa"/>
              <w:bottom w:w="80" w:type="dxa"/>
              <w:end w:w="80" w:type="dxa"/>
            </w:tcMar>
            <w:vAlign w:val="center"/>
          </w:tcPr>
          <w:p>
            <w:pPr>
              <w:spacing w:after="0"/>
            </w:pPr>
            <w:r>
              <w:rPr>
                <w:sz w:val="15"/>
              </w:rPr>
              <w:t>7 days genuine weather versus roughly 4-month demand horizon</w:t>
            </w:r>
          </w:p>
        </w:tc>
        <w:tc>
          <w:tcPr>
            <w:tcW w:type="dxa" w:w="3024"/>
            <w:tcMar>
              <w:top w:w="80" w:type="dxa"/>
              <w:start w:w="80" w:type="dxa"/>
              <w:bottom w:w="80" w:type="dxa"/>
              <w:end w:w="80" w:type="dxa"/>
            </w:tcMar>
            <w:vAlign w:val="center"/>
          </w:tcPr>
          <w:p>
            <w:pPr>
              <w:spacing w:after="0"/>
            </w:pPr>
            <w:r>
              <w:rPr>
                <w:sz w:val="15"/>
              </w:rPr>
              <w:t>Archive more weather vintages; consider appropriate longer-range outlook variables.</w:t>
            </w:r>
          </w:p>
        </w:tc>
      </w:tr>
      <w:tr>
        <w:tc>
          <w:tcPr>
            <w:tcW w:type="dxa" w:w="2232"/>
            <w:tcMar>
              <w:top w:w="80" w:type="dxa"/>
              <w:start w:w="80" w:type="dxa"/>
              <w:bottom w:w="80" w:type="dxa"/>
              <w:end w:w="80" w:type="dxa"/>
            </w:tcMar>
            <w:vAlign w:val="center"/>
            <w:shd w:fill="F7F9FB"/>
          </w:tcPr>
          <w:p>
            <w:pPr>
              <w:spacing w:after="0"/>
            </w:pPr>
            <w:r>
              <w:rPr>
                <w:sz w:val="15"/>
              </w:rPr>
              <w:t>Interval-label boundary mismatch</w:t>
            </w:r>
          </w:p>
        </w:tc>
        <w:tc>
          <w:tcPr>
            <w:tcW w:type="dxa" w:w="1656"/>
            <w:tcMar>
              <w:top w:w="80" w:type="dxa"/>
              <w:start w:w="80" w:type="dxa"/>
              <w:bottom w:w="80" w:type="dxa"/>
              <w:end w:w="80" w:type="dxa"/>
            </w:tcMar>
            <w:vAlign w:val="center"/>
            <w:shd w:fill="F7F9FB"/>
          </w:tcPr>
          <w:p>
            <w:pPr>
              <w:spacing w:after="0"/>
            </w:pPr>
            <w:r>
              <w:rPr>
                <w:sz w:val="15"/>
              </w:rPr>
              <w:t>OPEN technical defect</w:t>
            </w:r>
          </w:p>
        </w:tc>
        <w:tc>
          <w:tcPr>
            <w:tcW w:type="dxa" w:w="3672"/>
            <w:tcMar>
              <w:top w:w="80" w:type="dxa"/>
              <w:start w:w="80" w:type="dxa"/>
              <w:bottom w:w="80" w:type="dxa"/>
              <w:end w:w="80" w:type="dxa"/>
            </w:tcMar>
            <w:vAlign w:val="center"/>
            <w:shd w:fill="F7F9FB"/>
          </w:tcPr>
          <w:p>
            <w:pPr>
              <w:spacing w:after="0"/>
            </w:pPr>
            <w:r>
              <w:rPr>
                <w:sz w:val="15"/>
              </w:rPr>
              <w:t>10/120 integrity checks are warnings on NEM labels</w:t>
            </w:r>
          </w:p>
        </w:tc>
        <w:tc>
          <w:tcPr>
            <w:tcW w:type="dxa" w:w="3024"/>
            <w:tcMar>
              <w:top w:w="80" w:type="dxa"/>
              <w:start w:w="80" w:type="dxa"/>
              <w:bottom w:w="80" w:type="dxa"/>
              <w:end w:w="80" w:type="dxa"/>
            </w:tcMar>
            <w:vAlign w:val="center"/>
            <w:shd w:fill="F7F9FB"/>
          </w:tcPr>
          <w:p>
            <w:pPr>
              <w:spacing w:after="0"/>
            </w:pPr>
            <w:r>
              <w:rPr>
                <w:sz w:val="15"/>
              </w:rPr>
              <w:t>Align future-frame labels to market interval convention.</w:t>
            </w:r>
          </w:p>
        </w:tc>
      </w:tr>
      <w:tr>
        <w:tc>
          <w:tcPr>
            <w:tcW w:type="dxa" w:w="2232"/>
            <w:tcMar>
              <w:top w:w="80" w:type="dxa"/>
              <w:start w:w="80" w:type="dxa"/>
              <w:bottom w:w="80" w:type="dxa"/>
              <w:end w:w="80" w:type="dxa"/>
            </w:tcMar>
            <w:vAlign w:val="center"/>
          </w:tcPr>
          <w:p>
            <w:pPr>
              <w:spacing w:after="0"/>
            </w:pPr>
            <w:r>
              <w:rPr>
                <w:sz w:val="15"/>
              </w:rPr>
              <w:t>Model B historical evidence thinner</w:t>
            </w:r>
          </w:p>
        </w:tc>
        <w:tc>
          <w:tcPr>
            <w:tcW w:type="dxa" w:w="1656"/>
            <w:tcMar>
              <w:top w:w="80" w:type="dxa"/>
              <w:start w:w="80" w:type="dxa"/>
              <w:bottom w:w="80" w:type="dxa"/>
              <w:end w:w="80" w:type="dxa"/>
            </w:tcMar>
            <w:vAlign w:val="center"/>
          </w:tcPr>
          <w:p>
            <w:pPr>
              <w:spacing w:after="0"/>
            </w:pPr>
            <w:r>
              <w:rPr>
                <w:sz w:val="15"/>
              </w:rPr>
              <w:t>OPEN</w:t>
            </w:r>
          </w:p>
        </w:tc>
        <w:tc>
          <w:tcPr>
            <w:tcW w:type="dxa" w:w="3672"/>
            <w:tcMar>
              <w:top w:w="80" w:type="dxa"/>
              <w:start w:w="80" w:type="dxa"/>
              <w:bottom w:w="80" w:type="dxa"/>
              <w:end w:w="80" w:type="dxa"/>
            </w:tcMar>
            <w:vAlign w:val="center"/>
          </w:tcPr>
          <w:p>
            <w:pPr>
              <w:spacing w:after="0"/>
            </w:pPr>
            <w:r>
              <w:rPr>
                <w:sz w:val="15"/>
              </w:rPr>
              <w:t>B selections rely on two stable origins in the family summary</w:t>
            </w:r>
          </w:p>
        </w:tc>
        <w:tc>
          <w:tcPr>
            <w:tcW w:type="dxa" w:w="3024"/>
            <w:tcMar>
              <w:top w:w="80" w:type="dxa"/>
              <w:start w:w="80" w:type="dxa"/>
              <w:bottom w:w="80" w:type="dxa"/>
              <w:end w:w="80" w:type="dxa"/>
            </w:tcMar>
            <w:vAlign w:val="center"/>
          </w:tcPr>
          <w:p>
            <w:pPr>
              <w:spacing w:after="0"/>
            </w:pPr>
            <w:r>
              <w:rPr>
                <w:sz w:val="15"/>
              </w:rPr>
              <w:t>Increase archived forecast-weather history and repeat backtests.</w:t>
            </w:r>
          </w:p>
        </w:tc>
      </w:tr>
      <w:tr>
        <w:tc>
          <w:tcPr>
            <w:tcW w:type="dxa" w:w="2232"/>
            <w:tcMar>
              <w:top w:w="80" w:type="dxa"/>
              <w:start w:w="80" w:type="dxa"/>
              <w:bottom w:w="80" w:type="dxa"/>
              <w:end w:w="80" w:type="dxa"/>
            </w:tcMar>
            <w:vAlign w:val="center"/>
            <w:shd w:fill="F7F9FB"/>
          </w:tcPr>
          <w:p>
            <w:pPr>
              <w:spacing w:after="0"/>
            </w:pPr>
            <w:r>
              <w:rPr>
                <w:sz w:val="15"/>
              </w:rPr>
              <w:t>Uncertainty not communicated</w:t>
            </w:r>
          </w:p>
        </w:tc>
        <w:tc>
          <w:tcPr>
            <w:tcW w:type="dxa" w:w="1656"/>
            <w:tcMar>
              <w:top w:w="80" w:type="dxa"/>
              <w:start w:w="80" w:type="dxa"/>
              <w:bottom w:w="80" w:type="dxa"/>
              <w:end w:w="80" w:type="dxa"/>
            </w:tcMar>
            <w:vAlign w:val="center"/>
            <w:shd w:fill="F7F9FB"/>
          </w:tcPr>
          <w:p>
            <w:pPr>
              <w:spacing w:after="0"/>
            </w:pPr>
            <w:r>
              <w:rPr>
                <w:sz w:val="15"/>
              </w:rPr>
              <w:t>OPEN</w:t>
            </w:r>
          </w:p>
        </w:tc>
        <w:tc>
          <w:tcPr>
            <w:tcW w:type="dxa" w:w="3672"/>
            <w:tcMar>
              <w:top w:w="80" w:type="dxa"/>
              <w:start w:w="80" w:type="dxa"/>
              <w:bottom w:w="80" w:type="dxa"/>
              <w:end w:w="80" w:type="dxa"/>
            </w:tcMar>
            <w:vAlign w:val="center"/>
            <w:shd w:fill="F7F9FB"/>
          </w:tcPr>
          <w:p>
            <w:pPr>
              <w:spacing w:after="0"/>
            </w:pPr>
            <w:r>
              <w:rPr>
                <w:sz w:val="15"/>
              </w:rPr>
              <w:t>Current outputs are point forecasts only</w:t>
            </w:r>
          </w:p>
        </w:tc>
        <w:tc>
          <w:tcPr>
            <w:tcW w:type="dxa" w:w="3024"/>
            <w:tcMar>
              <w:top w:w="80" w:type="dxa"/>
              <w:start w:w="80" w:type="dxa"/>
              <w:bottom w:w="80" w:type="dxa"/>
              <w:end w:w="80" w:type="dxa"/>
            </w:tcMar>
            <w:vAlign w:val="center"/>
            <w:shd w:fill="F7F9FB"/>
          </w:tcPr>
          <w:p>
            <w:pPr>
              <w:spacing w:after="0"/>
            </w:pPr>
            <w:r>
              <w:rPr>
                <w:sz w:val="15"/>
              </w:rPr>
              <w:t>Add prediction intervals / quantile forecasts before dashboard release.</w:t>
            </w:r>
          </w:p>
        </w:tc>
      </w:tr>
      <w:tr>
        <w:tc>
          <w:tcPr>
            <w:tcW w:type="dxa" w:w="2232"/>
            <w:tcMar>
              <w:top w:w="80" w:type="dxa"/>
              <w:start w:w="80" w:type="dxa"/>
              <w:bottom w:w="80" w:type="dxa"/>
              <w:end w:w="80" w:type="dxa"/>
            </w:tcMar>
            <w:vAlign w:val="center"/>
          </w:tcPr>
          <w:p>
            <w:pPr>
              <w:spacing w:after="0"/>
            </w:pPr>
            <w:r>
              <w:rPr>
                <w:sz w:val="15"/>
              </w:rPr>
              <w:t>Shared hyperparameters across regions</w:t>
            </w:r>
          </w:p>
        </w:tc>
        <w:tc>
          <w:tcPr>
            <w:tcW w:type="dxa" w:w="1656"/>
            <w:tcMar>
              <w:top w:w="80" w:type="dxa"/>
              <w:start w:w="80" w:type="dxa"/>
              <w:bottom w:w="80" w:type="dxa"/>
              <w:end w:w="80" w:type="dxa"/>
            </w:tcMar>
            <w:vAlign w:val="center"/>
          </w:tcPr>
          <w:p>
            <w:pPr>
              <w:spacing w:after="0"/>
            </w:pPr>
            <w:r>
              <w:rPr>
                <w:sz w:val="15"/>
              </w:rPr>
              <w:t>OPEN enhancement</w:t>
            </w:r>
          </w:p>
        </w:tc>
        <w:tc>
          <w:tcPr>
            <w:tcW w:type="dxa" w:w="3672"/>
            <w:tcMar>
              <w:top w:w="80" w:type="dxa"/>
              <w:start w:w="80" w:type="dxa"/>
              <w:bottom w:w="80" w:type="dxa"/>
              <w:end w:w="80" w:type="dxa"/>
            </w:tcMar>
            <w:vAlign w:val="center"/>
          </w:tcPr>
          <w:p>
            <w:pPr>
              <w:spacing w:after="0"/>
            </w:pPr>
            <w:r>
              <w:rPr>
                <w:sz w:val="15"/>
              </w:rPr>
              <w:t>One RF/XGB configuration is used for all regions</w:t>
            </w:r>
          </w:p>
        </w:tc>
        <w:tc>
          <w:tcPr>
            <w:tcW w:type="dxa" w:w="3024"/>
            <w:tcMar>
              <w:top w:w="80" w:type="dxa"/>
              <w:start w:w="80" w:type="dxa"/>
              <w:bottom w:w="80" w:type="dxa"/>
              <w:end w:w="80" w:type="dxa"/>
            </w:tcMar>
            <w:vAlign w:val="center"/>
          </w:tcPr>
          <w:p>
            <w:pPr>
              <w:spacing w:after="0"/>
            </w:pPr>
            <w:r>
              <w:rPr>
                <w:sz w:val="15"/>
              </w:rPr>
              <w:t>Perform nested, time-budgeted per-region tuning using only pre-origin data.</w:t>
            </w:r>
          </w:p>
        </w:tc>
      </w:tr>
      <w:tr>
        <w:tc>
          <w:tcPr>
            <w:tcW w:type="dxa" w:w="2232"/>
            <w:tcMar>
              <w:top w:w="80" w:type="dxa"/>
              <w:start w:w="80" w:type="dxa"/>
              <w:bottom w:w="80" w:type="dxa"/>
              <w:end w:w="80" w:type="dxa"/>
            </w:tcMar>
            <w:vAlign w:val="center"/>
            <w:shd w:fill="F7F9FB"/>
          </w:tcPr>
          <w:p>
            <w:pPr>
              <w:spacing w:after="0"/>
            </w:pPr>
            <w:r>
              <w:rPr>
                <w:sz w:val="15"/>
              </w:rPr>
              <w:t>Rooftop solar / spatial weather not directly observed</w:t>
            </w:r>
          </w:p>
        </w:tc>
        <w:tc>
          <w:tcPr>
            <w:tcW w:type="dxa" w:w="1656"/>
            <w:tcMar>
              <w:top w:w="80" w:type="dxa"/>
              <w:start w:w="80" w:type="dxa"/>
              <w:bottom w:w="80" w:type="dxa"/>
              <w:end w:w="80" w:type="dxa"/>
            </w:tcMar>
            <w:vAlign w:val="center"/>
            <w:shd w:fill="F7F9FB"/>
          </w:tcPr>
          <w:p>
            <w:pPr>
              <w:spacing w:after="0"/>
            </w:pPr>
            <w:r>
              <w:rPr>
                <w:sz w:val="15"/>
              </w:rPr>
              <w:t>Data limitation</w:t>
            </w:r>
          </w:p>
        </w:tc>
        <w:tc>
          <w:tcPr>
            <w:tcW w:type="dxa" w:w="3672"/>
            <w:tcMar>
              <w:top w:w="80" w:type="dxa"/>
              <w:start w:w="80" w:type="dxa"/>
              <w:bottom w:w="80" w:type="dxa"/>
              <w:end w:w="80" w:type="dxa"/>
            </w:tcMar>
            <w:vAlign w:val="center"/>
            <w:shd w:fill="F7F9FB"/>
          </w:tcPr>
          <w:p>
            <w:pPr>
              <w:spacing w:after="0"/>
            </w:pPr>
            <w:r>
              <w:rPr>
                <w:sz w:val="15"/>
              </w:rPr>
              <w:t>Not present in current source/feature contracts</w:t>
            </w:r>
          </w:p>
        </w:tc>
        <w:tc>
          <w:tcPr>
            <w:tcW w:type="dxa" w:w="3024"/>
            <w:tcMar>
              <w:top w:w="80" w:type="dxa"/>
              <w:start w:w="80" w:type="dxa"/>
              <w:bottom w:w="80" w:type="dxa"/>
              <w:end w:w="80" w:type="dxa"/>
            </w:tcMar>
            <w:vAlign w:val="center"/>
            <w:shd w:fill="F7F9FB"/>
          </w:tcPr>
          <w:p>
            <w:pPr>
              <w:spacing w:after="0"/>
            </w:pPr>
            <w:r>
              <w:rPr>
                <w:sz w:val="15"/>
              </w:rPr>
              <w:t>Document limitation; evaluate additional authoritative covariates only if reproducible.</w:t>
            </w:r>
          </w:p>
        </w:tc>
      </w:tr>
      <w:tr>
        <w:tc>
          <w:tcPr>
            <w:tcW w:type="dxa" w:w="2232"/>
            <w:tcMar>
              <w:top w:w="80" w:type="dxa"/>
              <w:start w:w="80" w:type="dxa"/>
              <w:bottom w:w="80" w:type="dxa"/>
              <w:end w:w="80" w:type="dxa"/>
            </w:tcMar>
            <w:vAlign w:val="center"/>
          </w:tcPr>
          <w:p>
            <w:pPr>
              <w:spacing w:after="0"/>
            </w:pPr>
            <w:r>
              <w:rPr>
                <w:sz w:val="15"/>
              </w:rPr>
              <w:t>Short live verification window</w:t>
            </w:r>
          </w:p>
        </w:tc>
        <w:tc>
          <w:tcPr>
            <w:tcW w:type="dxa" w:w="1656"/>
            <w:tcMar>
              <w:top w:w="80" w:type="dxa"/>
              <w:start w:w="80" w:type="dxa"/>
              <w:bottom w:w="80" w:type="dxa"/>
              <w:end w:w="80" w:type="dxa"/>
            </w:tcMar>
            <w:vAlign w:val="center"/>
          </w:tcPr>
          <w:p>
            <w:pPr>
              <w:spacing w:after="0"/>
            </w:pPr>
            <w:r>
              <w:rPr>
                <w:sz w:val="15"/>
              </w:rPr>
              <w:t>OPEN by time</w:t>
            </w:r>
          </w:p>
        </w:tc>
        <w:tc>
          <w:tcPr>
            <w:tcW w:type="dxa" w:w="3672"/>
            <w:tcMar>
              <w:top w:w="80" w:type="dxa"/>
              <w:start w:w="80" w:type="dxa"/>
              <w:bottom w:w="80" w:type="dxa"/>
              <w:end w:w="80" w:type="dxa"/>
            </w:tcMar>
            <w:vAlign w:val="center"/>
          </w:tcPr>
          <w:p>
            <w:pPr>
              <w:spacing w:after="0"/>
            </w:pPr>
            <w:r>
              <w:rPr>
                <w:sz w:val="15"/>
              </w:rPr>
              <w:t>Only September 1–14 is currently verifiable</w:t>
            </w:r>
          </w:p>
        </w:tc>
        <w:tc>
          <w:tcPr>
            <w:tcW w:type="dxa" w:w="3024"/>
            <w:tcMar>
              <w:top w:w="80" w:type="dxa"/>
              <w:start w:w="80" w:type="dxa"/>
              <w:bottom w:w="80" w:type="dxa"/>
              <w:end w:w="80" w:type="dxa"/>
            </w:tcMar>
            <w:vAlign w:val="center"/>
          </w:tcPr>
          <w:p>
            <w:pPr>
              <w:spacing w:after="0"/>
            </w:pPr>
            <w:r>
              <w:rPr>
                <w:sz w:val="15"/>
              </w:rPr>
              <w:t>Re-run verification as Oct–Dec actuals arrive.</w:t>
            </w:r>
          </w:p>
        </w:tc>
      </w:tr>
    </w:tbl>
    <w:p>
      <w:pPr>
        <w:spacing w:after="20"/>
      </w:pPr>
    </w:p>
    <w:p>
      <w:pPr>
        <w:spacing w:after="100"/>
      </w:pPr>
      <w:r>
        <w:t>The Assessment 1 risk register specifically identified scale, correction handling and regional accuracy divergence. WP3 materially reduces the scale risk and implements per-region accuracy reporting, but correction-aware re-scoring remains the clearest inherited gap. The new risks above are not scope creep; they are risks discovered only after the real recursive system existed and could be tested.</w:t>
      </w:r>
    </w:p>
    <w:p>
      <w:pPr>
        <w:pStyle w:val="Heading1"/>
      </w:pPr>
      <w:r>
        <w:t>18. Next Direction of the Project</w:t>
      </w:r>
    </w:p>
    <w:p>
      <w:pPr>
        <w:jc w:val="center"/>
      </w:pPr>
      <w:r>
        <w:drawing>
          <wp:inline xmlns:a="http://schemas.openxmlformats.org/drawingml/2006/main" xmlns:pic="http://schemas.openxmlformats.org/drawingml/2006/picture">
            <wp:extent cx="6217920" cy="2925888"/>
            <wp:docPr id="14" name="Picture 14"/>
            <wp:cNvGraphicFramePr>
              <a:graphicFrameLocks noChangeAspect="1"/>
            </wp:cNvGraphicFramePr>
            <a:graphic>
              <a:graphicData uri="http://schemas.openxmlformats.org/drawingml/2006/picture">
                <pic:pic>
                  <pic:nvPicPr>
                    <pic:cNvPr id="0" name="10_next_direction_architecture.png"/>
                    <pic:cNvPicPr/>
                  </pic:nvPicPr>
                  <pic:blipFill>
                    <a:blip r:embed="rId24"/>
                    <a:stretch>
                      <a:fillRect/>
                    </a:stretch>
                  </pic:blipFill>
                  <pic:spPr>
                    <a:xfrm>
                      <a:off x="0" y="0"/>
                      <a:ext cx="6217920" cy="2925888"/>
                    </a:xfrm>
                    <a:prstGeom prst="rect"/>
                  </pic:spPr>
                </pic:pic>
              </a:graphicData>
            </a:graphic>
          </wp:inline>
        </w:drawing>
      </w:r>
    </w:p>
    <w:p>
      <w:pPr>
        <w:pStyle w:val="Caption"/>
        <w:jc w:val="center"/>
      </w:pPr>
      <w:r>
        <w:t>Figure 14. Proposed next architecture. Dashed components are the priority additions after Stage 3; the implemented Stage 1–3 core remains unchanged and auditable.</w:t>
      </w:r>
    </w:p>
    <w:p>
      <w:pPr>
        <w:pStyle w:val="ListNumber"/>
        <w:spacing w:after="40"/>
      </w:pPr>
      <w:r>
        <w:t>Correct the NEM interval-label convention in the Stage 2 future frame, then rerun the integrity suite.</w:t>
      </w:r>
    </w:p>
    <w:p>
      <w:pPr>
        <w:pStyle w:val="ListNumber"/>
        <w:spacing w:after="40"/>
      </w:pPr>
      <w:r>
        <w:t>Introduce a scheduled pipeline runner that archives every acquisition, weather forecast and demand forecast vintage.</w:t>
      </w:r>
    </w:p>
    <w:p>
      <w:pPr>
        <w:pStyle w:val="ListNumber"/>
        <w:spacing w:after="40"/>
      </w:pPr>
      <w:r>
        <w:t>Restore correction-aware verification so revised AEMO actuals trigger re-scoring of the original immutable forecast rather than a rewritten forecast.</w:t>
      </w:r>
    </w:p>
    <w:p>
      <w:pPr>
        <w:pStyle w:val="ListNumber"/>
        <w:spacing w:after="40"/>
      </w:pPr>
      <w:r>
        <w:t>Add uncertainty intervals or quantile forecasts; the current long-horizon point forecast should not be shown in a dashboard without uncertainty.</w:t>
      </w:r>
    </w:p>
    <w:p>
      <w:pPr>
        <w:pStyle w:val="ListNumber"/>
        <w:spacing w:after="40"/>
      </w:pPr>
      <w:r>
        <w:t>Run per-region hyperparameter tuning inside chronological folds only, preserving the previous-month cutoff and never tuning on current verification actuals.</w:t>
      </w:r>
    </w:p>
    <w:p>
      <w:pPr>
        <w:pStyle w:val="ListNumber"/>
        <w:spacing w:after="40"/>
      </w:pPr>
      <w:r>
        <w:t>Accumulate genuine forecast-weather vintages so Model B can be evaluated on what weather was actually known at historical origins rather than climatology alone.</w:t>
      </w:r>
    </w:p>
    <w:p>
      <w:pPr>
        <w:pStyle w:val="ListNumber"/>
        <w:spacing w:after="40"/>
      </w:pPr>
      <w:r>
        <w:t>Build Dashboard A (forecast intelligence) and Dashboard B (verification/performance) from the existing Stage 3 outputs, with model/vintage identifiers visible to users.</w:t>
      </w:r>
    </w:p>
    <w:p>
      <w:pPr>
        <w:pStyle w:val="ListNumber"/>
        <w:spacing w:after="40"/>
      </w:pPr>
      <w:r>
        <w:t>Continue monthly verification through October–December 2026 and establish drift/bias monitoring, especially at high-demand intervals.</w:t>
      </w:r>
    </w:p>
    <w:p>
      <w:pPr>
        <w:pStyle w:val="Heading1"/>
      </w:pPr>
      <w:r>
        <w:t>19. WP3 Contribution and Integration Summary</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1800"/>
            <w:shd w:fill="17365D"/>
            <w:tcMar>
              <w:top w:w="80" w:type="dxa"/>
              <w:start w:w="80" w:type="dxa"/>
              <w:bottom w:w="80" w:type="dxa"/>
              <w:end w:w="80" w:type="dxa"/>
            </w:tcMar>
            <w:vAlign w:val="center"/>
          </w:tcPr>
          <w:p>
            <w:r>
              <w:rPr>
                <w:b/>
                <w:color w:val="FFFFFF"/>
                <w:sz w:val="16"/>
              </w:rPr>
              <w:t>Member</w:t>
            </w:r>
          </w:p>
        </w:tc>
        <w:tc>
          <w:tcPr>
            <w:tcW w:type="dxa" w:w="4392"/>
            <w:shd w:fill="17365D"/>
            <w:tcMar>
              <w:top w:w="80" w:type="dxa"/>
              <w:start w:w="80" w:type="dxa"/>
              <w:bottom w:w="80" w:type="dxa"/>
              <w:end w:w="80" w:type="dxa"/>
            </w:tcMar>
            <w:vAlign w:val="center"/>
          </w:tcPr>
          <w:p>
            <w:r>
              <w:rPr>
                <w:b/>
                <w:color w:val="FFFFFF"/>
                <w:sz w:val="16"/>
              </w:rPr>
              <w:t>Primary contribution in Stage 3</w:t>
            </w:r>
          </w:p>
        </w:tc>
        <w:tc>
          <w:tcPr>
            <w:tcW w:type="dxa" w:w="4320"/>
            <w:shd w:fill="17365D"/>
            <w:tcMar>
              <w:top w:w="80" w:type="dxa"/>
              <w:start w:w="80" w:type="dxa"/>
              <w:bottom w:w="80" w:type="dxa"/>
              <w:end w:w="80" w:type="dxa"/>
            </w:tcMar>
            <w:vAlign w:val="center"/>
          </w:tcPr>
          <w:p>
            <w:r>
              <w:rPr>
                <w:b/>
                <w:color w:val="FFFFFF"/>
                <w:sz w:val="16"/>
              </w:rPr>
              <w:t>Evidence of integration</w:t>
            </w:r>
          </w:p>
        </w:tc>
      </w:tr>
      <w:tr>
        <w:tc>
          <w:tcPr>
            <w:tcW w:type="dxa" w:w="1800"/>
            <w:tcMar>
              <w:top w:w="80" w:type="dxa"/>
              <w:start w:w="80" w:type="dxa"/>
              <w:bottom w:w="80" w:type="dxa"/>
              <w:end w:w="80" w:type="dxa"/>
            </w:tcMar>
            <w:vAlign w:val="center"/>
          </w:tcPr>
          <w:p>
            <w:pPr>
              <w:spacing w:after="0"/>
            </w:pPr>
            <w:r>
              <w:rPr>
                <w:sz w:val="16"/>
              </w:rPr>
              <w:t>Ashish Shrestha</w:t>
            </w:r>
          </w:p>
        </w:tc>
        <w:tc>
          <w:tcPr>
            <w:tcW w:type="dxa" w:w="4392"/>
            <w:tcMar>
              <w:top w:w="80" w:type="dxa"/>
              <w:start w:w="80" w:type="dxa"/>
              <w:bottom w:w="80" w:type="dxa"/>
              <w:end w:w="80" w:type="dxa"/>
            </w:tcMar>
            <w:vAlign w:val="center"/>
          </w:tcPr>
          <w:p>
            <w:pPr>
              <w:spacing w:after="0"/>
            </w:pPr>
            <w:r>
              <w:rPr>
                <w:sz w:val="16"/>
              </w:rPr>
              <w:t>Random Forest A/B; short chronological screening; historical four-month backtesting; regional model selection.</w:t>
            </w:r>
          </w:p>
        </w:tc>
        <w:tc>
          <w:tcPr>
            <w:tcW w:type="dxa" w:w="4320"/>
            <w:tcMar>
              <w:top w:w="80" w:type="dxa"/>
              <w:start w:w="80" w:type="dxa"/>
              <w:bottom w:w="80" w:type="dxa"/>
              <w:end w:w="80" w:type="dxa"/>
            </w:tcMar>
            <w:vAlign w:val="center"/>
          </w:tcPr>
          <w:p>
            <w:pPr>
              <w:spacing w:after="0"/>
            </w:pPr>
            <w:r>
              <w:rPr>
                <w:sz w:val="16"/>
              </w:rPr>
              <w:t>The integrated run contains 108 screening runs, 144 four-month backtests and one auditable selection reason per region.</w:t>
            </w:r>
          </w:p>
        </w:tc>
      </w:tr>
      <w:tr>
        <w:tc>
          <w:tcPr>
            <w:tcW w:type="dxa" w:w="1800"/>
            <w:tcMar>
              <w:top w:w="80" w:type="dxa"/>
              <w:start w:w="80" w:type="dxa"/>
              <w:bottom w:w="80" w:type="dxa"/>
              <w:end w:w="80" w:type="dxa"/>
            </w:tcMar>
            <w:vAlign w:val="center"/>
            <w:shd w:fill="F7F9FB"/>
          </w:tcPr>
          <w:p>
            <w:pPr>
              <w:spacing w:after="0"/>
            </w:pPr>
            <w:r>
              <w:rPr>
                <w:sz w:val="16"/>
              </w:rPr>
              <w:t>Bishal Dahal</w:t>
            </w:r>
          </w:p>
        </w:tc>
        <w:tc>
          <w:tcPr>
            <w:tcW w:type="dxa" w:w="4392"/>
            <w:tcMar>
              <w:top w:w="80" w:type="dxa"/>
              <w:start w:w="80" w:type="dxa"/>
              <w:bottom w:w="80" w:type="dxa"/>
              <w:end w:w="80" w:type="dxa"/>
            </w:tcMar>
            <w:vAlign w:val="center"/>
            <w:shd w:fill="F7F9FB"/>
          </w:tcPr>
          <w:p>
            <w:pPr>
              <w:spacing w:after="0"/>
            </w:pPr>
            <w:r>
              <w:rPr>
                <w:sz w:val="16"/>
              </w:rPr>
              <w:t>Feature-safety gate; Naive48/Naive336 baselines; MAE/RMSE/sMAPE/Bias; skill-vs-naive analysis; current actual verification.</w:t>
            </w:r>
          </w:p>
        </w:tc>
        <w:tc>
          <w:tcPr>
            <w:tcW w:type="dxa" w:w="4320"/>
            <w:tcMar>
              <w:top w:w="80" w:type="dxa"/>
              <w:start w:w="80" w:type="dxa"/>
              <w:bottom w:w="80" w:type="dxa"/>
              <w:end w:w="80" w:type="dxa"/>
            </w:tcMar>
            <w:vAlign w:val="center"/>
            <w:shd w:fill="F7F9FB"/>
          </w:tcPr>
          <w:p>
            <w:pPr>
              <w:spacing w:after="0"/>
            </w:pPr>
            <w:r>
              <w:rPr>
                <w:sz w:val="16"/>
              </w:rPr>
              <w:t>8/8 feature-safety checks PASS, seasonal baselines are present in every comparison, and 3,765 unseen intervals are scored independently.</w:t>
            </w:r>
          </w:p>
        </w:tc>
      </w:tr>
      <w:tr>
        <w:tc>
          <w:tcPr>
            <w:tcW w:type="dxa" w:w="1800"/>
            <w:tcMar>
              <w:top w:w="80" w:type="dxa"/>
              <w:start w:w="80" w:type="dxa"/>
              <w:bottom w:w="80" w:type="dxa"/>
              <w:end w:w="80" w:type="dxa"/>
            </w:tcMar>
            <w:vAlign w:val="center"/>
          </w:tcPr>
          <w:p>
            <w:pPr>
              <w:spacing w:after="0"/>
            </w:pPr>
            <w:r>
              <w:rPr>
                <w:sz w:val="16"/>
              </w:rPr>
              <w:t>Sudip Lamichhane</w:t>
            </w:r>
          </w:p>
        </w:tc>
        <w:tc>
          <w:tcPr>
            <w:tcW w:type="dxa" w:w="4392"/>
            <w:tcMar>
              <w:top w:w="80" w:type="dxa"/>
              <w:start w:w="80" w:type="dxa"/>
              <w:bottom w:w="80" w:type="dxa"/>
              <w:end w:w="80" w:type="dxa"/>
            </w:tcMar>
            <w:vAlign w:val="center"/>
          </w:tcPr>
          <w:p>
            <w:pPr>
              <w:spacing w:after="0"/>
            </w:pPr>
            <w:r>
              <w:rPr>
                <w:sz w:val="16"/>
              </w:rPr>
              <w:t>SARIMA/SARIMAX statistical family; live 7-day weather-vintage update; AEMO secondary benchmark/source semantics.</w:t>
            </w:r>
          </w:p>
        </w:tc>
        <w:tc>
          <w:tcPr>
            <w:tcW w:type="dxa" w:w="4320"/>
            <w:tcMar>
              <w:top w:w="80" w:type="dxa"/>
              <w:start w:w="80" w:type="dxa"/>
              <w:bottom w:w="80" w:type="dxa"/>
              <w:end w:w="80" w:type="dxa"/>
            </w:tcMar>
            <w:vAlign w:val="center"/>
          </w:tcPr>
          <w:p>
            <w:pPr>
              <w:spacing w:after="0"/>
            </w:pPr>
            <w:r>
              <w:rPr>
                <w:sz w:val="16"/>
              </w:rPr>
              <w:t>Statistical candidates remain in the full comparison, weather vintages are separated from climatology fallback, and AEMO is labelled as a target-mismatched secondary benchmark.</w:t>
            </w:r>
          </w:p>
        </w:tc>
      </w:tr>
      <w:tr>
        <w:tc>
          <w:tcPr>
            <w:tcW w:type="dxa" w:w="1800"/>
            <w:tcMar>
              <w:top w:w="80" w:type="dxa"/>
              <w:start w:w="80" w:type="dxa"/>
              <w:bottom w:w="80" w:type="dxa"/>
              <w:end w:w="80" w:type="dxa"/>
            </w:tcMar>
            <w:vAlign w:val="center"/>
            <w:shd w:fill="F7F9FB"/>
          </w:tcPr>
          <w:p>
            <w:pPr>
              <w:spacing w:after="0"/>
            </w:pPr>
            <w:r>
              <w:rPr>
                <w:sz w:val="16"/>
              </w:rPr>
              <w:t>Suraj Raut</w:t>
            </w:r>
          </w:p>
        </w:tc>
        <w:tc>
          <w:tcPr>
            <w:tcW w:type="dxa" w:w="4392"/>
            <w:tcMar>
              <w:top w:w="80" w:type="dxa"/>
              <w:start w:w="80" w:type="dxa"/>
              <w:bottom w:w="80" w:type="dxa"/>
              <w:end w:w="80" w:type="dxa"/>
            </w:tcMar>
            <w:vAlign w:val="center"/>
            <w:shd w:fill="F7F9FB"/>
          </w:tcPr>
          <w:p>
            <w:pPr>
              <w:spacing w:after="0"/>
            </w:pPr>
            <w:r>
              <w:rPr>
                <w:sz w:val="16"/>
              </w:rPr>
              <w:t>XGBoost A/B; recursive time-series engine; lag provenance; frozen month-start four-month 2026 forecast.</w:t>
            </w:r>
          </w:p>
        </w:tc>
        <w:tc>
          <w:tcPr>
            <w:tcW w:type="dxa" w:w="4320"/>
            <w:tcMar>
              <w:top w:w="80" w:type="dxa"/>
              <w:start w:w="80" w:type="dxa"/>
              <w:bottom w:w="80" w:type="dxa"/>
              <w:end w:w="80" w:type="dxa"/>
            </w:tcMar>
            <w:vAlign w:val="center"/>
            <w:shd w:fill="F7F9FB"/>
          </w:tcPr>
          <w:p>
            <w:pPr>
              <w:spacing w:after="0"/>
            </w:pPr>
            <w:r>
              <w:rPr>
                <w:sz w:val="16"/>
              </w:rPr>
              <w:t>The same recursive engine produces 5,856 half-hour intervals per region and records when lag inputs switch from actual history to recursive forecasts.</w:t>
            </w:r>
          </w:p>
        </w:tc>
      </w:tr>
      <w:tr>
        <w:tc>
          <w:tcPr>
            <w:tcW w:type="dxa" w:w="1800"/>
            <w:tcMar>
              <w:top w:w="80" w:type="dxa"/>
              <w:start w:w="80" w:type="dxa"/>
              <w:bottom w:w="80" w:type="dxa"/>
              <w:end w:w="80" w:type="dxa"/>
            </w:tcMar>
            <w:vAlign w:val="center"/>
          </w:tcPr>
          <w:p>
            <w:pPr>
              <w:spacing w:after="0"/>
            </w:pPr>
            <w:r>
              <w:rPr>
                <w:sz w:val="16"/>
              </w:rPr>
              <w:t>All four</w:t>
            </w:r>
          </w:p>
        </w:tc>
        <w:tc>
          <w:tcPr>
            <w:tcW w:type="dxa" w:w="4392"/>
            <w:tcMar>
              <w:top w:w="80" w:type="dxa"/>
              <w:start w:w="80" w:type="dxa"/>
              <w:bottom w:w="80" w:type="dxa"/>
              <w:end w:w="80" w:type="dxa"/>
            </w:tcMar>
            <w:vAlign w:val="center"/>
          </w:tcPr>
          <w:p>
            <w:pPr>
              <w:spacing w:after="0"/>
            </w:pPr>
            <w:r>
              <w:rPr>
                <w:sz w:val="16"/>
              </w:rPr>
              <w:t>Stage 2 contract, previous-month cutoff, four-month horizon, A/B interpretation, final merge and review.</w:t>
            </w:r>
          </w:p>
        </w:tc>
        <w:tc>
          <w:tcPr>
            <w:tcW w:type="dxa" w:w="4320"/>
            <w:tcMar>
              <w:top w:w="80" w:type="dxa"/>
              <w:start w:w="80" w:type="dxa"/>
              <w:bottom w:w="80" w:type="dxa"/>
              <w:end w:w="80" w:type="dxa"/>
            </w:tcMar>
            <w:vAlign w:val="center"/>
          </w:tcPr>
          <w:p>
            <w:pPr>
              <w:spacing w:after="0"/>
            </w:pPr>
            <w:r>
              <w:rPr>
                <w:sz w:val="16"/>
              </w:rPr>
              <w:t>Shared rules are recorded in run_config, model/forecast manifests, validation summaries and the final integrated script.</w:t>
            </w:r>
          </w:p>
        </w:tc>
      </w:tr>
    </w:tbl>
    <w:p>
      <w:pPr>
        <w:spacing w:after="20"/>
      </w:pPr>
    </w:p>
    <w:p>
      <w:pPr>
        <w:spacing w:after="100"/>
      </w:pPr>
      <w:r>
        <w:t>The strongest evidence of collaboration is not that each person touched every line. It is that the final system contains independent checks between workstreams: input rules constrain the models, chronological logic constrains what features can know, verification scores outputs it did not generate, and source classification constrains how external comparisons are described.</w:t>
      </w:r>
    </w:p>
    <w:p>
      <w:pPr>
        <w:pStyle w:val="Heading1"/>
      </w:pPr>
      <w:r>
        <w:t>20. Conclusion</w:t>
      </w:r>
    </w:p>
    <w:p>
      <w:pPr>
        <w:spacing w:after="100"/>
      </w:pPr>
      <w:r>
        <w:t>WP3 completes the first full forecasting-and-verification loop of the project. The system can now move from source data to harmonised features, evaluate eight model candidates on historical deployment-like horizons, select one model per region, issue a September–December 2026 half-hourly forecast, and score that forecast against actual demand that the models never saw during training. This is a substantial progression from Assessment 1’s design proposal.</w:t>
      </w:r>
    </w:p>
    <w:p>
      <w:pPr>
        <w:spacing w:after="100"/>
      </w:pPr>
      <w:r>
        <w:t>The most important outcome is not that Random Forest “won”. It is that the project now has a defensible method for deciding what wins, for explaining when the evidence is weak, and for preserving forecast vintages so future actuals can verify the claim. The next project phase should therefore focus on operational maturity—correction handling, uncertainty, tuning, forecast-vintage accumulation, dashboards and ongoing verification—rather than redesigning the core pipeline again.</w:t>
      </w:r>
    </w:p>
    <w:p>
      <w:pPr>
        <w:spacing w:after="100"/>
      </w:pPr>
      <w:r>
        <w:rPr>
          <w:i/>
        </w:rPr>
        <w:t>Evidence basis: all quantitative results in this document were calculated from the supplied Stage 3 validation, forecast, benchmark, explainability and metadata outputs. Assessment 1 comparisons are drawn from the original proposal/design plan; unsupported commit IDs or project-management artefacts are not invented.</w:t>
      </w:r>
    </w:p>
    <w:sectPr w:rsidR="00FC693F" w:rsidRPr="0006063C" w:rsidSect="00034616">
      <w:headerReference w:type="default" r:id="rId9"/>
      <w:footerReference w:type="default" r:id="rId10"/>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fldSimple w:instr="PAGE"/>
    <w:r>
      <w:rPr>
        <w:color w:val="646464"/>
        <w:sz w:val="16"/>
      </w:rPr>
      <w:t xml:space="preserve">  |  PRT661 Dan6 — WP3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PRT661 – Data Science Practice  |  Australian Electricity Demand Forecasting  |  WP3 Modelling Progress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ptos" w:hAnsi="Aptos"/>
      <w:b/>
      <w:bCs/>
      <w:i/>
      <w:color w:val="50505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