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20A1" w14:textId="77777777" w:rsidR="00A87987" w:rsidRPr="00FF64CF" w:rsidRDefault="00000000">
      <w:pPr>
        <w:spacing w:after="60"/>
        <w:jc w:val="center"/>
        <w:rPr>
          <w:rFonts w:ascii="Times New Roman" w:hAnsi="Times New Roman" w:cs="Times New Roman"/>
          <w:sz w:val="22"/>
          <w:szCs w:val="22"/>
        </w:rPr>
      </w:pPr>
      <w:r w:rsidRPr="00FF64CF">
        <w:rPr>
          <w:rFonts w:ascii="Times New Roman" w:hAnsi="Times New Roman" w:cs="Times New Roman"/>
          <w:b/>
          <w:bCs/>
          <w:color w:val="1F3864"/>
          <w:sz w:val="22"/>
          <w:szCs w:val="22"/>
        </w:rPr>
        <w:t>PRT661 – Data Science Practice</w:t>
      </w:r>
    </w:p>
    <w:p w14:paraId="267790BD" w14:textId="77777777" w:rsidR="00A87987" w:rsidRPr="00FF64CF" w:rsidRDefault="00000000">
      <w:pPr>
        <w:pBdr>
          <w:bottom w:val="single" w:sz="6" w:space="8" w:color="1F3864"/>
        </w:pBdr>
        <w:spacing w:after="260"/>
        <w:jc w:val="center"/>
        <w:rPr>
          <w:rFonts w:ascii="Times New Roman" w:hAnsi="Times New Roman" w:cs="Times New Roman"/>
          <w:sz w:val="22"/>
          <w:szCs w:val="22"/>
        </w:rPr>
      </w:pPr>
      <w:r w:rsidRPr="00FF64CF">
        <w:rPr>
          <w:rFonts w:ascii="Times New Roman" w:hAnsi="Times New Roman" w:cs="Times New Roman"/>
          <w:color w:val="444444"/>
          <w:sz w:val="22"/>
          <w:szCs w:val="22"/>
        </w:rPr>
        <w:t>Group 2 · Dan6: Theme 2 · Individual Work and Contribution Summary · WP3 Modelling · 3–13 September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7987" w:rsidRPr="00FF64CF" w14:paraId="0428C54A"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53F86ABE"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b/>
                <w:bCs/>
                <w:color w:val="FFFFFF"/>
                <w:sz w:val="22"/>
                <w:szCs w:val="22"/>
              </w:rPr>
              <w:t>Field</w:t>
            </w:r>
          </w:p>
        </w:tc>
        <w:tc>
          <w:tcPr>
            <w:tcW w:w="6760" w:type="dxa"/>
            <w:shd w:val="clear" w:color="auto" w:fill="1F3864"/>
            <w:tcMar>
              <w:top w:w="70" w:type="dxa"/>
              <w:left w:w="100" w:type="dxa"/>
              <w:bottom w:w="70" w:type="dxa"/>
              <w:right w:w="100" w:type="dxa"/>
            </w:tcMar>
          </w:tcPr>
          <w:p w14:paraId="7C23CAD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b/>
                <w:bCs/>
                <w:color w:val="FFFFFF"/>
                <w:sz w:val="22"/>
                <w:szCs w:val="22"/>
              </w:rPr>
              <w:t>Detail</w:t>
            </w:r>
          </w:p>
        </w:tc>
      </w:tr>
      <w:tr w:rsidR="00A87987" w:rsidRPr="00FF64CF" w14:paraId="2E2946AE" w14:textId="77777777">
        <w:tblPrEx>
          <w:tblCellMar>
            <w:top w:w="0" w:type="dxa"/>
            <w:bottom w:w="0" w:type="dxa"/>
          </w:tblCellMar>
        </w:tblPrEx>
        <w:tc>
          <w:tcPr>
            <w:tcW w:w="2600" w:type="dxa"/>
            <w:tcMar>
              <w:top w:w="70" w:type="dxa"/>
              <w:left w:w="100" w:type="dxa"/>
              <w:bottom w:w="70" w:type="dxa"/>
              <w:right w:w="100" w:type="dxa"/>
            </w:tcMar>
          </w:tcPr>
          <w:p w14:paraId="2B256A0C"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Name</w:t>
            </w:r>
          </w:p>
        </w:tc>
        <w:tc>
          <w:tcPr>
            <w:tcW w:w="6760" w:type="dxa"/>
            <w:tcMar>
              <w:top w:w="70" w:type="dxa"/>
              <w:left w:w="100" w:type="dxa"/>
              <w:bottom w:w="70" w:type="dxa"/>
              <w:right w:w="100" w:type="dxa"/>
            </w:tcMar>
          </w:tcPr>
          <w:p w14:paraId="556210BF"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Sudip Lamichhane</w:t>
            </w:r>
          </w:p>
        </w:tc>
      </w:tr>
      <w:tr w:rsidR="00A87987" w:rsidRPr="00FF64CF" w14:paraId="20DC52D8"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00894C25"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Student ID</w:t>
            </w:r>
          </w:p>
        </w:tc>
        <w:tc>
          <w:tcPr>
            <w:tcW w:w="6760" w:type="dxa"/>
            <w:shd w:val="clear" w:color="auto" w:fill="F2F2F2"/>
            <w:tcMar>
              <w:top w:w="70" w:type="dxa"/>
              <w:left w:w="100" w:type="dxa"/>
              <w:bottom w:w="70" w:type="dxa"/>
              <w:right w:w="100" w:type="dxa"/>
            </w:tcMar>
          </w:tcPr>
          <w:p w14:paraId="2E3ACD2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S388085</w:t>
            </w:r>
          </w:p>
        </w:tc>
      </w:tr>
      <w:tr w:rsidR="00A87987" w:rsidRPr="00FF64CF" w14:paraId="42F347D6" w14:textId="77777777">
        <w:tblPrEx>
          <w:tblCellMar>
            <w:top w:w="0" w:type="dxa"/>
            <w:bottom w:w="0" w:type="dxa"/>
          </w:tblCellMar>
        </w:tblPrEx>
        <w:tc>
          <w:tcPr>
            <w:tcW w:w="2600" w:type="dxa"/>
            <w:tcMar>
              <w:top w:w="70" w:type="dxa"/>
              <w:left w:w="100" w:type="dxa"/>
              <w:bottom w:w="70" w:type="dxa"/>
              <w:right w:w="100" w:type="dxa"/>
            </w:tcMar>
          </w:tcPr>
          <w:p w14:paraId="3F62DE01"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Role (Assessment 1, Table 2)</w:t>
            </w:r>
          </w:p>
        </w:tc>
        <w:tc>
          <w:tcPr>
            <w:tcW w:w="6760" w:type="dxa"/>
            <w:tcMar>
              <w:top w:w="70" w:type="dxa"/>
              <w:left w:w="100" w:type="dxa"/>
              <w:bottom w:w="70" w:type="dxa"/>
              <w:right w:w="100" w:type="dxa"/>
            </w:tcMar>
          </w:tcPr>
          <w:p w14:paraId="4EEBB107"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Data Acquisition &amp; Correction Handling Lead</w:t>
            </w:r>
          </w:p>
        </w:tc>
      </w:tr>
      <w:tr w:rsidR="00A87987" w:rsidRPr="00FF64CF" w14:paraId="1B3953DF"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0A17C4F9"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WS3 module owned</w:t>
            </w:r>
          </w:p>
        </w:tc>
        <w:tc>
          <w:tcPr>
            <w:tcW w:w="6760" w:type="dxa"/>
            <w:shd w:val="clear" w:color="auto" w:fill="F2F2F2"/>
            <w:tcMar>
              <w:top w:w="70" w:type="dxa"/>
              <w:left w:w="100" w:type="dxa"/>
              <w:bottom w:w="70" w:type="dxa"/>
              <w:right w:w="100" w:type="dxa"/>
            </w:tcMar>
          </w:tcPr>
          <w:p w14:paraId="4CEC2AF8"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wp3/readiness.py</w:t>
            </w:r>
          </w:p>
        </w:tc>
      </w:tr>
      <w:tr w:rsidR="00A87987" w:rsidRPr="00FF64CF" w14:paraId="5A5D96FC" w14:textId="77777777">
        <w:tblPrEx>
          <w:tblCellMar>
            <w:top w:w="0" w:type="dxa"/>
            <w:bottom w:w="0" w:type="dxa"/>
          </w:tblCellMar>
        </w:tblPrEx>
        <w:tc>
          <w:tcPr>
            <w:tcW w:w="2600" w:type="dxa"/>
            <w:tcMar>
              <w:top w:w="70" w:type="dxa"/>
              <w:left w:w="100" w:type="dxa"/>
              <w:bottom w:w="70" w:type="dxa"/>
              <w:right w:w="100" w:type="dxa"/>
            </w:tcMar>
          </w:tcPr>
          <w:p w14:paraId="01535B7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Action from 3 Sep register</w:t>
            </w:r>
          </w:p>
        </w:tc>
        <w:tc>
          <w:tcPr>
            <w:tcW w:w="6760" w:type="dxa"/>
            <w:tcMar>
              <w:top w:w="70" w:type="dxa"/>
              <w:left w:w="100" w:type="dxa"/>
              <w:bottom w:w="70" w:type="dxa"/>
              <w:right w:w="100" w:type="dxa"/>
            </w:tcMar>
          </w:tcPr>
          <w:p w14:paraId="75E7D830"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M3 — acquisition refresh, correction-awareness, explicit modelling cutoff</w:t>
            </w:r>
          </w:p>
        </w:tc>
      </w:tr>
      <w:tr w:rsidR="00A87987" w:rsidRPr="00FF64CF" w14:paraId="69D75C79"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537615FD"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Work package</w:t>
            </w:r>
          </w:p>
        </w:tc>
        <w:tc>
          <w:tcPr>
            <w:tcW w:w="6760" w:type="dxa"/>
            <w:shd w:val="clear" w:color="auto" w:fill="F2F2F2"/>
            <w:tcMar>
              <w:top w:w="70" w:type="dxa"/>
              <w:left w:w="100" w:type="dxa"/>
              <w:bottom w:w="70" w:type="dxa"/>
              <w:right w:w="100" w:type="dxa"/>
            </w:tcMar>
          </w:tcPr>
          <w:p w14:paraId="74367FF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WP3 — Modelling and Forecasting</w:t>
            </w:r>
          </w:p>
        </w:tc>
      </w:tr>
      <w:tr w:rsidR="00A87987" w:rsidRPr="00FF64CF" w14:paraId="2F9D9C49" w14:textId="77777777">
        <w:tblPrEx>
          <w:tblCellMar>
            <w:top w:w="0" w:type="dxa"/>
            <w:bottom w:w="0" w:type="dxa"/>
          </w:tblCellMar>
        </w:tblPrEx>
        <w:tc>
          <w:tcPr>
            <w:tcW w:w="2600" w:type="dxa"/>
            <w:tcMar>
              <w:top w:w="70" w:type="dxa"/>
              <w:left w:w="100" w:type="dxa"/>
              <w:bottom w:w="70" w:type="dxa"/>
              <w:right w:w="100" w:type="dxa"/>
            </w:tcMar>
          </w:tcPr>
          <w:p w14:paraId="06038E03"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Status</w:t>
            </w:r>
          </w:p>
        </w:tc>
        <w:tc>
          <w:tcPr>
            <w:tcW w:w="6760" w:type="dxa"/>
            <w:tcMar>
              <w:top w:w="70" w:type="dxa"/>
              <w:left w:w="100" w:type="dxa"/>
              <w:bottom w:w="70" w:type="dxa"/>
              <w:right w:w="100" w:type="dxa"/>
            </w:tcMar>
          </w:tcPr>
          <w:p w14:paraId="516BCCD3"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Assessment 2 draft complete, executed and verified</w:t>
            </w:r>
          </w:p>
        </w:tc>
      </w:tr>
      <w:tr w:rsidR="00A87987" w:rsidRPr="00FF64CF" w14:paraId="031E2727"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4C8169FF"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Meetings attended</w:t>
            </w:r>
          </w:p>
        </w:tc>
        <w:tc>
          <w:tcPr>
            <w:tcW w:w="6760" w:type="dxa"/>
            <w:shd w:val="clear" w:color="auto" w:fill="F2F2F2"/>
            <w:tcMar>
              <w:top w:w="70" w:type="dxa"/>
              <w:left w:w="100" w:type="dxa"/>
              <w:bottom w:w="70" w:type="dxa"/>
              <w:right w:w="100" w:type="dxa"/>
            </w:tcMar>
          </w:tcPr>
          <w:p w14:paraId="1BCC2E6F" w14:textId="0CF2999B"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10 Sep 11:30–14:00 · 13 Sep 9:0</w:t>
            </w:r>
            <w:r w:rsidR="00FF64CF">
              <w:rPr>
                <w:rFonts w:ascii="Times New Roman" w:hAnsi="Times New Roman" w:cs="Times New Roman"/>
                <w:color w:val="000000"/>
                <w:sz w:val="22"/>
                <w:szCs w:val="22"/>
              </w:rPr>
              <w:t xml:space="preserve">0 AM - </w:t>
            </w:r>
            <w:r w:rsidRPr="00FF64CF">
              <w:rPr>
                <w:rFonts w:ascii="Times New Roman" w:hAnsi="Times New Roman" w:cs="Times New Roman"/>
                <w:color w:val="000000"/>
                <w:sz w:val="22"/>
                <w:szCs w:val="22"/>
              </w:rPr>
              <w:t>1</w:t>
            </w:r>
            <w:r w:rsidR="00FF64CF">
              <w:rPr>
                <w:rFonts w:ascii="Times New Roman" w:hAnsi="Times New Roman" w:cs="Times New Roman"/>
                <w:color w:val="000000"/>
                <w:sz w:val="22"/>
                <w:szCs w:val="22"/>
              </w:rPr>
              <w:t>2</w:t>
            </w:r>
            <w:r w:rsidRPr="00FF64CF">
              <w:rPr>
                <w:rFonts w:ascii="Times New Roman" w:hAnsi="Times New Roman" w:cs="Times New Roman"/>
                <w:color w:val="000000"/>
                <w:sz w:val="22"/>
                <w:szCs w:val="22"/>
              </w:rPr>
              <w:t>:00</w:t>
            </w:r>
            <w:r w:rsidR="00FF64CF">
              <w:rPr>
                <w:rFonts w:ascii="Times New Roman" w:hAnsi="Times New Roman" w:cs="Times New Roman"/>
                <w:color w:val="000000"/>
                <w:sz w:val="22"/>
                <w:szCs w:val="22"/>
              </w:rPr>
              <w:t xml:space="preserve"> PM</w:t>
            </w:r>
            <w:r w:rsidRPr="00FF64CF">
              <w:rPr>
                <w:rFonts w:ascii="Times New Roman" w:hAnsi="Times New Roman" w:cs="Times New Roman"/>
                <w:color w:val="000000"/>
                <w:sz w:val="22"/>
                <w:szCs w:val="22"/>
              </w:rPr>
              <w:t xml:space="preserve"> (both)</w:t>
            </w:r>
          </w:p>
        </w:tc>
      </w:tr>
    </w:tbl>
    <w:p w14:paraId="36D0B9F1"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1. What I was responsible for</w:t>
      </w:r>
    </w:p>
    <w:p w14:paraId="007A23EE"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 xml:space="preserve">Making sure modelling does not inherit its inputs silently. Modelling reads whatever preprocessing handed over, and Assessment 1 Section 6 commits the platform to recalculating errors when AEMO revises an actual — so which results are provisional </w:t>
      </w:r>
      <w:proofErr w:type="gramStart"/>
      <w:r w:rsidRPr="00FF64CF">
        <w:rPr>
          <w:rFonts w:ascii="Times New Roman" w:hAnsi="Times New Roman" w:cs="Times New Roman"/>
          <w:sz w:val="22"/>
          <w:szCs w:val="22"/>
        </w:rPr>
        <w:t>has to</w:t>
      </w:r>
      <w:proofErr w:type="gramEnd"/>
      <w:r w:rsidRPr="00FF64CF">
        <w:rPr>
          <w:rFonts w:ascii="Times New Roman" w:hAnsi="Times New Roman" w:cs="Times New Roman"/>
          <w:sz w:val="22"/>
          <w:szCs w:val="22"/>
        </w:rPr>
        <w:t xml:space="preserve"> be recorded at the time they are produced, not worked out later.</w:t>
      </w:r>
    </w:p>
    <w:p w14:paraId="68C10F9D"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2. What I built</w:t>
      </w:r>
    </w:p>
    <w:p w14:paraId="5180F60B"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 xml:space="preserve">Input inventory: rows, coverage period, </w:t>
      </w:r>
      <w:proofErr w:type="gramStart"/>
      <w:r w:rsidRPr="00FF64CF">
        <w:rPr>
          <w:rFonts w:ascii="Times New Roman" w:hAnsi="Times New Roman" w:cs="Times New Roman"/>
          <w:sz w:val="22"/>
          <w:szCs w:val="22"/>
        </w:rPr>
        <w:t>missing-target</w:t>
      </w:r>
      <w:proofErr w:type="gramEnd"/>
      <w:r w:rsidRPr="00FF64CF">
        <w:rPr>
          <w:rFonts w:ascii="Times New Roman" w:hAnsi="Times New Roman" w:cs="Times New Roman"/>
          <w:sz w:val="22"/>
          <w:szCs w:val="22"/>
        </w:rPr>
        <w:t xml:space="preserve"> count and data cutoff per region, written before any model is fitted.</w:t>
      </w:r>
    </w:p>
    <w:p w14:paraId="5B6BDA89"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Feature presence checks that fail by name, so a missing column stops the run at the start rather than midway through region four.</w:t>
      </w:r>
    </w:p>
    <w:p w14:paraId="53ABB21A"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proofErr w:type="spellStart"/>
      <w:r w:rsidRPr="00FF64CF">
        <w:rPr>
          <w:rFonts w:ascii="Times New Roman" w:hAnsi="Times New Roman" w:cs="Times New Roman"/>
          <w:sz w:val="22"/>
          <w:szCs w:val="22"/>
        </w:rPr>
        <w:t>correction_exposure</w:t>
      </w:r>
      <w:proofErr w:type="spellEnd"/>
      <w:r w:rsidRPr="00FF64CF">
        <w:rPr>
          <w:rFonts w:ascii="Times New Roman" w:hAnsi="Times New Roman" w:cs="Times New Roman"/>
          <w:sz w:val="22"/>
          <w:szCs w:val="22"/>
        </w:rPr>
        <w:t>(), flagging which walk-forward folds sit inside the window where AEMO may still revise the actuals.</w:t>
      </w:r>
    </w:p>
    <w:p w14:paraId="7CDC84B4"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A single go/no-go readiness report, so a run cannot proceed on a bad input and produce something that looks like a result.</w:t>
      </w:r>
    </w:p>
    <w:p w14:paraId="32DBF7DC"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The data-cutoff note carried into every output table.</w:t>
      </w:r>
    </w:p>
    <w:p w14:paraId="3BC0802C"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3. Problems I hit and how I solved them</w:t>
      </w:r>
    </w:p>
    <w:p w14:paraId="6301FC3D"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b/>
          <w:bCs/>
          <w:sz w:val="22"/>
          <w:szCs w:val="22"/>
        </w:rPr>
        <w:t>3.1 A metric without its cutoff cannot be compared</w:t>
      </w:r>
    </w:p>
    <w:p w14:paraId="5E368B59"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Problem. Assessment 1 Section 6 describes a rolling boundary that advances as actuals arrive. That means every accuracy figure is relative to the cutoff it was computed at, and quoting one without the other makes two runs look comparable when they are not.</w:t>
      </w:r>
    </w:p>
    <w:p w14:paraId="6D8CB157"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What I did. I made the cutoff a property of the run: detected per region, logged at the start, and written into the inventory and exposure tables that accompany the results.</w:t>
      </w:r>
    </w:p>
    <w:p w14:paraId="497C58E8"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Result. The accepted cutoff is 2026-09-13 07:30. Every number in the Assessment 2 results section can be tied to that boundary.</w:t>
      </w:r>
    </w:p>
    <w:p w14:paraId="426B9153"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b/>
          <w:bCs/>
          <w:sz w:val="22"/>
          <w:szCs w:val="22"/>
        </w:rPr>
        <w:t>3.2 Which results might change under a correction</w:t>
      </w:r>
    </w:p>
    <w:p w14:paraId="33B2FD36"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lastRenderedPageBreak/>
        <w:t xml:space="preserve">Problem. The group committed in Assessment 1 to recalculating affected metrics rather than overwriting them when AEMO issues a retrospective correction. Without knowing which folds are exposed, the only options when </w:t>
      </w:r>
      <w:proofErr w:type="gramStart"/>
      <w:r w:rsidRPr="00FF64CF">
        <w:rPr>
          <w:rFonts w:ascii="Times New Roman" w:hAnsi="Times New Roman" w:cs="Times New Roman"/>
          <w:sz w:val="22"/>
          <w:szCs w:val="22"/>
        </w:rPr>
        <w:t>a correction lands</w:t>
      </w:r>
      <w:proofErr w:type="gramEnd"/>
      <w:r w:rsidRPr="00FF64CF">
        <w:rPr>
          <w:rFonts w:ascii="Times New Roman" w:hAnsi="Times New Roman" w:cs="Times New Roman"/>
          <w:sz w:val="22"/>
          <w:szCs w:val="22"/>
        </w:rPr>
        <w:t xml:space="preserve"> are re-running everything, which loses the original figures, or ignoring it.</w:t>
      </w:r>
    </w:p>
    <w:p w14:paraId="74A8D535"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 xml:space="preserve">What I did. </w:t>
      </w:r>
      <w:proofErr w:type="spellStart"/>
      <w:r w:rsidRPr="00FF64CF">
        <w:rPr>
          <w:rFonts w:ascii="Times New Roman" w:hAnsi="Times New Roman" w:cs="Times New Roman"/>
          <w:sz w:val="22"/>
          <w:szCs w:val="22"/>
        </w:rPr>
        <w:t>correction_exposure</w:t>
      </w:r>
      <w:proofErr w:type="spellEnd"/>
      <w:r w:rsidRPr="00FF64CF">
        <w:rPr>
          <w:rFonts w:ascii="Times New Roman" w:hAnsi="Times New Roman" w:cs="Times New Roman"/>
          <w:sz w:val="22"/>
          <w:szCs w:val="22"/>
        </w:rPr>
        <w:t>() marks any fold whose test window ends within 35 days of the cutoff as PROVISIONAL, with the rest recorded as settled. It changes no number; it records status.</w:t>
      </w:r>
    </w:p>
    <w:p w14:paraId="0C08553B"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Result. 12 of 24 folds are flagged provisional. When a correction arrives, recalculation can be targeted at those folds and marked as recalculated, which is the behaviour the design promised.</w:t>
      </w:r>
    </w:p>
    <w:p w14:paraId="36BA7F64"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b/>
          <w:bCs/>
          <w:sz w:val="22"/>
          <w:szCs w:val="22"/>
        </w:rPr>
        <w:t>3.3 Modelling should not read raw data</w:t>
      </w:r>
    </w:p>
    <w:p w14:paraId="2BB5F9B1"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Problem. It would have been easy to let the modelling stage reach back into the raw acquisition output when something was missing, and that would have quietly reintroduced the excluded sources — pre-dispatch and the WA market requirements file — that WP2 kept out for leakage reasons.</w:t>
      </w:r>
    </w:p>
    <w:p w14:paraId="7F38D762"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 xml:space="preserve">What I did. </w:t>
      </w:r>
      <w:proofErr w:type="spellStart"/>
      <w:r w:rsidRPr="00FF64CF">
        <w:rPr>
          <w:rFonts w:ascii="Times New Roman" w:hAnsi="Times New Roman" w:cs="Times New Roman"/>
          <w:sz w:val="22"/>
          <w:szCs w:val="22"/>
        </w:rPr>
        <w:t>load_region</w:t>
      </w:r>
      <w:proofErr w:type="spellEnd"/>
      <w:r w:rsidRPr="00FF64CF">
        <w:rPr>
          <w:rFonts w:ascii="Times New Roman" w:hAnsi="Times New Roman" w:cs="Times New Roman"/>
          <w:sz w:val="22"/>
          <w:szCs w:val="22"/>
        </w:rPr>
        <w:t>() reads only the processed folder and raises with an instruction to run preprocessing first if a file is absent.</w:t>
      </w:r>
    </w:p>
    <w:p w14:paraId="42ABD3DF"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Result. The boundary between the two stages stays intact, and the leakage exclusions decided in WP2 cannot be undone by a convenience path in WP3.</w:t>
      </w:r>
    </w:p>
    <w:p w14:paraId="54EBE2DC"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4. Evidence from the verified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A87987" w:rsidRPr="00FF64CF" w14:paraId="5FF38E99"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786AEB6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b/>
                <w:bCs/>
                <w:color w:val="FFFFFF"/>
                <w:sz w:val="22"/>
                <w:szCs w:val="22"/>
              </w:rPr>
              <w:t>Measure</w:t>
            </w:r>
          </w:p>
        </w:tc>
        <w:tc>
          <w:tcPr>
            <w:tcW w:w="5160" w:type="dxa"/>
            <w:shd w:val="clear" w:color="auto" w:fill="1F3864"/>
            <w:tcMar>
              <w:top w:w="70" w:type="dxa"/>
              <w:left w:w="100" w:type="dxa"/>
              <w:bottom w:w="70" w:type="dxa"/>
              <w:right w:w="100" w:type="dxa"/>
            </w:tcMar>
          </w:tcPr>
          <w:p w14:paraId="38D50A29"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b/>
                <w:bCs/>
                <w:color w:val="FFFFFF"/>
                <w:sz w:val="22"/>
                <w:szCs w:val="22"/>
              </w:rPr>
              <w:t>Value</w:t>
            </w:r>
          </w:p>
        </w:tc>
      </w:tr>
      <w:tr w:rsidR="00A87987" w:rsidRPr="00FF64CF" w14:paraId="38526E34" w14:textId="77777777">
        <w:tblPrEx>
          <w:tblCellMar>
            <w:top w:w="0" w:type="dxa"/>
            <w:bottom w:w="0" w:type="dxa"/>
          </w:tblCellMar>
        </w:tblPrEx>
        <w:tc>
          <w:tcPr>
            <w:tcW w:w="4200" w:type="dxa"/>
            <w:tcMar>
              <w:top w:w="70" w:type="dxa"/>
              <w:left w:w="100" w:type="dxa"/>
              <w:bottom w:w="70" w:type="dxa"/>
              <w:right w:w="100" w:type="dxa"/>
            </w:tcMar>
          </w:tcPr>
          <w:p w14:paraId="1DB27D45"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Regions verified present</w:t>
            </w:r>
          </w:p>
        </w:tc>
        <w:tc>
          <w:tcPr>
            <w:tcW w:w="5160" w:type="dxa"/>
            <w:tcMar>
              <w:top w:w="70" w:type="dxa"/>
              <w:left w:w="100" w:type="dxa"/>
              <w:bottom w:w="70" w:type="dxa"/>
              <w:right w:w="100" w:type="dxa"/>
            </w:tcMar>
          </w:tcPr>
          <w:p w14:paraId="637C72F1"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6 / 6</w:t>
            </w:r>
          </w:p>
        </w:tc>
      </w:tr>
      <w:tr w:rsidR="00A87987" w:rsidRPr="00FF64CF" w14:paraId="7544D539" w14:textId="77777777">
        <w:tblPrEx>
          <w:tblCellMar>
            <w:top w:w="0" w:type="dxa"/>
            <w:bottom w:w="0" w:type="dxa"/>
          </w:tblCellMar>
        </w:tblPrEx>
        <w:tc>
          <w:tcPr>
            <w:tcW w:w="4200" w:type="dxa"/>
            <w:shd w:val="clear" w:color="auto" w:fill="F2F2F2"/>
            <w:tcMar>
              <w:top w:w="70" w:type="dxa"/>
              <w:left w:w="100" w:type="dxa"/>
              <w:bottom w:w="70" w:type="dxa"/>
              <w:right w:w="100" w:type="dxa"/>
            </w:tcMar>
          </w:tcPr>
          <w:p w14:paraId="4D5A94E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Data cutoff</w:t>
            </w:r>
          </w:p>
        </w:tc>
        <w:tc>
          <w:tcPr>
            <w:tcW w:w="5160" w:type="dxa"/>
            <w:shd w:val="clear" w:color="auto" w:fill="F2F2F2"/>
            <w:tcMar>
              <w:top w:w="70" w:type="dxa"/>
              <w:left w:w="100" w:type="dxa"/>
              <w:bottom w:w="70" w:type="dxa"/>
              <w:right w:w="100" w:type="dxa"/>
            </w:tcMar>
          </w:tcPr>
          <w:p w14:paraId="270E93B2"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2026-09-13 07:30</w:t>
            </w:r>
          </w:p>
        </w:tc>
      </w:tr>
      <w:tr w:rsidR="00A87987" w:rsidRPr="00FF64CF" w14:paraId="1AD5E53E" w14:textId="77777777">
        <w:tblPrEx>
          <w:tblCellMar>
            <w:top w:w="0" w:type="dxa"/>
            <w:bottom w:w="0" w:type="dxa"/>
          </w:tblCellMar>
        </w:tblPrEx>
        <w:tc>
          <w:tcPr>
            <w:tcW w:w="4200" w:type="dxa"/>
            <w:tcMar>
              <w:top w:w="70" w:type="dxa"/>
              <w:left w:w="100" w:type="dxa"/>
              <w:bottom w:w="70" w:type="dxa"/>
              <w:right w:w="100" w:type="dxa"/>
            </w:tcMar>
          </w:tcPr>
          <w:p w14:paraId="6CB4E96F"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Coverage per region</w:t>
            </w:r>
          </w:p>
        </w:tc>
        <w:tc>
          <w:tcPr>
            <w:tcW w:w="5160" w:type="dxa"/>
            <w:tcMar>
              <w:top w:w="70" w:type="dxa"/>
              <w:left w:w="100" w:type="dxa"/>
              <w:bottom w:w="70" w:type="dxa"/>
              <w:right w:w="100" w:type="dxa"/>
            </w:tcMar>
          </w:tcPr>
          <w:p w14:paraId="736C3FBB"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82,368 rows, 1,715 days</w:t>
            </w:r>
          </w:p>
        </w:tc>
      </w:tr>
      <w:tr w:rsidR="00A87987" w:rsidRPr="00FF64CF" w14:paraId="091D40A2" w14:textId="77777777">
        <w:tblPrEx>
          <w:tblCellMar>
            <w:top w:w="0" w:type="dxa"/>
            <w:bottom w:w="0" w:type="dxa"/>
          </w:tblCellMar>
        </w:tblPrEx>
        <w:tc>
          <w:tcPr>
            <w:tcW w:w="4200" w:type="dxa"/>
            <w:shd w:val="clear" w:color="auto" w:fill="F2F2F2"/>
            <w:tcMar>
              <w:top w:w="70" w:type="dxa"/>
              <w:left w:w="100" w:type="dxa"/>
              <w:bottom w:w="70" w:type="dxa"/>
              <w:right w:w="100" w:type="dxa"/>
            </w:tcMar>
          </w:tcPr>
          <w:p w14:paraId="1AC83C30"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Missing target rows</w:t>
            </w:r>
          </w:p>
        </w:tc>
        <w:tc>
          <w:tcPr>
            <w:tcW w:w="5160" w:type="dxa"/>
            <w:shd w:val="clear" w:color="auto" w:fill="F2F2F2"/>
            <w:tcMar>
              <w:top w:w="70" w:type="dxa"/>
              <w:left w:w="100" w:type="dxa"/>
              <w:bottom w:w="70" w:type="dxa"/>
              <w:right w:w="100" w:type="dxa"/>
            </w:tcMar>
          </w:tcPr>
          <w:p w14:paraId="0EB9CDEA"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0 for NEM regions; 16 for WA (known cutover gap)</w:t>
            </w:r>
          </w:p>
        </w:tc>
      </w:tr>
      <w:tr w:rsidR="00A87987" w:rsidRPr="00FF64CF" w14:paraId="63817789" w14:textId="77777777">
        <w:tblPrEx>
          <w:tblCellMar>
            <w:top w:w="0" w:type="dxa"/>
            <w:bottom w:w="0" w:type="dxa"/>
          </w:tblCellMar>
        </w:tblPrEx>
        <w:tc>
          <w:tcPr>
            <w:tcW w:w="4200" w:type="dxa"/>
            <w:tcMar>
              <w:top w:w="70" w:type="dxa"/>
              <w:left w:w="100" w:type="dxa"/>
              <w:bottom w:w="70" w:type="dxa"/>
              <w:right w:w="100" w:type="dxa"/>
            </w:tcMar>
          </w:tcPr>
          <w:p w14:paraId="42454A4A"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Folds flagged provisional</w:t>
            </w:r>
          </w:p>
        </w:tc>
        <w:tc>
          <w:tcPr>
            <w:tcW w:w="5160" w:type="dxa"/>
            <w:tcMar>
              <w:top w:w="70" w:type="dxa"/>
              <w:left w:w="100" w:type="dxa"/>
              <w:bottom w:w="70" w:type="dxa"/>
              <w:right w:w="100" w:type="dxa"/>
            </w:tcMar>
          </w:tcPr>
          <w:p w14:paraId="773FBEA3"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12 of 24, within 35 days of cutoff</w:t>
            </w:r>
          </w:p>
        </w:tc>
      </w:tr>
      <w:tr w:rsidR="00A87987" w:rsidRPr="00FF64CF" w14:paraId="210323C7" w14:textId="77777777">
        <w:tblPrEx>
          <w:tblCellMar>
            <w:top w:w="0" w:type="dxa"/>
            <w:bottom w:w="0" w:type="dxa"/>
          </w:tblCellMar>
        </w:tblPrEx>
        <w:tc>
          <w:tcPr>
            <w:tcW w:w="4200" w:type="dxa"/>
            <w:shd w:val="clear" w:color="auto" w:fill="F2F2F2"/>
            <w:tcMar>
              <w:top w:w="70" w:type="dxa"/>
              <w:left w:w="100" w:type="dxa"/>
              <w:bottom w:w="70" w:type="dxa"/>
              <w:right w:w="100" w:type="dxa"/>
            </w:tcMar>
          </w:tcPr>
          <w:p w14:paraId="78D3BA94"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Readiness status</w:t>
            </w:r>
          </w:p>
        </w:tc>
        <w:tc>
          <w:tcPr>
            <w:tcW w:w="5160" w:type="dxa"/>
            <w:shd w:val="clear" w:color="auto" w:fill="F2F2F2"/>
            <w:tcMar>
              <w:top w:w="70" w:type="dxa"/>
              <w:left w:w="100" w:type="dxa"/>
              <w:bottom w:w="70" w:type="dxa"/>
              <w:right w:w="100" w:type="dxa"/>
            </w:tcMar>
          </w:tcPr>
          <w:p w14:paraId="6DA9AA9C"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READY — all inputs present</w:t>
            </w:r>
          </w:p>
        </w:tc>
      </w:tr>
    </w:tbl>
    <w:p w14:paraId="10803B93"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5. Where I depended on the team</w:t>
      </w:r>
    </w:p>
    <w:p w14:paraId="227A254F"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Suraj's fold boundaries were the input to the exposure calculation.</w:t>
      </w:r>
    </w:p>
    <w:p w14:paraId="42F6164D"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Ashish's horizon contract defined which feature columns the presence check had to require.</w:t>
      </w:r>
    </w:p>
    <w:p w14:paraId="75C25033"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Bishal's verification habit is what prompted me to write a go/no-go gate rather than trusting the input.</w:t>
      </w:r>
    </w:p>
    <w:p w14:paraId="3A8BB8A0"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6. Where I supported others</w:t>
      </w:r>
    </w:p>
    <w:p w14:paraId="1D36B4F5"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Chaired the 13 September integration meeting and held it to integration only, deferring a mid-session improvement idea to the enhancement list.</w:t>
      </w:r>
    </w:p>
    <w:p w14:paraId="56C8E4E2"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Brought the WP2 stationarity evidence to the 10 September meeting, which supports d=1 for the SARIMA path.</w:t>
      </w:r>
    </w:p>
    <w:p w14:paraId="74018FAF" w14:textId="77777777" w:rsidR="00A87987" w:rsidRPr="00FF64CF" w:rsidRDefault="00000000">
      <w:pPr>
        <w:pStyle w:val="ListParagraph"/>
        <w:numPr>
          <w:ilvl w:val="0"/>
          <w:numId w:val="2"/>
        </w:numPr>
        <w:spacing w:after="70" w:line="276" w:lineRule="auto"/>
        <w:rPr>
          <w:rFonts w:ascii="Times New Roman" w:hAnsi="Times New Roman" w:cs="Times New Roman"/>
          <w:sz w:val="22"/>
          <w:szCs w:val="22"/>
        </w:rPr>
      </w:pPr>
      <w:r w:rsidRPr="00FF64CF">
        <w:rPr>
          <w:rFonts w:ascii="Times New Roman" w:hAnsi="Times New Roman" w:cs="Times New Roman"/>
          <w:sz w:val="22"/>
          <w:szCs w:val="22"/>
        </w:rPr>
        <w:t>Confirmed the processed dataset used for modelling was byte-identical to the accepted WP2 output before any model was fitted.</w:t>
      </w:r>
    </w:p>
    <w:p w14:paraId="7AF227C1"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7.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A87987" w:rsidRPr="00FF64CF" w14:paraId="4EF275C6" w14:textId="77777777">
        <w:tblPrEx>
          <w:tblCellMar>
            <w:top w:w="0" w:type="dxa"/>
            <w:bottom w:w="0" w:type="dxa"/>
          </w:tblCellMar>
        </w:tblPrEx>
        <w:trPr>
          <w:tblHeader/>
        </w:trPr>
        <w:tc>
          <w:tcPr>
            <w:tcW w:w="3400" w:type="dxa"/>
            <w:shd w:val="clear" w:color="auto" w:fill="1F3864"/>
            <w:tcMar>
              <w:top w:w="70" w:type="dxa"/>
              <w:left w:w="100" w:type="dxa"/>
              <w:bottom w:w="70" w:type="dxa"/>
              <w:right w:w="100" w:type="dxa"/>
            </w:tcMar>
          </w:tcPr>
          <w:p w14:paraId="36EC08A1"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b/>
                <w:bCs/>
                <w:color w:val="FFFFFF"/>
                <w:sz w:val="22"/>
                <w:szCs w:val="22"/>
              </w:rPr>
              <w:t>Artefact</w:t>
            </w:r>
          </w:p>
        </w:tc>
        <w:tc>
          <w:tcPr>
            <w:tcW w:w="5960" w:type="dxa"/>
            <w:shd w:val="clear" w:color="auto" w:fill="1F3864"/>
            <w:tcMar>
              <w:top w:w="70" w:type="dxa"/>
              <w:left w:w="100" w:type="dxa"/>
              <w:bottom w:w="70" w:type="dxa"/>
              <w:right w:w="100" w:type="dxa"/>
            </w:tcMar>
          </w:tcPr>
          <w:p w14:paraId="1813E986"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b/>
                <w:bCs/>
                <w:color w:val="FFFFFF"/>
                <w:sz w:val="22"/>
                <w:szCs w:val="22"/>
              </w:rPr>
              <w:t>Location</w:t>
            </w:r>
          </w:p>
        </w:tc>
      </w:tr>
      <w:tr w:rsidR="00A87987" w:rsidRPr="00FF64CF" w14:paraId="1970A4B4" w14:textId="77777777">
        <w:tblPrEx>
          <w:tblCellMar>
            <w:top w:w="0" w:type="dxa"/>
            <w:bottom w:w="0" w:type="dxa"/>
          </w:tblCellMar>
        </w:tblPrEx>
        <w:tc>
          <w:tcPr>
            <w:tcW w:w="3400" w:type="dxa"/>
            <w:tcMar>
              <w:top w:w="70" w:type="dxa"/>
              <w:left w:w="100" w:type="dxa"/>
              <w:bottom w:w="70" w:type="dxa"/>
              <w:right w:w="100" w:type="dxa"/>
            </w:tcMar>
          </w:tcPr>
          <w:p w14:paraId="469CFA55"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Module</w:t>
            </w:r>
          </w:p>
        </w:tc>
        <w:tc>
          <w:tcPr>
            <w:tcW w:w="5960" w:type="dxa"/>
            <w:tcMar>
              <w:top w:w="70" w:type="dxa"/>
              <w:left w:w="100" w:type="dxa"/>
              <w:bottom w:w="70" w:type="dxa"/>
              <w:right w:w="100" w:type="dxa"/>
            </w:tcMar>
          </w:tcPr>
          <w:p w14:paraId="0F3C5AB6"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wp3/readiness.py</w:t>
            </w:r>
          </w:p>
        </w:tc>
      </w:tr>
      <w:tr w:rsidR="00A87987" w:rsidRPr="00FF64CF" w14:paraId="3A4A82EA" w14:textId="77777777">
        <w:tblPrEx>
          <w:tblCellMar>
            <w:top w:w="0" w:type="dxa"/>
            <w:bottom w:w="0" w:type="dxa"/>
          </w:tblCellMar>
        </w:tblPrEx>
        <w:tc>
          <w:tcPr>
            <w:tcW w:w="3400" w:type="dxa"/>
            <w:shd w:val="clear" w:color="auto" w:fill="F2F2F2"/>
            <w:tcMar>
              <w:top w:w="70" w:type="dxa"/>
              <w:left w:w="100" w:type="dxa"/>
              <w:bottom w:w="70" w:type="dxa"/>
              <w:right w:w="100" w:type="dxa"/>
            </w:tcMar>
          </w:tcPr>
          <w:p w14:paraId="116B43CB"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Results</w:t>
            </w:r>
          </w:p>
        </w:tc>
        <w:tc>
          <w:tcPr>
            <w:tcW w:w="5960" w:type="dxa"/>
            <w:shd w:val="clear" w:color="auto" w:fill="F2F2F2"/>
            <w:tcMar>
              <w:top w:w="70" w:type="dxa"/>
              <w:left w:w="100" w:type="dxa"/>
              <w:bottom w:w="70" w:type="dxa"/>
              <w:right w:w="100" w:type="dxa"/>
            </w:tcMar>
          </w:tcPr>
          <w:p w14:paraId="5B147146"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results/input_inventory.csv</w:t>
            </w:r>
          </w:p>
        </w:tc>
      </w:tr>
      <w:tr w:rsidR="00A87987" w:rsidRPr="00FF64CF" w14:paraId="3DC23BE1" w14:textId="77777777">
        <w:tblPrEx>
          <w:tblCellMar>
            <w:top w:w="0" w:type="dxa"/>
            <w:bottom w:w="0" w:type="dxa"/>
          </w:tblCellMar>
        </w:tblPrEx>
        <w:tc>
          <w:tcPr>
            <w:tcW w:w="3400" w:type="dxa"/>
            <w:tcMar>
              <w:top w:w="70" w:type="dxa"/>
              <w:left w:w="100" w:type="dxa"/>
              <w:bottom w:w="70" w:type="dxa"/>
              <w:right w:w="100" w:type="dxa"/>
            </w:tcMar>
          </w:tcPr>
          <w:p w14:paraId="578D27D8"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lastRenderedPageBreak/>
              <w:t>Results</w:t>
            </w:r>
          </w:p>
        </w:tc>
        <w:tc>
          <w:tcPr>
            <w:tcW w:w="5960" w:type="dxa"/>
            <w:tcMar>
              <w:top w:w="70" w:type="dxa"/>
              <w:left w:w="100" w:type="dxa"/>
              <w:bottom w:w="70" w:type="dxa"/>
              <w:right w:w="100" w:type="dxa"/>
            </w:tcMar>
          </w:tcPr>
          <w:p w14:paraId="5D3E6554"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results/correction_exposure.csv</w:t>
            </w:r>
          </w:p>
        </w:tc>
      </w:tr>
      <w:tr w:rsidR="00A87987" w:rsidRPr="00FF64CF" w14:paraId="068EE229" w14:textId="77777777">
        <w:tblPrEx>
          <w:tblCellMar>
            <w:top w:w="0" w:type="dxa"/>
            <w:bottom w:w="0" w:type="dxa"/>
          </w:tblCellMar>
        </w:tblPrEx>
        <w:tc>
          <w:tcPr>
            <w:tcW w:w="3400" w:type="dxa"/>
            <w:shd w:val="clear" w:color="auto" w:fill="F2F2F2"/>
            <w:tcMar>
              <w:top w:w="70" w:type="dxa"/>
              <w:left w:w="100" w:type="dxa"/>
              <w:bottom w:w="70" w:type="dxa"/>
              <w:right w:w="100" w:type="dxa"/>
            </w:tcMar>
          </w:tcPr>
          <w:p w14:paraId="5F8003F3"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Results</w:t>
            </w:r>
          </w:p>
        </w:tc>
        <w:tc>
          <w:tcPr>
            <w:tcW w:w="5960" w:type="dxa"/>
            <w:shd w:val="clear" w:color="auto" w:fill="F2F2F2"/>
            <w:tcMar>
              <w:top w:w="70" w:type="dxa"/>
              <w:left w:w="100" w:type="dxa"/>
              <w:bottom w:w="70" w:type="dxa"/>
              <w:right w:w="100" w:type="dxa"/>
            </w:tcMar>
          </w:tcPr>
          <w:p w14:paraId="4D24599E"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results/readiness_report.csv</w:t>
            </w:r>
          </w:p>
        </w:tc>
      </w:tr>
      <w:tr w:rsidR="00A87987" w:rsidRPr="00FF64CF" w14:paraId="79DAF0CF" w14:textId="77777777">
        <w:tblPrEx>
          <w:tblCellMar>
            <w:top w:w="0" w:type="dxa"/>
            <w:bottom w:w="0" w:type="dxa"/>
          </w:tblCellMar>
        </w:tblPrEx>
        <w:tc>
          <w:tcPr>
            <w:tcW w:w="3400" w:type="dxa"/>
            <w:tcMar>
              <w:top w:w="70" w:type="dxa"/>
              <w:left w:w="100" w:type="dxa"/>
              <w:bottom w:w="70" w:type="dxa"/>
              <w:right w:w="100" w:type="dxa"/>
            </w:tcMar>
          </w:tcPr>
          <w:p w14:paraId="3286F79E"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Minutes</w:t>
            </w:r>
          </w:p>
        </w:tc>
        <w:tc>
          <w:tcPr>
            <w:tcW w:w="5960" w:type="dxa"/>
            <w:tcMar>
              <w:top w:w="70" w:type="dxa"/>
              <w:left w:w="100" w:type="dxa"/>
              <w:bottom w:w="70" w:type="dxa"/>
              <w:right w:w="100" w:type="dxa"/>
            </w:tcMar>
          </w:tcPr>
          <w:p w14:paraId="7ED62F21" w14:textId="77777777" w:rsidR="00A87987" w:rsidRPr="00FF64CF" w:rsidRDefault="00000000">
            <w:pPr>
              <w:rPr>
                <w:rFonts w:ascii="Times New Roman" w:hAnsi="Times New Roman" w:cs="Times New Roman"/>
                <w:sz w:val="22"/>
                <w:szCs w:val="22"/>
              </w:rPr>
            </w:pPr>
            <w:r w:rsidRPr="00FF64CF">
              <w:rPr>
                <w:rFonts w:ascii="Times New Roman" w:hAnsi="Times New Roman" w:cs="Times New Roman"/>
                <w:color w:val="000000"/>
                <w:sz w:val="22"/>
                <w:szCs w:val="22"/>
              </w:rPr>
              <w:t>10 Sep §1, §4; 13 Sep §1</w:t>
            </w:r>
          </w:p>
        </w:tc>
      </w:tr>
    </w:tbl>
    <w:p w14:paraId="1A83D064" w14:textId="77777777" w:rsidR="00A87987" w:rsidRPr="00FF64CF" w:rsidRDefault="00000000">
      <w:pPr>
        <w:pStyle w:val="Heading1"/>
        <w:spacing w:before="260" w:after="130"/>
        <w:rPr>
          <w:rFonts w:ascii="Times New Roman" w:hAnsi="Times New Roman" w:cs="Times New Roman"/>
          <w:sz w:val="22"/>
          <w:szCs w:val="22"/>
        </w:rPr>
      </w:pPr>
      <w:r w:rsidRPr="00FF64CF">
        <w:rPr>
          <w:rFonts w:ascii="Times New Roman" w:hAnsi="Times New Roman" w:cs="Times New Roman"/>
          <w:b/>
          <w:bCs/>
          <w:color w:val="1F3864"/>
          <w:sz w:val="22"/>
          <w:szCs w:val="22"/>
        </w:rPr>
        <w:t>8. Professional reflection</w:t>
      </w:r>
    </w:p>
    <w:p w14:paraId="4DDE4A4B" w14:textId="77777777" w:rsidR="00A87987" w:rsidRPr="00FF64CF" w:rsidRDefault="00000000">
      <w:pPr>
        <w:spacing w:after="120" w:line="276" w:lineRule="auto"/>
        <w:rPr>
          <w:rFonts w:ascii="Times New Roman" w:hAnsi="Times New Roman" w:cs="Times New Roman"/>
          <w:sz w:val="22"/>
          <w:szCs w:val="22"/>
        </w:rPr>
      </w:pPr>
      <w:r w:rsidRPr="00FF64CF">
        <w:rPr>
          <w:rFonts w:ascii="Times New Roman" w:hAnsi="Times New Roman" w:cs="Times New Roman"/>
          <w:sz w:val="22"/>
          <w:szCs w:val="22"/>
        </w:rPr>
        <w:t>The exposure flags change nothing today, and that made them easy to leave out. They matter the first time AEMO revises an actual, which is exactly when nobody will want to reconstruct which folds were affected from memory. Recording status while the information is free is cheaper than recovering it later.</w:t>
      </w:r>
    </w:p>
    <w:p w14:paraId="7DA3A44E" w14:textId="09DCECB9" w:rsidR="00A87987" w:rsidRPr="00FF64CF" w:rsidRDefault="00A87987">
      <w:pPr>
        <w:spacing w:after="120" w:line="276" w:lineRule="auto"/>
        <w:rPr>
          <w:rFonts w:ascii="Times New Roman" w:hAnsi="Times New Roman" w:cs="Times New Roman"/>
          <w:sz w:val="22"/>
          <w:szCs w:val="22"/>
        </w:rPr>
      </w:pPr>
    </w:p>
    <w:sectPr w:rsidR="00A87987" w:rsidRPr="00FF64C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E5591"/>
    <w:multiLevelType w:val="hybridMultilevel"/>
    <w:tmpl w:val="0DA49BFE"/>
    <w:lvl w:ilvl="0" w:tplc="0582C4B8">
      <w:start w:val="1"/>
      <w:numFmt w:val="bullet"/>
      <w:lvlText w:val="●"/>
      <w:lvlJc w:val="left"/>
      <w:pPr>
        <w:ind w:left="720" w:hanging="360"/>
      </w:pPr>
    </w:lvl>
    <w:lvl w:ilvl="1" w:tplc="72967748">
      <w:start w:val="1"/>
      <w:numFmt w:val="bullet"/>
      <w:lvlText w:val="○"/>
      <w:lvlJc w:val="left"/>
      <w:pPr>
        <w:ind w:left="1440" w:hanging="360"/>
      </w:pPr>
    </w:lvl>
    <w:lvl w:ilvl="2" w:tplc="8488CF18">
      <w:start w:val="1"/>
      <w:numFmt w:val="bullet"/>
      <w:lvlText w:val="■"/>
      <w:lvlJc w:val="left"/>
      <w:pPr>
        <w:ind w:left="2160" w:hanging="360"/>
      </w:pPr>
    </w:lvl>
    <w:lvl w:ilvl="3" w:tplc="605C1B06">
      <w:start w:val="1"/>
      <w:numFmt w:val="bullet"/>
      <w:lvlText w:val="●"/>
      <w:lvlJc w:val="left"/>
      <w:pPr>
        <w:ind w:left="2880" w:hanging="360"/>
      </w:pPr>
    </w:lvl>
    <w:lvl w:ilvl="4" w:tplc="3862567C">
      <w:start w:val="1"/>
      <w:numFmt w:val="bullet"/>
      <w:lvlText w:val="○"/>
      <w:lvlJc w:val="left"/>
      <w:pPr>
        <w:ind w:left="3600" w:hanging="360"/>
      </w:pPr>
    </w:lvl>
    <w:lvl w:ilvl="5" w:tplc="529C8574">
      <w:start w:val="1"/>
      <w:numFmt w:val="bullet"/>
      <w:lvlText w:val="■"/>
      <w:lvlJc w:val="left"/>
      <w:pPr>
        <w:ind w:left="4320" w:hanging="360"/>
      </w:pPr>
    </w:lvl>
    <w:lvl w:ilvl="6" w:tplc="2310971E">
      <w:start w:val="1"/>
      <w:numFmt w:val="bullet"/>
      <w:lvlText w:val="●"/>
      <w:lvlJc w:val="left"/>
      <w:pPr>
        <w:ind w:left="5040" w:hanging="360"/>
      </w:pPr>
    </w:lvl>
    <w:lvl w:ilvl="7" w:tplc="EEE8DCD4">
      <w:start w:val="1"/>
      <w:numFmt w:val="bullet"/>
      <w:lvlText w:val="●"/>
      <w:lvlJc w:val="left"/>
      <w:pPr>
        <w:ind w:left="5760" w:hanging="360"/>
      </w:pPr>
    </w:lvl>
    <w:lvl w:ilvl="8" w:tplc="6FD6CA8C">
      <w:start w:val="1"/>
      <w:numFmt w:val="bullet"/>
      <w:lvlText w:val="●"/>
      <w:lvlJc w:val="left"/>
      <w:pPr>
        <w:ind w:left="6480" w:hanging="360"/>
      </w:pPr>
    </w:lvl>
  </w:abstractNum>
  <w:abstractNum w:abstractNumId="1" w15:restartNumberingAfterBreak="0">
    <w:nsid w:val="642D5710"/>
    <w:multiLevelType w:val="hybridMultilevel"/>
    <w:tmpl w:val="70AE3220"/>
    <w:lvl w:ilvl="0" w:tplc="6B507B38">
      <w:start w:val="1"/>
      <w:numFmt w:val="bullet"/>
      <w:lvlText w:val="•"/>
      <w:lvlJc w:val="left"/>
      <w:pPr>
        <w:ind w:left="420" w:hanging="260"/>
      </w:pPr>
    </w:lvl>
    <w:lvl w:ilvl="1" w:tplc="9FA406A4">
      <w:start w:val="1"/>
      <w:numFmt w:val="bullet"/>
      <w:lvlText w:val="–"/>
      <w:lvlJc w:val="left"/>
      <w:pPr>
        <w:ind w:left="780" w:hanging="260"/>
      </w:pPr>
    </w:lvl>
    <w:lvl w:ilvl="2" w:tplc="1B32A3F2">
      <w:numFmt w:val="decimal"/>
      <w:lvlText w:val=""/>
      <w:lvlJc w:val="left"/>
    </w:lvl>
    <w:lvl w:ilvl="3" w:tplc="EAC65280">
      <w:numFmt w:val="decimal"/>
      <w:lvlText w:val=""/>
      <w:lvlJc w:val="left"/>
    </w:lvl>
    <w:lvl w:ilvl="4" w:tplc="529CABE6">
      <w:numFmt w:val="decimal"/>
      <w:lvlText w:val=""/>
      <w:lvlJc w:val="left"/>
    </w:lvl>
    <w:lvl w:ilvl="5" w:tplc="1E028E2C">
      <w:numFmt w:val="decimal"/>
      <w:lvlText w:val=""/>
      <w:lvlJc w:val="left"/>
    </w:lvl>
    <w:lvl w:ilvl="6" w:tplc="AF888CEE">
      <w:numFmt w:val="decimal"/>
      <w:lvlText w:val=""/>
      <w:lvlJc w:val="left"/>
    </w:lvl>
    <w:lvl w:ilvl="7" w:tplc="198A372A">
      <w:numFmt w:val="decimal"/>
      <w:lvlText w:val=""/>
      <w:lvlJc w:val="left"/>
    </w:lvl>
    <w:lvl w:ilvl="8" w:tplc="AE2C82D8">
      <w:numFmt w:val="decimal"/>
      <w:lvlText w:val=""/>
      <w:lvlJc w:val="left"/>
    </w:lvl>
  </w:abstractNum>
  <w:num w:numId="1" w16cid:durableId="145364654">
    <w:abstractNumId w:val="0"/>
    <w:lvlOverride w:ilvl="0">
      <w:startOverride w:val="1"/>
    </w:lvlOverride>
  </w:num>
  <w:num w:numId="2" w16cid:durableId="1348098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987"/>
    <w:rsid w:val="003F76E1"/>
    <w:rsid w:val="0047530C"/>
    <w:rsid w:val="005C7FF4"/>
    <w:rsid w:val="00A87987"/>
    <w:rsid w:val="00FF64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1467"/>
  <w15:docId w15:val="{9594098D-F279-45F4-827E-71C6EBE0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Shrestha</cp:lastModifiedBy>
  <cp:revision>6</cp:revision>
  <dcterms:created xsi:type="dcterms:W3CDTF">2026-09-13T08:22:00Z</dcterms:created>
  <dcterms:modified xsi:type="dcterms:W3CDTF">2026-09-13T08:35:00Z</dcterms:modified>
</cp:coreProperties>
</file>