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56292" w14:textId="77777777" w:rsidR="00DB5BD3" w:rsidRPr="00F844D9" w:rsidRDefault="00000000">
      <w:pPr>
        <w:spacing w:after="60"/>
        <w:jc w:val="center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color w:val="1F3864"/>
          <w:sz w:val="22"/>
          <w:szCs w:val="22"/>
        </w:rPr>
        <w:t>PRT661 – Data Science Practice</w:t>
      </w:r>
    </w:p>
    <w:p w14:paraId="67E33555" w14:textId="77777777" w:rsidR="00DB5BD3" w:rsidRPr="00F844D9" w:rsidRDefault="00000000">
      <w:pPr>
        <w:pBdr>
          <w:bottom w:val="single" w:sz="6" w:space="8" w:color="1F3864"/>
        </w:pBdr>
        <w:spacing w:after="260"/>
        <w:jc w:val="center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color w:val="444444"/>
          <w:sz w:val="22"/>
          <w:szCs w:val="22"/>
        </w:rPr>
        <w:t>Group 2 · Dan6: Theme 2 · Individual Work and Contribution Summary · WP3 Modelling · 3–13 September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DB5BD3" w:rsidRPr="00F844D9" w14:paraId="0CE0C6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81E3DC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b/>
                <w:bCs/>
                <w:color w:val="FFFFFF"/>
                <w:sz w:val="22"/>
                <w:szCs w:val="22"/>
              </w:rPr>
              <w:t>Field</w:t>
            </w:r>
          </w:p>
        </w:tc>
        <w:tc>
          <w:tcPr>
            <w:tcW w:w="676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F2A91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b/>
                <w:bCs/>
                <w:color w:val="FFFFFF"/>
                <w:sz w:val="22"/>
                <w:szCs w:val="22"/>
              </w:rPr>
              <w:t>Detail</w:t>
            </w:r>
          </w:p>
        </w:tc>
      </w:tr>
      <w:tr w:rsidR="00DB5BD3" w:rsidRPr="00F844D9" w14:paraId="01C221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0F30B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Name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8BDB2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Ashish Shrestha</w:t>
            </w:r>
          </w:p>
        </w:tc>
      </w:tr>
      <w:tr w:rsidR="00DB5BD3" w:rsidRPr="00F844D9" w14:paraId="517831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0323D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Student ID</w:t>
            </w:r>
          </w:p>
        </w:tc>
        <w:tc>
          <w:tcPr>
            <w:tcW w:w="6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14150B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S388084</w:t>
            </w:r>
          </w:p>
        </w:tc>
      </w:tr>
      <w:tr w:rsidR="00DB5BD3" w:rsidRPr="00F844D9" w14:paraId="38704C9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BC6D6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Role (Assessment 1, Table 2)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D7BCBB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Forecasting Lead</w:t>
            </w:r>
          </w:p>
        </w:tc>
      </w:tr>
      <w:tr w:rsidR="00DB5BD3" w:rsidRPr="00F844D9" w14:paraId="1353FF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723F5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WS3 module owned</w:t>
            </w:r>
          </w:p>
        </w:tc>
        <w:tc>
          <w:tcPr>
            <w:tcW w:w="6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B4572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wp3/models.py</w:t>
            </w:r>
          </w:p>
        </w:tc>
      </w:tr>
      <w:tr w:rsidR="00DB5BD3" w:rsidRPr="00F844D9" w14:paraId="6DB6F2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7530F8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Action from 3 Sep register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45C54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M2 (seasonal-naive baseline) and M5 (acceptance criteria)</w:t>
            </w:r>
          </w:p>
        </w:tc>
      </w:tr>
      <w:tr w:rsidR="00DB5BD3" w:rsidRPr="00F844D9" w14:paraId="7CF8DC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77BAF8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Work package</w:t>
            </w:r>
          </w:p>
        </w:tc>
        <w:tc>
          <w:tcPr>
            <w:tcW w:w="6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C878B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WP3 — Modelling and Forecasting</w:t>
            </w:r>
          </w:p>
        </w:tc>
      </w:tr>
      <w:tr w:rsidR="00DB5BD3" w:rsidRPr="00F844D9" w14:paraId="427C0C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94DAA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Status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57A27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Assessment 2 draft complete, executed and verified</w:t>
            </w:r>
          </w:p>
        </w:tc>
      </w:tr>
      <w:tr w:rsidR="00DB5BD3" w:rsidRPr="00F844D9" w14:paraId="69F537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000366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Meetings attended</w:t>
            </w:r>
          </w:p>
        </w:tc>
        <w:tc>
          <w:tcPr>
            <w:tcW w:w="6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F27C4" w14:textId="4CBEB8C0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10 Sep 11:30–14:00 </w:t>
            </w:r>
            <w:r w:rsid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and </w:t>
            </w: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13 Sep 19:00–21:00 (both)</w:t>
            </w:r>
          </w:p>
        </w:tc>
      </w:tr>
    </w:tbl>
    <w:p w14:paraId="7F51F921" w14:textId="77777777" w:rsidR="00DB5BD3" w:rsidRPr="00F844D9" w:rsidRDefault="00000000">
      <w:pPr>
        <w:pStyle w:val="Heading1"/>
        <w:spacing w:before="260" w:after="130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color w:val="1F3864"/>
          <w:sz w:val="22"/>
          <w:szCs w:val="22"/>
        </w:rPr>
        <w:t>1. What I was responsible for</w:t>
      </w:r>
    </w:p>
    <w:p w14:paraId="06CF7402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The three-tier model comparison Assessment 1 Section 7 specifies, run independently per region, and the rule deciding whether a more complex model earns its place. I also chaired the 10 September modelling meeting as WP3 owner.</w:t>
      </w:r>
    </w:p>
    <w:p w14:paraId="5FA21E82" w14:textId="77777777" w:rsidR="00DB5BD3" w:rsidRPr="00F844D9" w:rsidRDefault="00000000">
      <w:pPr>
        <w:pStyle w:val="Heading1"/>
        <w:spacing w:before="260" w:after="130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color w:val="1F3864"/>
          <w:sz w:val="22"/>
          <w:szCs w:val="22"/>
        </w:rPr>
        <w:t>2. What I built</w:t>
      </w:r>
    </w:p>
    <w:p w14:paraId="69793A64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Two tier-1 benchmarks: seasonal_naive_48 (same half-hour yesterday) and seasonal_naive_336 (same half-hour last week).</w:t>
      </w:r>
    </w:p>
    <w:p w14:paraId="6AC1EE02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Tier 2 statistical model: Ridge regression on standardised horizon-safe features.</w:t>
      </w:r>
    </w:p>
    <w:p w14:paraId="2CD4C135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Tier 3 machine learning: Random Forest and Gradient Boosting, one shared configuration so the comparison is between models rather than between tuning effort.</w:t>
      </w:r>
    </w:p>
    <w:p w14:paraId="7904D91B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 xml:space="preserve">The horizon contract in common.py, with </w:t>
      </w:r>
      <w:proofErr w:type="spellStart"/>
      <w:r w:rsidRPr="00F844D9">
        <w:rPr>
          <w:rFonts w:ascii="Times New Roman" w:hAnsi="Times New Roman" w:cs="Times New Roman"/>
          <w:sz w:val="22"/>
          <w:szCs w:val="22"/>
        </w:rPr>
        <w:t>assert_horizon_safe</w:t>
      </w:r>
      <w:proofErr w:type="spellEnd"/>
      <w:r w:rsidRPr="00F844D9">
        <w:rPr>
          <w:rFonts w:ascii="Times New Roman" w:hAnsi="Times New Roman" w:cs="Times New Roman"/>
          <w:sz w:val="22"/>
          <w:szCs w:val="22"/>
        </w:rPr>
        <w:t>() enforcing it before every fit.</w:t>
      </w:r>
    </w:p>
    <w:p w14:paraId="4A09CC41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Feature-importance extraction covering both coefficient-based and tree-based models.</w:t>
      </w:r>
    </w:p>
    <w:p w14:paraId="74EDC5BB" w14:textId="77777777" w:rsidR="00DB5BD3" w:rsidRPr="00F844D9" w:rsidRDefault="00000000">
      <w:pPr>
        <w:pStyle w:val="Heading1"/>
        <w:spacing w:before="260" w:after="130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color w:val="1F3864"/>
          <w:sz w:val="22"/>
          <w:szCs w:val="22"/>
        </w:rPr>
        <w:t>3. Problems I hit and how I solved them</w:t>
      </w:r>
    </w:p>
    <w:p w14:paraId="60C79B41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sz w:val="22"/>
          <w:szCs w:val="22"/>
        </w:rPr>
        <w:t>3.1 The feature set did not match the forecast horizon</w:t>
      </w:r>
    </w:p>
    <w:p w14:paraId="649C046C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Problem. The WP2 processed table has 25 features, and I was ready to use all of them. Checking Assessment 1 Section 3 first, the requirement is a rolling forecast to 31 December 2026 at 48 intervals per day — a day-ahead horizon. Eleven of those features are built from demand at the previous half hour, which has not been observed when a day-ahead forecast is issued.</w:t>
      </w:r>
    </w:p>
    <w:p w14:paraId="50628E15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 xml:space="preserve">What I did. I split the feature set by horizon and wrote </w:t>
      </w:r>
      <w:proofErr w:type="spellStart"/>
      <w:r w:rsidRPr="00F844D9">
        <w:rPr>
          <w:rFonts w:ascii="Times New Roman" w:hAnsi="Times New Roman" w:cs="Times New Roman"/>
          <w:sz w:val="22"/>
          <w:szCs w:val="22"/>
        </w:rPr>
        <w:t>assert_horizon_safe</w:t>
      </w:r>
      <w:proofErr w:type="spellEnd"/>
      <w:r w:rsidRPr="00F844D9">
        <w:rPr>
          <w:rFonts w:ascii="Times New Roman" w:hAnsi="Times New Roman" w:cs="Times New Roman"/>
          <w:sz w:val="22"/>
          <w:szCs w:val="22"/>
        </w:rPr>
        <w:t>() to enforce it in code rather than in a comment. It runs before every fit and raises rather than warns. The 25-feature set is kept only as a diagnostic ceiling and never reported as a project result.</w:t>
      </w:r>
    </w:p>
    <w:p w14:paraId="6FF19637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Result. The day-ahead models use 14 features. Tested by deliberately requesting lag_1 at the day-ahead horizon: the guard raises and names the offending feature. Without this the reported accuracy would have been unreachable in deployment.</w:t>
      </w:r>
    </w:p>
    <w:p w14:paraId="221CACF9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sz w:val="22"/>
          <w:szCs w:val="22"/>
        </w:rPr>
        <w:t>3.2 SARIMA would not run at production scale</w:t>
      </w:r>
    </w:p>
    <w:p w14:paraId="4124A300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lastRenderedPageBreak/>
        <w:t>Problem. Assessment 1 names the SARIMA family for tier 2. Fitting it on 82,368 half-hourly observations per region, with a seasonal period of 48 and four walk-forward folds across six regions, is a very different proposition from the single-region baseline in the proposal.</w:t>
      </w:r>
    </w:p>
    <w:p w14:paraId="358E08F9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What I did. Rather than assume either way, I timed it on the real NSW1 series: 16.6 s at 1,500 observations, 19.2 s at 3,000, and 45.6 s at 6,000 where it failed to converge. I brought those numbers to the meeting instead of an opinion.</w:t>
      </w:r>
    </w:p>
    <w:p w14:paraId="24FB075C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Result. The group accepted Ridge for tier 2 in this draft — a genuine statistical model that fits in under a second — with SARIMA scheduled for 20 September. Recorded as a scope decision with measured evidence, not a silent substitution.</w:t>
      </w:r>
    </w:p>
    <w:p w14:paraId="4D56122A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sz w:val="22"/>
          <w:szCs w:val="22"/>
        </w:rPr>
        <w:t>3.3 Deciding whether complexity was justified</w:t>
      </w:r>
    </w:p>
    <w:p w14:paraId="7A03A281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 xml:space="preserve">Problem. Machine learning beating a naive benchmark by a small margin is not automatically worth </w:t>
      </w:r>
      <w:proofErr w:type="gramStart"/>
      <w:r w:rsidRPr="00F844D9">
        <w:rPr>
          <w:rFonts w:ascii="Times New Roman" w:hAnsi="Times New Roman" w:cs="Times New Roman"/>
          <w:sz w:val="22"/>
          <w:szCs w:val="22"/>
        </w:rPr>
        <w:t>deploying:</w:t>
      </w:r>
      <w:proofErr w:type="gramEnd"/>
      <w:r w:rsidRPr="00F844D9">
        <w:rPr>
          <w:rFonts w:ascii="Times New Roman" w:hAnsi="Times New Roman" w:cs="Times New Roman"/>
          <w:sz w:val="22"/>
          <w:szCs w:val="22"/>
        </w:rPr>
        <w:t xml:space="preserve"> it costs fitting time, failure modes and interpretability.</w:t>
      </w:r>
    </w:p>
    <w:p w14:paraId="787E397A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What I did. I proposed a fixed acceptance rule as action M5 — accept a model for a region only if it improves MAE on the seasonal-naive benchmark by at least 5% — and implemented it so it is applied automatically rather than argued case by case.</w:t>
      </w:r>
    </w:p>
    <w:p w14:paraId="1D6FFF06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Result. All six regions clear the threshold, from 12.5% in TAS1 to 32.7% in QLD1. The tier ordering is identical in every region, which makes the conclusion considerably easier to defend than a mixed result would have been.</w:t>
      </w:r>
    </w:p>
    <w:p w14:paraId="6C974CD6" w14:textId="77777777" w:rsidR="00DB5BD3" w:rsidRPr="00F844D9" w:rsidRDefault="00000000">
      <w:pPr>
        <w:pStyle w:val="Heading1"/>
        <w:spacing w:before="260" w:after="130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color w:val="1F3864"/>
          <w:sz w:val="22"/>
          <w:szCs w:val="22"/>
        </w:rPr>
        <w:t>4. Evidence from the verified run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DB5BD3" w:rsidRPr="00F844D9" w14:paraId="436616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6BAEC6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b/>
                <w:bCs/>
                <w:color w:val="FFFFFF"/>
                <w:sz w:val="22"/>
                <w:szCs w:val="22"/>
              </w:rPr>
              <w:t>Measure</w:t>
            </w:r>
          </w:p>
        </w:tc>
        <w:tc>
          <w:tcPr>
            <w:tcW w:w="516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1C8D50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b/>
                <w:bCs/>
                <w:color w:val="FFFFFF"/>
                <w:sz w:val="22"/>
                <w:szCs w:val="22"/>
              </w:rPr>
              <w:t>Value</w:t>
            </w:r>
          </w:p>
        </w:tc>
      </w:tr>
      <w:tr w:rsidR="00DB5BD3" w:rsidRPr="00F844D9" w14:paraId="71EC44C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6F757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Models implemented</w:t>
            </w:r>
          </w:p>
        </w:tc>
        <w:tc>
          <w:tcPr>
            <w:tcW w:w="5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FB90BB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5 per region across 3 tiers</w:t>
            </w:r>
          </w:p>
        </w:tc>
      </w:tr>
      <w:tr w:rsidR="00DB5BD3" w:rsidRPr="00F844D9" w14:paraId="470FDD0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166C78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Regions modelled independently</w:t>
            </w:r>
          </w:p>
        </w:tc>
        <w:tc>
          <w:tcPr>
            <w:tcW w:w="51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4BEEAA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6</w:t>
            </w:r>
          </w:p>
        </w:tc>
      </w:tr>
      <w:tr w:rsidR="00DB5BD3" w:rsidRPr="00F844D9" w14:paraId="3A4BD81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9E42C2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Fits executed</w:t>
            </w:r>
          </w:p>
        </w:tc>
        <w:tc>
          <w:tcPr>
            <w:tcW w:w="5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3ECAF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6 regions × 4 folds × 5 models = 120</w:t>
            </w:r>
          </w:p>
        </w:tc>
      </w:tr>
      <w:tr w:rsidR="00DB5BD3" w:rsidRPr="00F844D9" w14:paraId="1EA570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E582E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Best skill over benchmark</w:t>
            </w:r>
          </w:p>
        </w:tc>
        <w:tc>
          <w:tcPr>
            <w:tcW w:w="51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9A46A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QLD1, 32.7% MAE improvement</w:t>
            </w:r>
          </w:p>
        </w:tc>
      </w:tr>
      <w:tr w:rsidR="00DB5BD3" w:rsidRPr="00F844D9" w14:paraId="75397B8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CDE10A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Weakest skill over benchmark</w:t>
            </w:r>
          </w:p>
        </w:tc>
        <w:tc>
          <w:tcPr>
            <w:tcW w:w="5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F2349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TAS1, 12.5% — still above the 5% rule</w:t>
            </w:r>
          </w:p>
        </w:tc>
      </w:tr>
      <w:tr w:rsidR="00DB5BD3" w:rsidRPr="00F844D9" w14:paraId="7AF032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44422F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Dominant predictor (Random Forest)</w:t>
            </w:r>
          </w:p>
        </w:tc>
        <w:tc>
          <w:tcPr>
            <w:tcW w:w="51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BC6A4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lag_48 at 77.2% mean importance across regions</w:t>
            </w:r>
          </w:p>
        </w:tc>
      </w:tr>
      <w:tr w:rsidR="00DB5BD3" w:rsidRPr="00F844D9" w14:paraId="5C07BE2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D15006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SARIMA measurement</w:t>
            </w:r>
          </w:p>
        </w:tc>
        <w:tc>
          <w:tcPr>
            <w:tcW w:w="5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7E48C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45.6 s at 6,000 </w:t>
            </w:r>
            <w:proofErr w:type="spellStart"/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obs</w:t>
            </w:r>
            <w:proofErr w:type="spellEnd"/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failed to converge; series is 82,368</w:t>
            </w:r>
          </w:p>
        </w:tc>
      </w:tr>
    </w:tbl>
    <w:p w14:paraId="3015C7B7" w14:textId="77777777" w:rsidR="00DB5BD3" w:rsidRPr="00F844D9" w:rsidRDefault="00000000">
      <w:pPr>
        <w:pStyle w:val="Heading1"/>
        <w:spacing w:before="260" w:after="130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color w:val="1F3864"/>
          <w:sz w:val="22"/>
          <w:szCs w:val="22"/>
        </w:rPr>
        <w:t>5. Where I depended on the team</w:t>
      </w:r>
    </w:p>
    <w:p w14:paraId="4E9B7525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Suraj's fold design gave me train/test windows I could trust without re-checking them for every fit.</w:t>
      </w:r>
    </w:p>
    <w:p w14:paraId="3CE9F917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Bishal's metric framework meant I never wrote my own MAE, so the models and the scoring stayed independent of each other.</w:t>
      </w:r>
    </w:p>
    <w:p w14:paraId="7705A95D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Sudip's readiness check stopped a run before fitting when a feature column was absent, instead of failing midway through region four.</w:t>
      </w:r>
    </w:p>
    <w:p w14:paraId="2F3F55F6" w14:textId="77777777" w:rsidR="00DB5BD3" w:rsidRPr="00F844D9" w:rsidRDefault="00000000">
      <w:pPr>
        <w:pStyle w:val="Heading1"/>
        <w:spacing w:before="260" w:after="130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color w:val="1F3864"/>
          <w:sz w:val="22"/>
          <w:szCs w:val="22"/>
        </w:rPr>
        <w:t>6. Where I supported others</w:t>
      </w:r>
    </w:p>
    <w:p w14:paraId="2BD19DE7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Chaired the 10 September meeting and presented the horizon problem first, because every later number depended on that decision.</w:t>
      </w:r>
    </w:p>
    <w:p w14:paraId="23A37119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Supplied the per-fold predictions Bishal used for the error-profile figures.</w:t>
      </w:r>
    </w:p>
    <w:p w14:paraId="50369F2D" w14:textId="77777777" w:rsidR="00DB5BD3" w:rsidRPr="00F844D9" w:rsidRDefault="00000000">
      <w:pPr>
        <w:pStyle w:val="ListParagraph"/>
        <w:numPr>
          <w:ilvl w:val="0"/>
          <w:numId w:val="2"/>
        </w:numPr>
        <w:spacing w:after="7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>Reviewed Bishal's acceptance table and asked for the rule text to be carried in the output file, so a reader sees the threshold next to the decision.</w:t>
      </w:r>
    </w:p>
    <w:p w14:paraId="5A856C0B" w14:textId="77777777" w:rsidR="00DB5BD3" w:rsidRPr="00F844D9" w:rsidRDefault="00000000">
      <w:pPr>
        <w:pStyle w:val="Heading1"/>
        <w:spacing w:before="260" w:after="130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color w:val="1F3864"/>
          <w:sz w:val="22"/>
          <w:szCs w:val="22"/>
        </w:rPr>
        <w:lastRenderedPageBreak/>
        <w:t>7. Artefacts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DB5BD3" w:rsidRPr="00F844D9" w14:paraId="18A801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ED503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b/>
                <w:bCs/>
                <w:color w:val="FFFFFF"/>
                <w:sz w:val="22"/>
                <w:szCs w:val="22"/>
              </w:rPr>
              <w:t>Artefact</w:t>
            </w:r>
          </w:p>
        </w:tc>
        <w:tc>
          <w:tcPr>
            <w:tcW w:w="596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8EA6F6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b/>
                <w:bCs/>
                <w:color w:val="FFFFFF"/>
                <w:sz w:val="22"/>
                <w:szCs w:val="22"/>
              </w:rPr>
              <w:t>Location</w:t>
            </w:r>
          </w:p>
        </w:tc>
      </w:tr>
      <w:tr w:rsidR="00DB5BD3" w:rsidRPr="00F844D9" w14:paraId="2A1CD2B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415AEA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Module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96E64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wp3/models.py</w:t>
            </w:r>
          </w:p>
        </w:tc>
      </w:tr>
      <w:tr w:rsidR="00DB5BD3" w:rsidRPr="00F844D9" w14:paraId="476E7D1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CB826E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Results</w:t>
            </w:r>
          </w:p>
        </w:tc>
        <w:tc>
          <w:tcPr>
            <w:tcW w:w="59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77D4B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results/model_scores_aggregate.csv</w:t>
            </w:r>
          </w:p>
        </w:tc>
      </w:tr>
      <w:tr w:rsidR="00DB5BD3" w:rsidRPr="00F844D9" w14:paraId="259C63F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C1A2D6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Results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90D085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results/feature_importance.csv</w:t>
            </w:r>
          </w:p>
        </w:tc>
      </w:tr>
      <w:tr w:rsidR="00DB5BD3" w:rsidRPr="00F844D9" w14:paraId="492BB47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4F3C4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Figure</w:t>
            </w:r>
          </w:p>
        </w:tc>
        <w:tc>
          <w:tcPr>
            <w:tcW w:w="59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8A701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figures/model_comparison_mae.png</w:t>
            </w:r>
          </w:p>
        </w:tc>
      </w:tr>
      <w:tr w:rsidR="00DB5BD3" w:rsidRPr="00F844D9" w14:paraId="069B0CC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B82B87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Minutes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AA725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10 Sep §2, §3, §4</w:t>
            </w:r>
          </w:p>
        </w:tc>
      </w:tr>
      <w:tr w:rsidR="00DB5BD3" w:rsidRPr="00F844D9" w14:paraId="4C42137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551E9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Commit</w:t>
            </w:r>
          </w:p>
        </w:tc>
        <w:tc>
          <w:tcPr>
            <w:tcW w:w="59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40C8B" w14:textId="77777777" w:rsidR="00DB5BD3" w:rsidRPr="00F844D9" w:rsidRDefault="0000000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844D9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[insert commit link]</w:t>
            </w:r>
          </w:p>
        </w:tc>
      </w:tr>
    </w:tbl>
    <w:p w14:paraId="1DF20724" w14:textId="77777777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i/>
          <w:iCs/>
          <w:sz w:val="22"/>
          <w:szCs w:val="22"/>
        </w:rPr>
        <w:t>Replace the placeholder references with commit and pull-request links before submission.</w:t>
      </w:r>
    </w:p>
    <w:p w14:paraId="69089F0E" w14:textId="77777777" w:rsidR="00DB5BD3" w:rsidRPr="00F844D9" w:rsidRDefault="00000000">
      <w:pPr>
        <w:pStyle w:val="Heading1"/>
        <w:spacing w:before="260" w:after="130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b/>
          <w:bCs/>
          <w:color w:val="1F3864"/>
          <w:sz w:val="22"/>
          <w:szCs w:val="22"/>
        </w:rPr>
        <w:t>8. Professional reflection</w:t>
      </w:r>
    </w:p>
    <w:p w14:paraId="0ACAD805" w14:textId="306BEC7D" w:rsidR="00DB5BD3" w:rsidRPr="00F844D9" w:rsidRDefault="0000000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844D9">
        <w:rPr>
          <w:rFonts w:ascii="Times New Roman" w:hAnsi="Times New Roman" w:cs="Times New Roman"/>
          <w:sz w:val="22"/>
          <w:szCs w:val="22"/>
        </w:rPr>
        <w:t xml:space="preserve">I nearly built the models before checking the horizon the requirement </w:t>
      </w:r>
      <w:r w:rsidR="00F844D9" w:rsidRPr="00F844D9">
        <w:rPr>
          <w:rFonts w:ascii="Times New Roman" w:hAnsi="Times New Roman" w:cs="Times New Roman"/>
          <w:sz w:val="22"/>
          <w:szCs w:val="22"/>
        </w:rPr>
        <w:t>asks</w:t>
      </w:r>
      <w:r w:rsidRPr="00F844D9">
        <w:rPr>
          <w:rFonts w:ascii="Times New Roman" w:hAnsi="Times New Roman" w:cs="Times New Roman"/>
          <w:sz w:val="22"/>
          <w:szCs w:val="22"/>
        </w:rPr>
        <w:t xml:space="preserve"> for. Had I not read Assessment 1 Section 3 again that morning, I would have produced a model with excellent scores and no operational meaning, and the error would have been invisible in every metric we report. Checking what the deliverable </w:t>
      </w:r>
      <w:r w:rsidR="00F844D9" w:rsidRPr="00F844D9">
        <w:rPr>
          <w:rFonts w:ascii="Times New Roman" w:hAnsi="Times New Roman" w:cs="Times New Roman"/>
          <w:sz w:val="22"/>
          <w:szCs w:val="22"/>
        </w:rPr>
        <w:t>must</w:t>
      </w:r>
      <w:r w:rsidRPr="00F844D9">
        <w:rPr>
          <w:rFonts w:ascii="Times New Roman" w:hAnsi="Times New Roman" w:cs="Times New Roman"/>
          <w:sz w:val="22"/>
          <w:szCs w:val="22"/>
        </w:rPr>
        <w:t xml:space="preserve"> do, before deciding what the code will do, is the habit I am taking into the enhancement work.</w:t>
      </w:r>
    </w:p>
    <w:p w14:paraId="22CDFBEE" w14:textId="77777777" w:rsidR="00DB5BD3" w:rsidRPr="00F844D9" w:rsidRDefault="00DB5BD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</w:p>
    <w:p w14:paraId="53469135" w14:textId="4F9ADC05" w:rsidR="00DB5BD3" w:rsidRPr="00F844D9" w:rsidRDefault="00DB5BD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</w:p>
    <w:sectPr w:rsidR="00DB5BD3" w:rsidRPr="00F844D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F5D9A"/>
    <w:multiLevelType w:val="hybridMultilevel"/>
    <w:tmpl w:val="724C6F26"/>
    <w:lvl w:ilvl="0" w:tplc="8368A3A6">
      <w:start w:val="1"/>
      <w:numFmt w:val="bullet"/>
      <w:lvlText w:val="•"/>
      <w:lvlJc w:val="left"/>
      <w:pPr>
        <w:ind w:left="420" w:hanging="260"/>
      </w:pPr>
    </w:lvl>
    <w:lvl w:ilvl="1" w:tplc="B0B23C7C">
      <w:start w:val="1"/>
      <w:numFmt w:val="bullet"/>
      <w:lvlText w:val="–"/>
      <w:lvlJc w:val="left"/>
      <w:pPr>
        <w:ind w:left="780" w:hanging="260"/>
      </w:pPr>
    </w:lvl>
    <w:lvl w:ilvl="2" w:tplc="CBB4627A">
      <w:numFmt w:val="decimal"/>
      <w:lvlText w:val=""/>
      <w:lvlJc w:val="left"/>
    </w:lvl>
    <w:lvl w:ilvl="3" w:tplc="6D70C3D0">
      <w:numFmt w:val="decimal"/>
      <w:lvlText w:val=""/>
      <w:lvlJc w:val="left"/>
    </w:lvl>
    <w:lvl w:ilvl="4" w:tplc="82CE8582">
      <w:numFmt w:val="decimal"/>
      <w:lvlText w:val=""/>
      <w:lvlJc w:val="left"/>
    </w:lvl>
    <w:lvl w:ilvl="5" w:tplc="54001608">
      <w:numFmt w:val="decimal"/>
      <w:lvlText w:val=""/>
      <w:lvlJc w:val="left"/>
    </w:lvl>
    <w:lvl w:ilvl="6" w:tplc="6FD0F800">
      <w:numFmt w:val="decimal"/>
      <w:lvlText w:val=""/>
      <w:lvlJc w:val="left"/>
    </w:lvl>
    <w:lvl w:ilvl="7" w:tplc="D65E65D4">
      <w:numFmt w:val="decimal"/>
      <w:lvlText w:val=""/>
      <w:lvlJc w:val="left"/>
    </w:lvl>
    <w:lvl w:ilvl="8" w:tplc="15106DA4">
      <w:numFmt w:val="decimal"/>
      <w:lvlText w:val=""/>
      <w:lvlJc w:val="left"/>
    </w:lvl>
  </w:abstractNum>
  <w:abstractNum w:abstractNumId="1" w15:restartNumberingAfterBreak="0">
    <w:nsid w:val="5E413C24"/>
    <w:multiLevelType w:val="hybridMultilevel"/>
    <w:tmpl w:val="0AEA2D66"/>
    <w:lvl w:ilvl="0" w:tplc="28C0B3C6">
      <w:start w:val="1"/>
      <w:numFmt w:val="bullet"/>
      <w:lvlText w:val="●"/>
      <w:lvlJc w:val="left"/>
      <w:pPr>
        <w:ind w:left="720" w:hanging="360"/>
      </w:pPr>
    </w:lvl>
    <w:lvl w:ilvl="1" w:tplc="5F54AB64">
      <w:start w:val="1"/>
      <w:numFmt w:val="bullet"/>
      <w:lvlText w:val="○"/>
      <w:lvlJc w:val="left"/>
      <w:pPr>
        <w:ind w:left="1440" w:hanging="360"/>
      </w:pPr>
    </w:lvl>
    <w:lvl w:ilvl="2" w:tplc="D02CE3EC">
      <w:start w:val="1"/>
      <w:numFmt w:val="bullet"/>
      <w:lvlText w:val="■"/>
      <w:lvlJc w:val="left"/>
      <w:pPr>
        <w:ind w:left="2160" w:hanging="360"/>
      </w:pPr>
    </w:lvl>
    <w:lvl w:ilvl="3" w:tplc="89CE1202">
      <w:start w:val="1"/>
      <w:numFmt w:val="bullet"/>
      <w:lvlText w:val="●"/>
      <w:lvlJc w:val="left"/>
      <w:pPr>
        <w:ind w:left="2880" w:hanging="360"/>
      </w:pPr>
    </w:lvl>
    <w:lvl w:ilvl="4" w:tplc="1498655A">
      <w:start w:val="1"/>
      <w:numFmt w:val="bullet"/>
      <w:lvlText w:val="○"/>
      <w:lvlJc w:val="left"/>
      <w:pPr>
        <w:ind w:left="3600" w:hanging="360"/>
      </w:pPr>
    </w:lvl>
    <w:lvl w:ilvl="5" w:tplc="C69852E0">
      <w:start w:val="1"/>
      <w:numFmt w:val="bullet"/>
      <w:lvlText w:val="■"/>
      <w:lvlJc w:val="left"/>
      <w:pPr>
        <w:ind w:left="4320" w:hanging="360"/>
      </w:pPr>
    </w:lvl>
    <w:lvl w:ilvl="6" w:tplc="EF2E5C0C">
      <w:start w:val="1"/>
      <w:numFmt w:val="bullet"/>
      <w:lvlText w:val="●"/>
      <w:lvlJc w:val="left"/>
      <w:pPr>
        <w:ind w:left="5040" w:hanging="360"/>
      </w:pPr>
    </w:lvl>
    <w:lvl w:ilvl="7" w:tplc="C83A0612">
      <w:start w:val="1"/>
      <w:numFmt w:val="bullet"/>
      <w:lvlText w:val="●"/>
      <w:lvlJc w:val="left"/>
      <w:pPr>
        <w:ind w:left="5760" w:hanging="360"/>
      </w:pPr>
    </w:lvl>
    <w:lvl w:ilvl="8" w:tplc="3D264684">
      <w:start w:val="1"/>
      <w:numFmt w:val="bullet"/>
      <w:lvlText w:val="●"/>
      <w:lvlJc w:val="left"/>
      <w:pPr>
        <w:ind w:left="6480" w:hanging="360"/>
      </w:pPr>
    </w:lvl>
  </w:abstractNum>
  <w:num w:numId="1" w16cid:durableId="357002046">
    <w:abstractNumId w:val="1"/>
    <w:lvlOverride w:ilvl="0">
      <w:startOverride w:val="1"/>
    </w:lvlOverride>
  </w:num>
  <w:num w:numId="2" w16cid:durableId="14707850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BD3"/>
    <w:rsid w:val="00A046A8"/>
    <w:rsid w:val="00DB5BD3"/>
    <w:rsid w:val="00F8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8947E"/>
  <w15:docId w15:val="{A007813A-7953-45A9-B56E-7B7C18CCA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866</Words>
  <Characters>4941</Characters>
  <Application>Microsoft Office Word</Application>
  <DocSecurity>0</DocSecurity>
  <Lines>41</Lines>
  <Paragraphs>11</Paragraphs>
  <ScaleCrop>false</ScaleCrop>
  <Company/>
  <LinksUpToDate>false</LinksUpToDate>
  <CharactersWithSpaces>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Ashish Shrestha</cp:lastModifiedBy>
  <cp:revision>2</cp:revision>
  <dcterms:created xsi:type="dcterms:W3CDTF">2026-09-13T08:22:00Z</dcterms:created>
  <dcterms:modified xsi:type="dcterms:W3CDTF">2026-09-13T08:27:00Z</dcterms:modified>
</cp:coreProperties>
</file>