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B8EC3" w14:textId="77777777" w:rsidR="00135211" w:rsidRPr="00D83B29" w:rsidRDefault="00000000" w:rsidP="00D83B29">
      <w:pPr>
        <w:jc w:val="both"/>
        <w:rPr>
          <w:rFonts w:ascii="Times New Roman" w:hAnsi="Times New Roman" w:cs="Times New Roman"/>
          <w:sz w:val="22"/>
        </w:rPr>
      </w:pPr>
      <w:r w:rsidRPr="00D83B29">
        <w:rPr>
          <w:rFonts w:ascii="Times New Roman" w:hAnsi="Times New Roman" w:cs="Times New Roman"/>
          <w:b/>
          <w:color w:val="17365D"/>
          <w:sz w:val="22"/>
        </w:rPr>
        <w:t>PRT661 – Data Science Practice</w:t>
      </w:r>
    </w:p>
    <w:p w14:paraId="0C708B9C" w14:textId="77777777" w:rsidR="00135211" w:rsidRPr="00D83B29" w:rsidRDefault="00000000" w:rsidP="00D83B29">
      <w:pPr>
        <w:jc w:val="both"/>
        <w:rPr>
          <w:rFonts w:ascii="Times New Roman" w:hAnsi="Times New Roman" w:cs="Times New Roman"/>
          <w:sz w:val="22"/>
        </w:rPr>
      </w:pPr>
      <w:r w:rsidRPr="00D83B29">
        <w:rPr>
          <w:rFonts w:ascii="Times New Roman" w:hAnsi="Times New Roman" w:cs="Times New Roman"/>
          <w:b/>
          <w:color w:val="1F4E79"/>
          <w:sz w:val="22"/>
        </w:rPr>
        <w:t>Australian Electricity Demand Forecasting using Machine Learning and Time Series Analytics</w:t>
      </w:r>
    </w:p>
    <w:p w14:paraId="54A89F0F" w14:textId="77777777" w:rsidR="00135211" w:rsidRPr="00D83B29" w:rsidRDefault="00000000" w:rsidP="00D83B29">
      <w:pPr>
        <w:jc w:val="both"/>
        <w:rPr>
          <w:rFonts w:ascii="Times New Roman" w:hAnsi="Times New Roman" w:cs="Times New Roman"/>
          <w:sz w:val="22"/>
        </w:rPr>
      </w:pPr>
      <w:r w:rsidRPr="00D83B29">
        <w:rPr>
          <w:rFonts w:ascii="Times New Roman" w:hAnsi="Times New Roman" w:cs="Times New Roman"/>
          <w:b/>
          <w:color w:val="17365D"/>
          <w:sz w:val="22"/>
        </w:rPr>
        <w:t>Dan6: Theme 2 | Meeting Minutes — Meeting 2</w:t>
      </w:r>
    </w:p>
    <w:tbl>
      <w:tblPr>
        <w:tblStyle w:val="TableGrid"/>
        <w:tblW w:w="0" w:type="auto"/>
        <w:jc w:val="center"/>
        <w:tblLayout w:type="fixed"/>
        <w:tblLook w:val="04A0" w:firstRow="1" w:lastRow="0" w:firstColumn="1" w:lastColumn="0" w:noHBand="0" w:noVBand="1"/>
      </w:tblPr>
      <w:tblGrid>
        <w:gridCol w:w="2088"/>
        <w:gridCol w:w="8496"/>
      </w:tblGrid>
      <w:tr w:rsidR="00135211" w:rsidRPr="00D83B29" w14:paraId="4D259B95" w14:textId="77777777">
        <w:trPr>
          <w:tblHeader/>
          <w:jc w:val="center"/>
        </w:trPr>
        <w:tc>
          <w:tcPr>
            <w:tcW w:w="2088" w:type="dxa"/>
            <w:shd w:val="clear" w:color="auto" w:fill="17365D"/>
            <w:vAlign w:val="center"/>
          </w:tcPr>
          <w:p w14:paraId="63EAF5E9"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b/>
                <w:color w:val="FFFFFF"/>
                <w:sz w:val="22"/>
              </w:rPr>
              <w:t>Field</w:t>
            </w:r>
          </w:p>
        </w:tc>
        <w:tc>
          <w:tcPr>
            <w:tcW w:w="8496" w:type="dxa"/>
            <w:shd w:val="clear" w:color="auto" w:fill="17365D"/>
            <w:vAlign w:val="center"/>
          </w:tcPr>
          <w:p w14:paraId="47E8E853"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b/>
                <w:color w:val="FFFFFF"/>
                <w:sz w:val="22"/>
              </w:rPr>
              <w:t>Detail</w:t>
            </w:r>
          </w:p>
        </w:tc>
      </w:tr>
      <w:tr w:rsidR="00135211" w:rsidRPr="00D83B29" w14:paraId="14799F85" w14:textId="77777777">
        <w:trPr>
          <w:jc w:val="center"/>
        </w:trPr>
        <w:tc>
          <w:tcPr>
            <w:tcW w:w="2088" w:type="dxa"/>
            <w:vAlign w:val="center"/>
          </w:tcPr>
          <w:p w14:paraId="36CE7E64"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Date</w:t>
            </w:r>
          </w:p>
        </w:tc>
        <w:tc>
          <w:tcPr>
            <w:tcW w:w="8496" w:type="dxa"/>
            <w:vAlign w:val="center"/>
          </w:tcPr>
          <w:p w14:paraId="2AD3A54F"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Saturday, 23 August 2026</w:t>
            </w:r>
          </w:p>
        </w:tc>
      </w:tr>
      <w:tr w:rsidR="00135211" w:rsidRPr="00D83B29" w14:paraId="0672BDD3" w14:textId="77777777">
        <w:trPr>
          <w:jc w:val="center"/>
        </w:trPr>
        <w:tc>
          <w:tcPr>
            <w:tcW w:w="2088" w:type="dxa"/>
            <w:shd w:val="clear" w:color="auto" w:fill="F2F2F2"/>
            <w:vAlign w:val="center"/>
          </w:tcPr>
          <w:p w14:paraId="18E9604D"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Time</w:t>
            </w:r>
          </w:p>
        </w:tc>
        <w:tc>
          <w:tcPr>
            <w:tcW w:w="8496" w:type="dxa"/>
            <w:shd w:val="clear" w:color="auto" w:fill="F2F2F2"/>
            <w:vAlign w:val="center"/>
          </w:tcPr>
          <w:p w14:paraId="4C20192D"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19:30–21:30 (2 hours)</w:t>
            </w:r>
          </w:p>
        </w:tc>
      </w:tr>
      <w:tr w:rsidR="00135211" w:rsidRPr="00D83B29" w14:paraId="6875AAA0" w14:textId="77777777">
        <w:trPr>
          <w:jc w:val="center"/>
        </w:trPr>
        <w:tc>
          <w:tcPr>
            <w:tcW w:w="2088" w:type="dxa"/>
            <w:vAlign w:val="center"/>
          </w:tcPr>
          <w:p w14:paraId="7AE8FF65"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Location</w:t>
            </w:r>
          </w:p>
        </w:tc>
        <w:tc>
          <w:tcPr>
            <w:tcW w:w="8496" w:type="dxa"/>
            <w:vAlign w:val="center"/>
          </w:tcPr>
          <w:p w14:paraId="579ACB4A" w14:textId="68B43248"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 xml:space="preserve">Online — </w:t>
            </w:r>
            <w:r w:rsidR="00D83B29" w:rsidRPr="00D83B29">
              <w:rPr>
                <w:rFonts w:ascii="Times New Roman" w:hAnsi="Times New Roman" w:cs="Times New Roman"/>
                <w:sz w:val="22"/>
              </w:rPr>
              <w:t>Zoom</w:t>
            </w:r>
            <w:r w:rsidRPr="00D83B29">
              <w:rPr>
                <w:rFonts w:ascii="Times New Roman" w:hAnsi="Times New Roman" w:cs="Times New Roman"/>
                <w:sz w:val="22"/>
              </w:rPr>
              <w:t xml:space="preserve"> and shared Git repository</w:t>
            </w:r>
          </w:p>
        </w:tc>
      </w:tr>
      <w:tr w:rsidR="00135211" w:rsidRPr="00D83B29" w14:paraId="72F7E46C" w14:textId="77777777">
        <w:trPr>
          <w:jc w:val="center"/>
        </w:trPr>
        <w:tc>
          <w:tcPr>
            <w:tcW w:w="2088" w:type="dxa"/>
            <w:shd w:val="clear" w:color="auto" w:fill="F2F2F2"/>
            <w:vAlign w:val="center"/>
          </w:tcPr>
          <w:p w14:paraId="051FA6AD"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Chair</w:t>
            </w:r>
          </w:p>
        </w:tc>
        <w:tc>
          <w:tcPr>
            <w:tcW w:w="8496" w:type="dxa"/>
            <w:shd w:val="clear" w:color="auto" w:fill="F2F2F2"/>
            <w:vAlign w:val="center"/>
          </w:tcPr>
          <w:p w14:paraId="2A49F990"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Sudip Lamichhane</w:t>
            </w:r>
          </w:p>
        </w:tc>
      </w:tr>
      <w:tr w:rsidR="00135211" w:rsidRPr="00D83B29" w14:paraId="03B456AF" w14:textId="77777777">
        <w:trPr>
          <w:jc w:val="center"/>
        </w:trPr>
        <w:tc>
          <w:tcPr>
            <w:tcW w:w="2088" w:type="dxa"/>
            <w:vAlign w:val="center"/>
          </w:tcPr>
          <w:p w14:paraId="2B02FEA5"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Minutes recorded by</w:t>
            </w:r>
          </w:p>
        </w:tc>
        <w:tc>
          <w:tcPr>
            <w:tcW w:w="8496" w:type="dxa"/>
            <w:vAlign w:val="center"/>
          </w:tcPr>
          <w:p w14:paraId="2CEFB9B6"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Bishal Dahal</w:t>
            </w:r>
          </w:p>
        </w:tc>
      </w:tr>
      <w:tr w:rsidR="00135211" w:rsidRPr="00D83B29" w14:paraId="18DC810D" w14:textId="77777777">
        <w:trPr>
          <w:jc w:val="center"/>
        </w:trPr>
        <w:tc>
          <w:tcPr>
            <w:tcW w:w="2088" w:type="dxa"/>
            <w:shd w:val="clear" w:color="auto" w:fill="F2F2F2"/>
            <w:vAlign w:val="center"/>
          </w:tcPr>
          <w:p w14:paraId="386E29B4"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Attendees</w:t>
            </w:r>
          </w:p>
        </w:tc>
        <w:tc>
          <w:tcPr>
            <w:tcW w:w="8496" w:type="dxa"/>
            <w:shd w:val="clear" w:color="auto" w:fill="F2F2F2"/>
            <w:vAlign w:val="center"/>
          </w:tcPr>
          <w:p w14:paraId="7542A5B8"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Ashish Shrestha (S388084); Bishal Dahal (S388095); Sudip Lamichhane (S388085); Suraj Raut (S391201) — all present</w:t>
            </w:r>
          </w:p>
        </w:tc>
      </w:tr>
      <w:tr w:rsidR="00135211" w:rsidRPr="00D83B29" w14:paraId="69E3119D" w14:textId="77777777">
        <w:trPr>
          <w:jc w:val="center"/>
        </w:trPr>
        <w:tc>
          <w:tcPr>
            <w:tcW w:w="2088" w:type="dxa"/>
            <w:vAlign w:val="center"/>
          </w:tcPr>
          <w:p w14:paraId="5E4F9747"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Apologies</w:t>
            </w:r>
          </w:p>
        </w:tc>
        <w:tc>
          <w:tcPr>
            <w:tcW w:w="8496" w:type="dxa"/>
            <w:vAlign w:val="center"/>
          </w:tcPr>
          <w:p w14:paraId="2E6B6A8B"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None</w:t>
            </w:r>
          </w:p>
        </w:tc>
      </w:tr>
      <w:tr w:rsidR="00135211" w:rsidRPr="00D83B29" w14:paraId="7C09EA24" w14:textId="77777777">
        <w:trPr>
          <w:jc w:val="center"/>
        </w:trPr>
        <w:tc>
          <w:tcPr>
            <w:tcW w:w="2088" w:type="dxa"/>
            <w:shd w:val="clear" w:color="auto" w:fill="F2F2F2"/>
            <w:vAlign w:val="center"/>
          </w:tcPr>
          <w:p w14:paraId="472799F0"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Work package</w:t>
            </w:r>
          </w:p>
        </w:tc>
        <w:tc>
          <w:tcPr>
            <w:tcW w:w="8496" w:type="dxa"/>
            <w:shd w:val="clear" w:color="auto" w:fill="F2F2F2"/>
            <w:vAlign w:val="center"/>
          </w:tcPr>
          <w:p w14:paraId="55496739"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WP1 close-out: Data Acquisition; transition planning to WP2: EDA, Data Quality, Cleaning, Preprocessing and Feature Engineering</w:t>
            </w:r>
          </w:p>
        </w:tc>
      </w:tr>
      <w:tr w:rsidR="00135211" w:rsidRPr="00D83B29" w14:paraId="1FBDC131" w14:textId="77777777">
        <w:trPr>
          <w:jc w:val="center"/>
        </w:trPr>
        <w:tc>
          <w:tcPr>
            <w:tcW w:w="2088" w:type="dxa"/>
            <w:vAlign w:val="center"/>
          </w:tcPr>
          <w:p w14:paraId="2368719F"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Meeting purpose</w:t>
            </w:r>
          </w:p>
        </w:tc>
        <w:tc>
          <w:tcPr>
            <w:tcW w:w="8496" w:type="dxa"/>
            <w:vAlign w:val="center"/>
          </w:tcPr>
          <w:p w14:paraId="78DBB50E"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Close the outstanding acquisition issues from 19 August, integrate the four workstreams into one running Data_Acquisition final.py, validate the extracted outputs against their source systems, formally accept the acquisition deliverable, and define the preprocessing work to be reviewed at the next meeting.</w:t>
            </w:r>
          </w:p>
        </w:tc>
      </w:tr>
    </w:tbl>
    <w:p w14:paraId="4DA925E1" w14:textId="77777777" w:rsidR="00135211" w:rsidRPr="00D83B29" w:rsidRDefault="00135211" w:rsidP="00D83B29">
      <w:pPr>
        <w:spacing w:after="20"/>
        <w:jc w:val="both"/>
        <w:rPr>
          <w:rFonts w:ascii="Times New Roman" w:hAnsi="Times New Roman" w:cs="Times New Roman"/>
          <w:sz w:val="22"/>
        </w:rPr>
      </w:pPr>
    </w:p>
    <w:p w14:paraId="6D1F019A" w14:textId="77777777" w:rsidR="00135211" w:rsidRPr="00D83B29" w:rsidRDefault="00000000" w:rsidP="00D83B29">
      <w:pPr>
        <w:pStyle w:val="Heading1"/>
        <w:jc w:val="both"/>
        <w:rPr>
          <w:rFonts w:ascii="Times New Roman" w:hAnsi="Times New Roman" w:cs="Times New Roman"/>
          <w:sz w:val="22"/>
          <w:szCs w:val="22"/>
        </w:rPr>
      </w:pPr>
      <w:r w:rsidRPr="00D83B29">
        <w:rPr>
          <w:rFonts w:ascii="Times New Roman" w:hAnsi="Times New Roman" w:cs="Times New Roman"/>
          <w:sz w:val="22"/>
          <w:szCs w:val="22"/>
        </w:rPr>
        <w:t>1. Agenda and Intended Outcomes</w:t>
      </w:r>
    </w:p>
    <w:p w14:paraId="598D5B1E" w14:textId="77777777" w:rsidR="00135211" w:rsidRPr="00D83B29" w:rsidRDefault="00000000" w:rsidP="00D83B29">
      <w:pPr>
        <w:pStyle w:val="ListBullet"/>
        <w:spacing w:after="40"/>
        <w:ind w:left="288" w:hanging="173"/>
        <w:jc w:val="both"/>
        <w:rPr>
          <w:rFonts w:ascii="Times New Roman" w:hAnsi="Times New Roman" w:cs="Times New Roman"/>
          <w:sz w:val="22"/>
        </w:rPr>
      </w:pPr>
      <w:r w:rsidRPr="00D83B29">
        <w:rPr>
          <w:rFonts w:ascii="Times New Roman" w:hAnsi="Times New Roman" w:cs="Times New Roman"/>
          <w:sz w:val="22"/>
        </w:rPr>
        <w:t>Review the actions and unresolved technical questions from the 19 August meeting.</w:t>
      </w:r>
    </w:p>
    <w:p w14:paraId="1EED7693" w14:textId="77777777" w:rsidR="00135211" w:rsidRPr="00D83B29" w:rsidRDefault="00000000" w:rsidP="00D83B29">
      <w:pPr>
        <w:pStyle w:val="ListBullet"/>
        <w:spacing w:after="40"/>
        <w:ind w:left="288" w:hanging="173"/>
        <w:jc w:val="both"/>
        <w:rPr>
          <w:rFonts w:ascii="Times New Roman" w:hAnsi="Times New Roman" w:cs="Times New Roman"/>
          <w:sz w:val="22"/>
        </w:rPr>
      </w:pPr>
      <w:r w:rsidRPr="00D83B29">
        <w:rPr>
          <w:rFonts w:ascii="Times New Roman" w:hAnsi="Times New Roman" w:cs="Times New Roman"/>
          <w:sz w:val="22"/>
        </w:rPr>
        <w:t>Integrate the four acquisition workstreams into one executable pipeline and confirm clear module ownership.</w:t>
      </w:r>
    </w:p>
    <w:p w14:paraId="16EAB5BA" w14:textId="77777777" w:rsidR="00135211" w:rsidRPr="00D83B29" w:rsidRDefault="00000000" w:rsidP="00D83B29">
      <w:pPr>
        <w:pStyle w:val="ListBullet"/>
        <w:spacing w:after="40"/>
        <w:ind w:left="288" w:hanging="173"/>
        <w:jc w:val="both"/>
        <w:rPr>
          <w:rFonts w:ascii="Times New Roman" w:hAnsi="Times New Roman" w:cs="Times New Roman"/>
          <w:sz w:val="22"/>
        </w:rPr>
      </w:pPr>
      <w:r w:rsidRPr="00D83B29">
        <w:rPr>
          <w:rFonts w:ascii="Times New Roman" w:hAnsi="Times New Roman" w:cs="Times New Roman"/>
          <w:sz w:val="22"/>
        </w:rPr>
        <w:t>Run the full acquisition pipeline and verify market outputs against AEMO/WEM sources and non-market features against their appropriate provider references.</w:t>
      </w:r>
    </w:p>
    <w:p w14:paraId="454A6F9F" w14:textId="77777777" w:rsidR="00135211" w:rsidRPr="00D83B29" w:rsidRDefault="00000000" w:rsidP="00D83B29">
      <w:pPr>
        <w:pStyle w:val="ListBullet"/>
        <w:spacing w:after="40"/>
        <w:ind w:left="288" w:hanging="173"/>
        <w:jc w:val="both"/>
        <w:rPr>
          <w:rFonts w:ascii="Times New Roman" w:hAnsi="Times New Roman" w:cs="Times New Roman"/>
          <w:sz w:val="22"/>
        </w:rPr>
      </w:pPr>
      <w:r w:rsidRPr="00D83B29">
        <w:rPr>
          <w:rFonts w:ascii="Times New Roman" w:hAnsi="Times New Roman" w:cs="Times New Roman"/>
          <w:sz w:val="22"/>
        </w:rPr>
        <w:t>Confirm the final raw-data folder structure and reproducibility controls.</w:t>
      </w:r>
    </w:p>
    <w:p w14:paraId="53A8F270" w14:textId="77777777" w:rsidR="00135211" w:rsidRPr="00D83B29" w:rsidRDefault="00000000" w:rsidP="00D83B29">
      <w:pPr>
        <w:pStyle w:val="ListBullet"/>
        <w:spacing w:after="40"/>
        <w:ind w:left="288" w:hanging="173"/>
        <w:jc w:val="both"/>
        <w:rPr>
          <w:rFonts w:ascii="Times New Roman" w:hAnsi="Times New Roman" w:cs="Times New Roman"/>
          <w:sz w:val="22"/>
        </w:rPr>
      </w:pPr>
      <w:r w:rsidRPr="00D83B29">
        <w:rPr>
          <w:rFonts w:ascii="Times New Roman" w:hAnsi="Times New Roman" w:cs="Times New Roman"/>
          <w:sz w:val="22"/>
        </w:rPr>
        <w:t>Close WP1 Data Acquisition and agree the exact scope of WP2 preprocessing work.</w:t>
      </w:r>
    </w:p>
    <w:p w14:paraId="13699E10" w14:textId="77777777" w:rsidR="00135211" w:rsidRPr="00D83B29" w:rsidRDefault="00000000" w:rsidP="00D83B29">
      <w:pPr>
        <w:pStyle w:val="ListBullet"/>
        <w:spacing w:after="40"/>
        <w:ind w:left="288" w:hanging="173"/>
        <w:jc w:val="both"/>
        <w:rPr>
          <w:rFonts w:ascii="Times New Roman" w:hAnsi="Times New Roman" w:cs="Times New Roman"/>
          <w:sz w:val="22"/>
        </w:rPr>
      </w:pPr>
      <w:r w:rsidRPr="00D83B29">
        <w:rPr>
          <w:rFonts w:ascii="Times New Roman" w:hAnsi="Times New Roman" w:cs="Times New Roman"/>
          <w:sz w:val="22"/>
        </w:rPr>
        <w:t>Allocate preprocessing responsibilities and define evidence to be brought to the 30 August review meeting.</w:t>
      </w:r>
    </w:p>
    <w:p w14:paraId="55E18A74" w14:textId="77777777" w:rsidR="00135211" w:rsidRPr="00D83B29" w:rsidRDefault="00000000" w:rsidP="00D83B29">
      <w:pPr>
        <w:pStyle w:val="Heading1"/>
        <w:jc w:val="both"/>
        <w:rPr>
          <w:rFonts w:ascii="Times New Roman" w:hAnsi="Times New Roman" w:cs="Times New Roman"/>
          <w:sz w:val="22"/>
          <w:szCs w:val="22"/>
        </w:rPr>
      </w:pPr>
      <w:r w:rsidRPr="00D83B29">
        <w:rPr>
          <w:rFonts w:ascii="Times New Roman" w:hAnsi="Times New Roman" w:cs="Times New Roman"/>
          <w:sz w:val="22"/>
          <w:szCs w:val="22"/>
        </w:rPr>
        <w:t>2. Review of 19 August Actions</w:t>
      </w:r>
    </w:p>
    <w:tbl>
      <w:tblPr>
        <w:tblStyle w:val="TableGrid"/>
        <w:tblW w:w="0" w:type="auto"/>
        <w:jc w:val="center"/>
        <w:tblLayout w:type="fixed"/>
        <w:tblLook w:val="04A0" w:firstRow="1" w:lastRow="0" w:firstColumn="1" w:lastColumn="0" w:noHBand="0" w:noVBand="1"/>
      </w:tblPr>
      <w:tblGrid>
        <w:gridCol w:w="648"/>
        <w:gridCol w:w="3528"/>
        <w:gridCol w:w="1080"/>
        <w:gridCol w:w="1224"/>
        <w:gridCol w:w="4104"/>
      </w:tblGrid>
      <w:tr w:rsidR="00135211" w:rsidRPr="00D83B29" w14:paraId="02CA6D7E" w14:textId="77777777">
        <w:trPr>
          <w:tblHeader/>
          <w:jc w:val="center"/>
        </w:trPr>
        <w:tc>
          <w:tcPr>
            <w:tcW w:w="648" w:type="dxa"/>
            <w:shd w:val="clear" w:color="auto" w:fill="17365D"/>
            <w:vAlign w:val="center"/>
          </w:tcPr>
          <w:p w14:paraId="48895849"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b/>
                <w:color w:val="FFFFFF"/>
                <w:sz w:val="22"/>
              </w:rPr>
              <w:t>ID</w:t>
            </w:r>
          </w:p>
        </w:tc>
        <w:tc>
          <w:tcPr>
            <w:tcW w:w="3528" w:type="dxa"/>
            <w:shd w:val="clear" w:color="auto" w:fill="17365D"/>
            <w:vAlign w:val="center"/>
          </w:tcPr>
          <w:p w14:paraId="580CC1AF"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b/>
                <w:color w:val="FFFFFF"/>
                <w:sz w:val="22"/>
              </w:rPr>
              <w:t>Action</w:t>
            </w:r>
          </w:p>
        </w:tc>
        <w:tc>
          <w:tcPr>
            <w:tcW w:w="1080" w:type="dxa"/>
            <w:shd w:val="clear" w:color="auto" w:fill="17365D"/>
            <w:vAlign w:val="center"/>
          </w:tcPr>
          <w:p w14:paraId="7C6F3641"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b/>
                <w:color w:val="FFFFFF"/>
                <w:sz w:val="22"/>
              </w:rPr>
              <w:t>Owner</w:t>
            </w:r>
          </w:p>
        </w:tc>
        <w:tc>
          <w:tcPr>
            <w:tcW w:w="1224" w:type="dxa"/>
            <w:shd w:val="clear" w:color="auto" w:fill="17365D"/>
            <w:vAlign w:val="center"/>
          </w:tcPr>
          <w:p w14:paraId="51815A17"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b/>
                <w:color w:val="FFFFFF"/>
                <w:sz w:val="22"/>
              </w:rPr>
              <w:t>Status</w:t>
            </w:r>
          </w:p>
        </w:tc>
        <w:tc>
          <w:tcPr>
            <w:tcW w:w="4104" w:type="dxa"/>
            <w:shd w:val="clear" w:color="auto" w:fill="17365D"/>
            <w:vAlign w:val="center"/>
          </w:tcPr>
          <w:p w14:paraId="6A6A1592"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b/>
                <w:color w:val="FFFFFF"/>
                <w:sz w:val="22"/>
              </w:rPr>
              <w:t>Outcome reviewed on 23 Aug</w:t>
            </w:r>
          </w:p>
        </w:tc>
      </w:tr>
      <w:tr w:rsidR="00135211" w:rsidRPr="00D83B29" w14:paraId="54B263C4" w14:textId="77777777">
        <w:trPr>
          <w:jc w:val="center"/>
        </w:trPr>
        <w:tc>
          <w:tcPr>
            <w:tcW w:w="648" w:type="dxa"/>
            <w:vAlign w:val="center"/>
          </w:tcPr>
          <w:p w14:paraId="2AD71A05"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A1</w:t>
            </w:r>
          </w:p>
        </w:tc>
        <w:tc>
          <w:tcPr>
            <w:tcW w:w="3528" w:type="dxa"/>
            <w:vAlign w:val="center"/>
          </w:tcPr>
          <w:p w14:paraId="190E01D8"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Freeze shared schema and common helper interface</w:t>
            </w:r>
          </w:p>
        </w:tc>
        <w:tc>
          <w:tcPr>
            <w:tcW w:w="1080" w:type="dxa"/>
            <w:vAlign w:val="center"/>
          </w:tcPr>
          <w:p w14:paraId="496985A6"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All</w:t>
            </w:r>
          </w:p>
        </w:tc>
        <w:tc>
          <w:tcPr>
            <w:tcW w:w="1224" w:type="dxa"/>
            <w:vAlign w:val="center"/>
          </w:tcPr>
          <w:p w14:paraId="70390466"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Completed</w:t>
            </w:r>
          </w:p>
        </w:tc>
        <w:tc>
          <w:tcPr>
            <w:tcW w:w="4104" w:type="dxa"/>
            <w:vAlign w:val="center"/>
          </w:tcPr>
          <w:p w14:paraId="566AA7C0"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A common contract was used across the four acquisition workstreams, enabling integration without redesigning the source-specific logic.</w:t>
            </w:r>
          </w:p>
        </w:tc>
      </w:tr>
      <w:tr w:rsidR="00135211" w:rsidRPr="00D83B29" w14:paraId="6D863509" w14:textId="77777777">
        <w:trPr>
          <w:jc w:val="center"/>
        </w:trPr>
        <w:tc>
          <w:tcPr>
            <w:tcW w:w="648" w:type="dxa"/>
            <w:shd w:val="clear" w:color="auto" w:fill="F2F2F2"/>
            <w:vAlign w:val="center"/>
          </w:tcPr>
          <w:p w14:paraId="5AAA2913"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A2</w:t>
            </w:r>
          </w:p>
        </w:tc>
        <w:tc>
          <w:tcPr>
            <w:tcW w:w="3528" w:type="dxa"/>
            <w:shd w:val="clear" w:color="auto" w:fill="F2F2F2"/>
            <w:vAlign w:val="center"/>
          </w:tcPr>
          <w:p w14:paraId="4CF693B2"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Confirm NEM archive coverage through the current month</w:t>
            </w:r>
          </w:p>
        </w:tc>
        <w:tc>
          <w:tcPr>
            <w:tcW w:w="1080" w:type="dxa"/>
            <w:shd w:val="clear" w:color="auto" w:fill="F2F2F2"/>
            <w:vAlign w:val="center"/>
          </w:tcPr>
          <w:p w14:paraId="2A8CECAE"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Suraj</w:t>
            </w:r>
          </w:p>
        </w:tc>
        <w:tc>
          <w:tcPr>
            <w:tcW w:w="1224" w:type="dxa"/>
            <w:shd w:val="clear" w:color="auto" w:fill="F2F2F2"/>
            <w:vAlign w:val="center"/>
          </w:tcPr>
          <w:p w14:paraId="7B60A0F4"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Completed</w:t>
            </w:r>
          </w:p>
        </w:tc>
        <w:tc>
          <w:tcPr>
            <w:tcW w:w="4104" w:type="dxa"/>
            <w:shd w:val="clear" w:color="auto" w:fill="F2F2F2"/>
            <w:vAlign w:val="center"/>
          </w:tcPr>
          <w:p w14:paraId="450BB75D"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Current-month archive data was confirmed to be published and growing, so dispatch does not need to be stitched onto historical demand.</w:t>
            </w:r>
          </w:p>
        </w:tc>
      </w:tr>
      <w:tr w:rsidR="00135211" w:rsidRPr="00D83B29" w14:paraId="29374A7C" w14:textId="77777777">
        <w:trPr>
          <w:jc w:val="center"/>
        </w:trPr>
        <w:tc>
          <w:tcPr>
            <w:tcW w:w="648" w:type="dxa"/>
            <w:vAlign w:val="center"/>
          </w:tcPr>
          <w:p w14:paraId="50AD9AB2"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A3</w:t>
            </w:r>
          </w:p>
        </w:tc>
        <w:tc>
          <w:tcPr>
            <w:tcW w:w="3528" w:type="dxa"/>
            <w:vAlign w:val="center"/>
          </w:tcPr>
          <w:p w14:paraId="2F148564"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Resolve WA 2022 access and post-cutover source route</w:t>
            </w:r>
          </w:p>
        </w:tc>
        <w:tc>
          <w:tcPr>
            <w:tcW w:w="1080" w:type="dxa"/>
            <w:vAlign w:val="center"/>
          </w:tcPr>
          <w:p w14:paraId="414E284B"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Sudip</w:t>
            </w:r>
          </w:p>
        </w:tc>
        <w:tc>
          <w:tcPr>
            <w:tcW w:w="1224" w:type="dxa"/>
            <w:vAlign w:val="center"/>
          </w:tcPr>
          <w:p w14:paraId="6E6C8C5A"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Completed</w:t>
            </w:r>
          </w:p>
        </w:tc>
        <w:tc>
          <w:tcPr>
            <w:tcW w:w="4104" w:type="dxa"/>
            <w:vAlign w:val="center"/>
          </w:tcPr>
          <w:p w14:paraId="555140FF"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Legacy, current-market and daily WEM sources were identified and integrated around the 1 Oct 2023 cutover.</w:t>
            </w:r>
          </w:p>
        </w:tc>
      </w:tr>
      <w:tr w:rsidR="00135211" w:rsidRPr="00D83B29" w14:paraId="3482F7CE" w14:textId="77777777">
        <w:trPr>
          <w:jc w:val="center"/>
        </w:trPr>
        <w:tc>
          <w:tcPr>
            <w:tcW w:w="648" w:type="dxa"/>
            <w:shd w:val="clear" w:color="auto" w:fill="F2F2F2"/>
            <w:vAlign w:val="center"/>
          </w:tcPr>
          <w:p w14:paraId="49313457"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A4</w:t>
            </w:r>
          </w:p>
        </w:tc>
        <w:tc>
          <w:tcPr>
            <w:tcW w:w="3528" w:type="dxa"/>
            <w:shd w:val="clear" w:color="auto" w:fill="F2F2F2"/>
            <w:vAlign w:val="center"/>
          </w:tcPr>
          <w:p w14:paraId="7FB1B768"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Verify dispatch/pre-dispatch ACTUAL/FORECAST behaviour</w:t>
            </w:r>
          </w:p>
        </w:tc>
        <w:tc>
          <w:tcPr>
            <w:tcW w:w="1080" w:type="dxa"/>
            <w:shd w:val="clear" w:color="auto" w:fill="F2F2F2"/>
            <w:vAlign w:val="center"/>
          </w:tcPr>
          <w:p w14:paraId="5FD60DC3"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Ashish</w:t>
            </w:r>
          </w:p>
        </w:tc>
        <w:tc>
          <w:tcPr>
            <w:tcW w:w="1224" w:type="dxa"/>
            <w:shd w:val="clear" w:color="auto" w:fill="F2F2F2"/>
            <w:vAlign w:val="center"/>
          </w:tcPr>
          <w:p w14:paraId="31DACAC8"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Completed</w:t>
            </w:r>
          </w:p>
        </w:tc>
        <w:tc>
          <w:tcPr>
            <w:tcW w:w="4104" w:type="dxa"/>
            <w:shd w:val="clear" w:color="auto" w:fill="F2F2F2"/>
            <w:vAlign w:val="center"/>
          </w:tcPr>
          <w:p w14:paraId="31A22570"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Both views contain mixed PERIODTYPE values; they remain separate to avoid confusion and leakage risk.</w:t>
            </w:r>
          </w:p>
        </w:tc>
      </w:tr>
      <w:tr w:rsidR="00135211" w:rsidRPr="00D83B29" w14:paraId="21A5C727" w14:textId="77777777">
        <w:trPr>
          <w:jc w:val="center"/>
        </w:trPr>
        <w:tc>
          <w:tcPr>
            <w:tcW w:w="648" w:type="dxa"/>
            <w:vAlign w:val="center"/>
          </w:tcPr>
          <w:p w14:paraId="1F696391"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A5</w:t>
            </w:r>
          </w:p>
        </w:tc>
        <w:tc>
          <w:tcPr>
            <w:tcW w:w="3528" w:type="dxa"/>
            <w:vAlign w:val="center"/>
          </w:tcPr>
          <w:p w14:paraId="291D8154"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Create repeatable output validation checks</w:t>
            </w:r>
          </w:p>
        </w:tc>
        <w:tc>
          <w:tcPr>
            <w:tcW w:w="1080" w:type="dxa"/>
            <w:vAlign w:val="center"/>
          </w:tcPr>
          <w:p w14:paraId="6BF72A36"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Bishal</w:t>
            </w:r>
          </w:p>
        </w:tc>
        <w:tc>
          <w:tcPr>
            <w:tcW w:w="1224" w:type="dxa"/>
            <w:vAlign w:val="center"/>
          </w:tcPr>
          <w:p w14:paraId="041B4A63"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Completed</w:t>
            </w:r>
          </w:p>
        </w:tc>
        <w:tc>
          <w:tcPr>
            <w:tcW w:w="4104" w:type="dxa"/>
            <w:vAlign w:val="center"/>
          </w:tcPr>
          <w:p w14:paraId="260179AE"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 xml:space="preserve">Validation checks were run on produced files and validation_report.csv was </w:t>
            </w:r>
            <w:r w:rsidRPr="00D83B29">
              <w:rPr>
                <w:rFonts w:ascii="Times New Roman" w:hAnsi="Times New Roman" w:cs="Times New Roman"/>
                <w:sz w:val="22"/>
              </w:rPr>
              <w:lastRenderedPageBreak/>
              <w:t>confirmed as a repeatable quality-control artefact.</w:t>
            </w:r>
          </w:p>
        </w:tc>
      </w:tr>
      <w:tr w:rsidR="00135211" w:rsidRPr="00D83B29" w14:paraId="64373E5C" w14:textId="77777777">
        <w:trPr>
          <w:jc w:val="center"/>
        </w:trPr>
        <w:tc>
          <w:tcPr>
            <w:tcW w:w="648" w:type="dxa"/>
            <w:shd w:val="clear" w:color="auto" w:fill="F2F2F2"/>
            <w:vAlign w:val="center"/>
          </w:tcPr>
          <w:p w14:paraId="6FD5ECD2"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lastRenderedPageBreak/>
              <w:t>A6</w:t>
            </w:r>
          </w:p>
        </w:tc>
        <w:tc>
          <w:tcPr>
            <w:tcW w:w="3528" w:type="dxa"/>
            <w:shd w:val="clear" w:color="auto" w:fill="F2F2F2"/>
            <w:vAlign w:val="center"/>
          </w:tcPr>
          <w:p w14:paraId="7CEB2354"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Document NT scope change</w:t>
            </w:r>
          </w:p>
        </w:tc>
        <w:tc>
          <w:tcPr>
            <w:tcW w:w="1080" w:type="dxa"/>
            <w:shd w:val="clear" w:color="auto" w:fill="F2F2F2"/>
            <w:vAlign w:val="center"/>
          </w:tcPr>
          <w:p w14:paraId="63B75535"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Bishal</w:t>
            </w:r>
          </w:p>
        </w:tc>
        <w:tc>
          <w:tcPr>
            <w:tcW w:w="1224" w:type="dxa"/>
            <w:shd w:val="clear" w:color="auto" w:fill="F2F2F2"/>
            <w:vAlign w:val="center"/>
          </w:tcPr>
          <w:p w14:paraId="0B4CD0A9"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Completed</w:t>
            </w:r>
          </w:p>
        </w:tc>
        <w:tc>
          <w:tcPr>
            <w:tcW w:w="4104" w:type="dxa"/>
            <w:shd w:val="clear" w:color="auto" w:fill="F2F2F2"/>
            <w:vAlign w:val="center"/>
          </w:tcPr>
          <w:p w14:paraId="1CEDA748"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NT remains feature-only in the current design; no NT demand file is expected.</w:t>
            </w:r>
          </w:p>
        </w:tc>
      </w:tr>
      <w:tr w:rsidR="00135211" w:rsidRPr="00D83B29" w14:paraId="67E54CDB" w14:textId="77777777">
        <w:trPr>
          <w:jc w:val="center"/>
        </w:trPr>
        <w:tc>
          <w:tcPr>
            <w:tcW w:w="648" w:type="dxa"/>
            <w:vAlign w:val="center"/>
          </w:tcPr>
          <w:p w14:paraId="36603B05"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A7</w:t>
            </w:r>
          </w:p>
        </w:tc>
        <w:tc>
          <w:tcPr>
            <w:tcW w:w="3528" w:type="dxa"/>
            <w:vAlign w:val="center"/>
          </w:tcPr>
          <w:p w14:paraId="24C5025D"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Bring reviewed acquisition workstreams for integration</w:t>
            </w:r>
          </w:p>
        </w:tc>
        <w:tc>
          <w:tcPr>
            <w:tcW w:w="1080" w:type="dxa"/>
            <w:vAlign w:val="center"/>
          </w:tcPr>
          <w:p w14:paraId="34F87191"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All</w:t>
            </w:r>
          </w:p>
        </w:tc>
        <w:tc>
          <w:tcPr>
            <w:tcW w:w="1224" w:type="dxa"/>
            <w:vAlign w:val="center"/>
          </w:tcPr>
          <w:p w14:paraId="3A29A1F7"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Completed</w:t>
            </w:r>
          </w:p>
        </w:tc>
        <w:tc>
          <w:tcPr>
            <w:tcW w:w="4104" w:type="dxa"/>
            <w:vAlign w:val="center"/>
          </w:tcPr>
          <w:p w14:paraId="6A3755D9"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The source-specific components were combined into one running acquisition script during the meeting.</w:t>
            </w:r>
          </w:p>
        </w:tc>
      </w:tr>
    </w:tbl>
    <w:p w14:paraId="62C26465" w14:textId="77777777" w:rsidR="00135211" w:rsidRPr="00D83B29" w:rsidRDefault="00135211" w:rsidP="00D83B29">
      <w:pPr>
        <w:spacing w:after="20"/>
        <w:jc w:val="both"/>
        <w:rPr>
          <w:rFonts w:ascii="Times New Roman" w:hAnsi="Times New Roman" w:cs="Times New Roman"/>
          <w:sz w:val="22"/>
        </w:rPr>
      </w:pPr>
    </w:p>
    <w:p w14:paraId="569253AD" w14:textId="77777777" w:rsidR="00135211" w:rsidRPr="00D83B29" w:rsidRDefault="00000000" w:rsidP="00D83B29">
      <w:pPr>
        <w:pStyle w:val="Heading1"/>
        <w:jc w:val="both"/>
        <w:rPr>
          <w:rFonts w:ascii="Times New Roman" w:hAnsi="Times New Roman" w:cs="Times New Roman"/>
          <w:sz w:val="22"/>
          <w:szCs w:val="22"/>
        </w:rPr>
      </w:pPr>
      <w:r w:rsidRPr="00D83B29">
        <w:rPr>
          <w:rFonts w:ascii="Times New Roman" w:hAnsi="Times New Roman" w:cs="Times New Roman"/>
          <w:sz w:val="22"/>
          <w:szCs w:val="22"/>
        </w:rPr>
        <w:t>3. Data Acquisition Completion: Four Workstreams → One Running Script</w:t>
      </w:r>
    </w:p>
    <w:p w14:paraId="46A0FDA5" w14:textId="77777777" w:rsidR="00135211" w:rsidRPr="00D83B29" w:rsidRDefault="00000000" w:rsidP="00D83B29">
      <w:pPr>
        <w:jc w:val="both"/>
        <w:rPr>
          <w:rFonts w:ascii="Times New Roman" w:hAnsi="Times New Roman" w:cs="Times New Roman"/>
          <w:sz w:val="22"/>
        </w:rPr>
      </w:pPr>
      <w:r w:rsidRPr="00D83B29">
        <w:rPr>
          <w:rFonts w:ascii="Times New Roman" w:hAnsi="Times New Roman" w:cs="Times New Roman"/>
          <w:sz w:val="22"/>
        </w:rPr>
        <w:t>The central technical objective of the meeting was to convert the separately developed source-handling work into a single reproducible acquisition pipeline. The group retained source-specific logic within clear workstreams, but integrated execution, configuration, folder creation, logging and error isolation into one entry point. This allowed the whole raw-data layer to be rebuilt from code rather than by manual downloads or spreadsheet editing.</w:t>
      </w:r>
    </w:p>
    <w:tbl>
      <w:tblPr>
        <w:tblStyle w:val="TableGrid"/>
        <w:tblW w:w="0" w:type="auto"/>
        <w:jc w:val="center"/>
        <w:tblLayout w:type="fixed"/>
        <w:tblLook w:val="04A0" w:firstRow="1" w:lastRow="0" w:firstColumn="1" w:lastColumn="0" w:noHBand="0" w:noVBand="1"/>
      </w:tblPr>
      <w:tblGrid>
        <w:gridCol w:w="2520"/>
        <w:gridCol w:w="5472"/>
        <w:gridCol w:w="3024"/>
      </w:tblGrid>
      <w:tr w:rsidR="00135211" w:rsidRPr="00D83B29" w14:paraId="1B2B5CFC" w14:textId="77777777">
        <w:trPr>
          <w:tblHeader/>
          <w:jc w:val="center"/>
        </w:trPr>
        <w:tc>
          <w:tcPr>
            <w:tcW w:w="2520" w:type="dxa"/>
            <w:shd w:val="clear" w:color="auto" w:fill="17365D"/>
            <w:vAlign w:val="center"/>
          </w:tcPr>
          <w:p w14:paraId="292F8F11"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b/>
                <w:color w:val="FFFFFF"/>
                <w:sz w:val="22"/>
              </w:rPr>
              <w:t>Workstream / owner</w:t>
            </w:r>
          </w:p>
        </w:tc>
        <w:tc>
          <w:tcPr>
            <w:tcW w:w="5472" w:type="dxa"/>
            <w:shd w:val="clear" w:color="auto" w:fill="17365D"/>
            <w:vAlign w:val="center"/>
          </w:tcPr>
          <w:p w14:paraId="209036C6"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b/>
                <w:color w:val="FFFFFF"/>
                <w:sz w:val="22"/>
              </w:rPr>
              <w:t>Technical responsibility brought into integration</w:t>
            </w:r>
          </w:p>
        </w:tc>
        <w:tc>
          <w:tcPr>
            <w:tcW w:w="3024" w:type="dxa"/>
            <w:shd w:val="clear" w:color="auto" w:fill="17365D"/>
            <w:vAlign w:val="center"/>
          </w:tcPr>
          <w:p w14:paraId="57921B3A"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b/>
                <w:color w:val="FFFFFF"/>
                <w:sz w:val="22"/>
              </w:rPr>
              <w:t>Integrated output</w:t>
            </w:r>
          </w:p>
        </w:tc>
      </w:tr>
      <w:tr w:rsidR="00135211" w:rsidRPr="00D83B29" w14:paraId="5947F31F" w14:textId="77777777">
        <w:trPr>
          <w:jc w:val="center"/>
        </w:trPr>
        <w:tc>
          <w:tcPr>
            <w:tcW w:w="2520" w:type="dxa"/>
            <w:vAlign w:val="center"/>
          </w:tcPr>
          <w:p w14:paraId="699AEC03"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Suraj Raut — Data Engineering Lead</w:t>
            </w:r>
          </w:p>
        </w:tc>
        <w:tc>
          <w:tcPr>
            <w:tcW w:w="5472" w:type="dxa"/>
            <w:vAlign w:val="center"/>
          </w:tcPr>
          <w:p w14:paraId="775D1F54"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NEM monthly archive retrieval for NSW1, QLD1, VIC1, SA1 and TAS1; preserved provider columns/timestamp text; archive sorting and duplicate protection.</w:t>
            </w:r>
          </w:p>
        </w:tc>
        <w:tc>
          <w:tcPr>
            <w:tcW w:w="3024" w:type="dxa"/>
            <w:vAlign w:val="center"/>
          </w:tcPr>
          <w:p w14:paraId="4A87DD77"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price_and_demand/price_and_demand_&lt;REGION&gt;.csv</w:t>
            </w:r>
          </w:p>
        </w:tc>
      </w:tr>
      <w:tr w:rsidR="00135211" w:rsidRPr="00D83B29" w14:paraId="7EAD8D09" w14:textId="77777777">
        <w:trPr>
          <w:jc w:val="center"/>
        </w:trPr>
        <w:tc>
          <w:tcPr>
            <w:tcW w:w="2520" w:type="dxa"/>
            <w:shd w:val="clear" w:color="auto" w:fill="F2F2F2"/>
            <w:vAlign w:val="center"/>
          </w:tcPr>
          <w:p w14:paraId="3846E4BF"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Sudip Lamichhane — Data Acquisition &amp; Correction Handling Lead</w:t>
            </w:r>
          </w:p>
        </w:tc>
        <w:tc>
          <w:tcPr>
            <w:tcW w:w="5472" w:type="dxa"/>
            <w:shd w:val="clear" w:color="auto" w:fill="F2F2F2"/>
            <w:vAlign w:val="center"/>
          </w:tcPr>
          <w:p w14:paraId="12C2503A"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WA operational demand across legacy 30-minute and modern 5-minute WEM sources; daily tail top-up; source precedence; MarketRequirements-2026 file.</w:t>
            </w:r>
          </w:p>
        </w:tc>
        <w:tc>
          <w:tcPr>
            <w:tcW w:w="3024" w:type="dxa"/>
            <w:shd w:val="clear" w:color="auto" w:fill="F2F2F2"/>
            <w:vAlign w:val="center"/>
          </w:tcPr>
          <w:p w14:paraId="438C7692"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price_and_demand/WA_demand_2022_2026.csv; energy_requirement/MarketRequirements-2026.csv</w:t>
            </w:r>
          </w:p>
        </w:tc>
      </w:tr>
      <w:tr w:rsidR="00135211" w:rsidRPr="00D83B29" w14:paraId="71EBB916" w14:textId="77777777">
        <w:trPr>
          <w:jc w:val="center"/>
        </w:trPr>
        <w:tc>
          <w:tcPr>
            <w:tcW w:w="2520" w:type="dxa"/>
            <w:vAlign w:val="center"/>
          </w:tcPr>
          <w:p w14:paraId="630895D7"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Ashish Shrestha — Forecasting Lead</w:t>
            </w:r>
          </w:p>
        </w:tc>
        <w:tc>
          <w:tcPr>
            <w:tcW w:w="5472" w:type="dxa"/>
            <w:vAlign w:val="center"/>
          </w:tcPr>
          <w:p w14:paraId="5B6957CF"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AEMO dashboard dispatch and pre-dispatch snapshots; PERIODTYPE inspection; separation of current-state data and AEMO forecast views; step-level fault isolation.</w:t>
            </w:r>
          </w:p>
        </w:tc>
        <w:tc>
          <w:tcPr>
            <w:tcW w:w="3024" w:type="dxa"/>
            <w:vAlign w:val="center"/>
          </w:tcPr>
          <w:p w14:paraId="735A7FF4"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dispatch/*.csv; predispatch/*.csv; optional timestamped snapshots</w:t>
            </w:r>
          </w:p>
        </w:tc>
      </w:tr>
      <w:tr w:rsidR="00135211" w:rsidRPr="00D83B29" w14:paraId="5FAE87D5" w14:textId="77777777">
        <w:trPr>
          <w:jc w:val="center"/>
        </w:trPr>
        <w:tc>
          <w:tcPr>
            <w:tcW w:w="2520" w:type="dxa"/>
            <w:shd w:val="clear" w:color="auto" w:fill="F2F2F2"/>
            <w:vAlign w:val="center"/>
          </w:tcPr>
          <w:p w14:paraId="7B286E29"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Bishal Dahal — Verification &amp; Dashboard Lead</w:t>
            </w:r>
          </w:p>
        </w:tc>
        <w:tc>
          <w:tcPr>
            <w:tcW w:w="5472" w:type="dxa"/>
            <w:shd w:val="clear" w:color="auto" w:fill="F2F2F2"/>
            <w:vAlign w:val="center"/>
          </w:tcPr>
          <w:p w14:paraId="59170DC2"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BOM/weather and state-specific public holiday acquisition; validation routines for written outputs, coverage, duplicate timestamps, gaps and WA interval change.</w:t>
            </w:r>
          </w:p>
        </w:tc>
        <w:tc>
          <w:tcPr>
            <w:tcW w:w="3024" w:type="dxa"/>
            <w:shd w:val="clear" w:color="auto" w:fill="F2F2F2"/>
            <w:vAlign w:val="center"/>
          </w:tcPr>
          <w:p w14:paraId="6477B6D9"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bom_weather/; public_holidays/; validation_report.csv</w:t>
            </w:r>
          </w:p>
        </w:tc>
      </w:tr>
      <w:tr w:rsidR="00135211" w:rsidRPr="00D83B29" w14:paraId="590EA519" w14:textId="77777777">
        <w:trPr>
          <w:jc w:val="center"/>
        </w:trPr>
        <w:tc>
          <w:tcPr>
            <w:tcW w:w="2520" w:type="dxa"/>
            <w:vAlign w:val="center"/>
          </w:tcPr>
          <w:p w14:paraId="459DF0E3"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Dan6: Theme 2 — collaborative integration</w:t>
            </w:r>
          </w:p>
        </w:tc>
        <w:tc>
          <w:tcPr>
            <w:tcW w:w="5472" w:type="dxa"/>
            <w:vAlign w:val="center"/>
          </w:tcPr>
          <w:p w14:paraId="572F0DA1"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Shared configuration, output directory creation, CLI options, execution order, logging, error boundaries and DATA_NOTES documentation.</w:t>
            </w:r>
          </w:p>
        </w:tc>
        <w:tc>
          <w:tcPr>
            <w:tcW w:w="3024" w:type="dxa"/>
            <w:vAlign w:val="center"/>
          </w:tcPr>
          <w:p w14:paraId="432AB92C"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Data_Acquisition final.py — single executable acquisition pipeline</w:t>
            </w:r>
          </w:p>
        </w:tc>
      </w:tr>
    </w:tbl>
    <w:p w14:paraId="21E0A14D" w14:textId="77777777" w:rsidR="00135211" w:rsidRPr="00D83B29" w:rsidRDefault="00135211" w:rsidP="00D83B29">
      <w:pPr>
        <w:spacing w:after="20"/>
        <w:jc w:val="both"/>
        <w:rPr>
          <w:rFonts w:ascii="Times New Roman" w:hAnsi="Times New Roman" w:cs="Times New Roman"/>
          <w:sz w:val="22"/>
        </w:rPr>
      </w:pPr>
    </w:p>
    <w:tbl>
      <w:tblPr>
        <w:tblStyle w:val="TableGrid"/>
        <w:tblW w:w="0" w:type="auto"/>
        <w:jc w:val="center"/>
        <w:tblLook w:val="04A0" w:firstRow="1" w:lastRow="0" w:firstColumn="1" w:lastColumn="0" w:noHBand="0" w:noVBand="1"/>
      </w:tblPr>
      <w:tblGrid>
        <w:gridCol w:w="10444"/>
      </w:tblGrid>
      <w:tr w:rsidR="00135211" w:rsidRPr="00D83B29" w14:paraId="2DD60C79" w14:textId="77777777">
        <w:trPr>
          <w:jc w:val="center"/>
        </w:trPr>
        <w:tc>
          <w:tcPr>
            <w:tcW w:w="10454" w:type="dxa"/>
            <w:shd w:val="clear" w:color="auto" w:fill="E2F0D9"/>
          </w:tcPr>
          <w:p w14:paraId="4198CC0F" w14:textId="77777777" w:rsidR="00135211" w:rsidRPr="00D83B29" w:rsidRDefault="00000000" w:rsidP="00D83B29">
            <w:pPr>
              <w:spacing w:after="40"/>
              <w:jc w:val="both"/>
              <w:rPr>
                <w:rFonts w:ascii="Times New Roman" w:hAnsi="Times New Roman" w:cs="Times New Roman"/>
                <w:sz w:val="22"/>
              </w:rPr>
            </w:pPr>
            <w:r w:rsidRPr="00D83B29">
              <w:rPr>
                <w:rFonts w:ascii="Times New Roman" w:hAnsi="Times New Roman" w:cs="Times New Roman"/>
                <w:b/>
                <w:color w:val="17365D"/>
                <w:sz w:val="22"/>
              </w:rPr>
              <w:t>Accepted acquisition architecture</w:t>
            </w:r>
          </w:p>
          <w:p w14:paraId="1DD9210F"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External source systems → source-specific acquisition logic → collaborative integration/orchestration → source-aligned raw folders → validation report. The acquisition layer preserves source evidence; transformations such as resampling, imputation, time-zone alignment and feature engineering are deferred to WP2 preprocessing.</w:t>
            </w:r>
          </w:p>
        </w:tc>
      </w:tr>
    </w:tbl>
    <w:p w14:paraId="07A95780" w14:textId="77777777" w:rsidR="00135211" w:rsidRPr="00D83B29" w:rsidRDefault="00135211" w:rsidP="00D83B29">
      <w:pPr>
        <w:spacing w:after="0"/>
        <w:jc w:val="both"/>
        <w:rPr>
          <w:rFonts w:ascii="Times New Roman" w:hAnsi="Times New Roman" w:cs="Times New Roman"/>
          <w:sz w:val="22"/>
        </w:rPr>
      </w:pPr>
    </w:p>
    <w:p w14:paraId="068E7F4D" w14:textId="77777777" w:rsidR="00135211" w:rsidRPr="00D83B29" w:rsidRDefault="00000000" w:rsidP="00D83B29">
      <w:pPr>
        <w:pStyle w:val="Heading1"/>
        <w:jc w:val="both"/>
        <w:rPr>
          <w:rFonts w:ascii="Times New Roman" w:hAnsi="Times New Roman" w:cs="Times New Roman"/>
          <w:sz w:val="22"/>
          <w:szCs w:val="22"/>
        </w:rPr>
      </w:pPr>
      <w:r w:rsidRPr="00D83B29">
        <w:rPr>
          <w:rFonts w:ascii="Times New Roman" w:hAnsi="Times New Roman" w:cs="Times New Roman"/>
          <w:sz w:val="22"/>
          <w:szCs w:val="22"/>
        </w:rPr>
        <w:t>4. Integration Problems Identified and Resolved</w:t>
      </w:r>
    </w:p>
    <w:p w14:paraId="23B6707C" w14:textId="77777777" w:rsidR="00135211" w:rsidRPr="00D83B29" w:rsidRDefault="00000000" w:rsidP="00D83B29">
      <w:pPr>
        <w:pStyle w:val="Heading2"/>
        <w:jc w:val="both"/>
        <w:rPr>
          <w:rFonts w:ascii="Times New Roman" w:hAnsi="Times New Roman" w:cs="Times New Roman"/>
          <w:sz w:val="22"/>
          <w:szCs w:val="22"/>
        </w:rPr>
      </w:pPr>
      <w:r w:rsidRPr="00D83B29">
        <w:rPr>
          <w:rFonts w:ascii="Times New Roman" w:hAnsi="Times New Roman" w:cs="Times New Roman"/>
          <w:sz w:val="22"/>
          <w:szCs w:val="22"/>
        </w:rPr>
        <w:t>4.1 WA feature-loop omission</w:t>
      </w:r>
    </w:p>
    <w:p w14:paraId="290611C6" w14:textId="2C613234" w:rsidR="00135211" w:rsidRPr="00D83B29" w:rsidRDefault="00000000" w:rsidP="00D83B29">
      <w:pPr>
        <w:jc w:val="both"/>
        <w:rPr>
          <w:rFonts w:ascii="Times New Roman" w:hAnsi="Times New Roman" w:cs="Times New Roman"/>
          <w:sz w:val="22"/>
        </w:rPr>
      </w:pPr>
      <w:r w:rsidRPr="00D83B29">
        <w:rPr>
          <w:rFonts w:ascii="Times New Roman" w:hAnsi="Times New Roman" w:cs="Times New Roman"/>
          <w:sz w:val="22"/>
        </w:rPr>
        <w:t xml:space="preserve">The initial integrated run used the NEM demand list for feature acquisition, which meant WA weather and holiday outputs were omitted even though the step itself reported success. The group separated demand-region and feature-region </w:t>
      </w:r>
      <w:r w:rsidR="00D83B29" w:rsidRPr="00D83B29">
        <w:rPr>
          <w:rFonts w:ascii="Times New Roman" w:hAnsi="Times New Roman" w:cs="Times New Roman"/>
          <w:sz w:val="22"/>
        </w:rPr>
        <w:t>configuration,</w:t>
      </w:r>
      <w:r w:rsidRPr="00D83B29">
        <w:rPr>
          <w:rFonts w:ascii="Times New Roman" w:hAnsi="Times New Roman" w:cs="Times New Roman"/>
          <w:sz w:val="22"/>
        </w:rPr>
        <w:t xml:space="preserve"> so each source now receives the intended regional scope.</w:t>
      </w:r>
    </w:p>
    <w:p w14:paraId="68E4B2C4" w14:textId="19C0211D" w:rsidR="00135211" w:rsidRPr="00D83B29" w:rsidRDefault="00000000" w:rsidP="00D83B29">
      <w:pPr>
        <w:pStyle w:val="Heading2"/>
        <w:jc w:val="both"/>
        <w:rPr>
          <w:rFonts w:ascii="Times New Roman" w:hAnsi="Times New Roman" w:cs="Times New Roman"/>
          <w:sz w:val="22"/>
          <w:szCs w:val="22"/>
        </w:rPr>
      </w:pPr>
      <w:r w:rsidRPr="00D83B29">
        <w:rPr>
          <w:rFonts w:ascii="Times New Roman" w:hAnsi="Times New Roman" w:cs="Times New Roman"/>
          <w:sz w:val="22"/>
          <w:szCs w:val="22"/>
        </w:rPr>
        <w:lastRenderedPageBreak/>
        <w:t xml:space="preserve">4.2 Pipeline </w:t>
      </w:r>
      <w:r w:rsidR="00D83B29" w:rsidRPr="00D83B29">
        <w:rPr>
          <w:rFonts w:ascii="Times New Roman" w:hAnsi="Times New Roman" w:cs="Times New Roman"/>
          <w:sz w:val="22"/>
          <w:szCs w:val="22"/>
        </w:rPr>
        <w:t>stalls</w:t>
      </w:r>
      <w:r w:rsidRPr="00D83B29">
        <w:rPr>
          <w:rFonts w:ascii="Times New Roman" w:hAnsi="Times New Roman" w:cs="Times New Roman"/>
          <w:sz w:val="22"/>
          <w:szCs w:val="22"/>
        </w:rPr>
        <w:t xml:space="preserve"> prevented dashboard steps from running</w:t>
      </w:r>
    </w:p>
    <w:p w14:paraId="28AB013D" w14:textId="77777777" w:rsidR="00135211" w:rsidRPr="00D83B29" w:rsidRDefault="00000000" w:rsidP="00D83B29">
      <w:pPr>
        <w:jc w:val="both"/>
        <w:rPr>
          <w:rFonts w:ascii="Times New Roman" w:hAnsi="Times New Roman" w:cs="Times New Roman"/>
          <w:sz w:val="22"/>
        </w:rPr>
      </w:pPr>
      <w:r w:rsidRPr="00D83B29">
        <w:rPr>
          <w:rFonts w:ascii="Times New Roman" w:hAnsi="Times New Roman" w:cs="Times New Roman"/>
          <w:sz w:val="22"/>
        </w:rPr>
        <w:t>The end-to-end run exposed empty dispatch and pre-dispatch folders. Ashish confirmed that the dashboard component worked in isolation, so the group traced the issue to the integration sequence. Sudip identified an unbounded WA daily top-up loop when a current-year annual file was unavailable. The group adopted three complementary fixes:</w:t>
      </w:r>
    </w:p>
    <w:p w14:paraId="435B5A8D" w14:textId="77777777" w:rsidR="00135211" w:rsidRPr="00D83B29" w:rsidRDefault="00000000" w:rsidP="00D83B29">
      <w:pPr>
        <w:pStyle w:val="ListBullet"/>
        <w:spacing w:after="40"/>
        <w:ind w:left="288" w:hanging="173"/>
        <w:jc w:val="both"/>
        <w:rPr>
          <w:rFonts w:ascii="Times New Roman" w:hAnsi="Times New Roman" w:cs="Times New Roman"/>
          <w:sz w:val="22"/>
        </w:rPr>
      </w:pPr>
      <w:r w:rsidRPr="00D83B29">
        <w:rPr>
          <w:rFonts w:ascii="Times New Roman" w:hAnsi="Times New Roman" w:cs="Times New Roman"/>
          <w:sz w:val="22"/>
        </w:rPr>
        <w:t>Sudip bounded the WA tail request window so a failed annual file cannot trigger requests from 1 January through the full year.</w:t>
      </w:r>
    </w:p>
    <w:p w14:paraId="22ADA173" w14:textId="77777777" w:rsidR="00135211" w:rsidRPr="00D83B29" w:rsidRDefault="00000000" w:rsidP="00D83B29">
      <w:pPr>
        <w:pStyle w:val="ListBullet"/>
        <w:spacing w:after="40"/>
        <w:ind w:left="288" w:hanging="173"/>
        <w:jc w:val="both"/>
        <w:rPr>
          <w:rFonts w:ascii="Times New Roman" w:hAnsi="Times New Roman" w:cs="Times New Roman"/>
          <w:sz w:val="22"/>
        </w:rPr>
      </w:pPr>
      <w:r w:rsidRPr="00D83B29">
        <w:rPr>
          <w:rFonts w:ascii="Times New Roman" w:hAnsi="Times New Roman" w:cs="Times New Roman"/>
          <w:sz w:val="22"/>
        </w:rPr>
        <w:t>Suraj moved the time-sensitive dashboard acquisition ahead of slower historical work, because a missed dashboard snapshot cannot be reconstructed later as easily as archive files can be retried.</w:t>
      </w:r>
    </w:p>
    <w:p w14:paraId="7A178487" w14:textId="77777777" w:rsidR="00135211" w:rsidRPr="00D83B29" w:rsidRDefault="00000000" w:rsidP="00D83B29">
      <w:pPr>
        <w:pStyle w:val="ListBullet"/>
        <w:spacing w:after="40"/>
        <w:ind w:left="288" w:hanging="173"/>
        <w:jc w:val="both"/>
        <w:rPr>
          <w:rFonts w:ascii="Times New Roman" w:hAnsi="Times New Roman" w:cs="Times New Roman"/>
          <w:sz w:val="22"/>
        </w:rPr>
      </w:pPr>
      <w:r w:rsidRPr="00D83B29">
        <w:rPr>
          <w:rFonts w:ascii="Times New Roman" w:hAnsi="Times New Roman" w:cs="Times New Roman"/>
          <w:sz w:val="22"/>
        </w:rPr>
        <w:t>Ashish implemented step-level error isolation so one slow or unavailable source does not prevent unrelated acquisition stages from completing.</w:t>
      </w:r>
    </w:p>
    <w:p w14:paraId="73442161" w14:textId="77777777" w:rsidR="00135211" w:rsidRPr="00D83B29" w:rsidRDefault="00000000" w:rsidP="00D83B29">
      <w:pPr>
        <w:pStyle w:val="Heading2"/>
        <w:jc w:val="both"/>
        <w:rPr>
          <w:rFonts w:ascii="Times New Roman" w:hAnsi="Times New Roman" w:cs="Times New Roman"/>
          <w:sz w:val="22"/>
          <w:szCs w:val="22"/>
        </w:rPr>
      </w:pPr>
      <w:r w:rsidRPr="00D83B29">
        <w:rPr>
          <w:rFonts w:ascii="Times New Roman" w:hAnsi="Times New Roman" w:cs="Times New Roman"/>
          <w:sz w:val="22"/>
          <w:szCs w:val="22"/>
        </w:rPr>
        <w:t>4.3 Scope handling for NT</w:t>
      </w:r>
    </w:p>
    <w:p w14:paraId="39C1C65A" w14:textId="7AC323AF" w:rsidR="00135211" w:rsidRPr="00D83B29" w:rsidRDefault="00000000" w:rsidP="00D83B29">
      <w:pPr>
        <w:jc w:val="both"/>
        <w:rPr>
          <w:rFonts w:ascii="Times New Roman" w:hAnsi="Times New Roman" w:cs="Times New Roman"/>
          <w:sz w:val="22"/>
        </w:rPr>
      </w:pPr>
      <w:r w:rsidRPr="00D83B29">
        <w:rPr>
          <w:rFonts w:ascii="Times New Roman" w:hAnsi="Times New Roman" w:cs="Times New Roman"/>
          <w:sz w:val="22"/>
        </w:rPr>
        <w:t>The group confirmed that NT is retained only for feature-side weather/holiday configuration in the current acquisition implementation. No NT operational-demand file is expected. This remains a documented change from the original broader Assessment 1 scope and must be reflected consistently in Assessment 2 documentation.</w:t>
      </w:r>
    </w:p>
    <w:p w14:paraId="59E348CE" w14:textId="58C61874" w:rsidR="00135211" w:rsidRPr="00D83B29" w:rsidRDefault="00D83B29" w:rsidP="00D83B29">
      <w:pPr>
        <w:pStyle w:val="Heading1"/>
        <w:jc w:val="both"/>
        <w:rPr>
          <w:rFonts w:ascii="Times New Roman" w:hAnsi="Times New Roman" w:cs="Times New Roman"/>
          <w:sz w:val="22"/>
          <w:szCs w:val="22"/>
        </w:rPr>
      </w:pPr>
      <w:r>
        <w:rPr>
          <w:rFonts w:ascii="Times New Roman" w:hAnsi="Times New Roman" w:cs="Times New Roman"/>
          <w:sz w:val="22"/>
          <w:szCs w:val="22"/>
        </w:rPr>
        <w:t>5</w:t>
      </w:r>
      <w:r w:rsidR="00000000" w:rsidRPr="00D83B29">
        <w:rPr>
          <w:rFonts w:ascii="Times New Roman" w:hAnsi="Times New Roman" w:cs="Times New Roman"/>
          <w:sz w:val="22"/>
          <w:szCs w:val="22"/>
        </w:rPr>
        <w:t>. Validation of Extracted Files Against Source Systems</w:t>
      </w:r>
    </w:p>
    <w:p w14:paraId="7F6CE611" w14:textId="77777777" w:rsidR="00135211" w:rsidRPr="00D83B29" w:rsidRDefault="00000000" w:rsidP="00D83B29">
      <w:pPr>
        <w:jc w:val="both"/>
        <w:rPr>
          <w:rFonts w:ascii="Times New Roman" w:hAnsi="Times New Roman" w:cs="Times New Roman"/>
          <w:sz w:val="22"/>
        </w:rPr>
      </w:pPr>
      <w:r w:rsidRPr="00D83B29">
        <w:rPr>
          <w:rFonts w:ascii="Times New Roman" w:hAnsi="Times New Roman" w:cs="Times New Roman"/>
          <w:sz w:val="22"/>
        </w:rPr>
        <w:t>The group ran the integrated pipeline end to end and reviewed the generated files while screen sharing. Market outputs were cross-checked against AEMO/WEM source pages; holiday outputs were compared with state calendars. The purpose was to establish that the acquisition code reproduced the source data before any downstream transformations are introduced.</w:t>
      </w:r>
    </w:p>
    <w:tbl>
      <w:tblPr>
        <w:tblStyle w:val="TableGrid"/>
        <w:tblW w:w="0" w:type="auto"/>
        <w:jc w:val="center"/>
        <w:tblLayout w:type="fixed"/>
        <w:tblLook w:val="04A0" w:firstRow="1" w:lastRow="0" w:firstColumn="1" w:lastColumn="0" w:noHBand="0" w:noVBand="1"/>
      </w:tblPr>
      <w:tblGrid>
        <w:gridCol w:w="2232"/>
        <w:gridCol w:w="5112"/>
        <w:gridCol w:w="3672"/>
      </w:tblGrid>
      <w:tr w:rsidR="00135211" w:rsidRPr="00D83B29" w14:paraId="5486BD49" w14:textId="77777777">
        <w:trPr>
          <w:tblHeader/>
          <w:jc w:val="center"/>
        </w:trPr>
        <w:tc>
          <w:tcPr>
            <w:tcW w:w="2232" w:type="dxa"/>
            <w:shd w:val="clear" w:color="auto" w:fill="17365D"/>
            <w:vAlign w:val="center"/>
          </w:tcPr>
          <w:p w14:paraId="0FC31536"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b/>
                <w:color w:val="FFFFFF"/>
                <w:sz w:val="22"/>
              </w:rPr>
              <w:t>Validation check</w:t>
            </w:r>
          </w:p>
        </w:tc>
        <w:tc>
          <w:tcPr>
            <w:tcW w:w="5112" w:type="dxa"/>
            <w:shd w:val="clear" w:color="auto" w:fill="17365D"/>
            <w:vAlign w:val="center"/>
          </w:tcPr>
          <w:p w14:paraId="4A1175FC"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b/>
                <w:color w:val="FFFFFF"/>
                <w:sz w:val="22"/>
              </w:rPr>
              <w:t>Method / evidence reviewed</w:t>
            </w:r>
          </w:p>
        </w:tc>
        <w:tc>
          <w:tcPr>
            <w:tcW w:w="3672" w:type="dxa"/>
            <w:shd w:val="clear" w:color="auto" w:fill="17365D"/>
            <w:vAlign w:val="center"/>
          </w:tcPr>
          <w:p w14:paraId="1AE81552"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b/>
                <w:color w:val="FFFFFF"/>
                <w:sz w:val="22"/>
              </w:rPr>
              <w:t>Meeting outcome</w:t>
            </w:r>
          </w:p>
        </w:tc>
      </w:tr>
      <w:tr w:rsidR="00135211" w:rsidRPr="00D83B29" w14:paraId="4E852AFA" w14:textId="77777777">
        <w:trPr>
          <w:jc w:val="center"/>
        </w:trPr>
        <w:tc>
          <w:tcPr>
            <w:tcW w:w="2232" w:type="dxa"/>
            <w:vAlign w:val="center"/>
          </w:tcPr>
          <w:p w14:paraId="501872D5"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NEM history coverage</w:t>
            </w:r>
          </w:p>
        </w:tc>
        <w:tc>
          <w:tcPr>
            <w:tcW w:w="5112" w:type="dxa"/>
            <w:vAlign w:val="center"/>
          </w:tcPr>
          <w:p w14:paraId="54FA42FF"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Compared extracted first/last timestamps and interval coverage with the AEMO aggregated price-and-demand source for each NEM region.</w:t>
            </w:r>
          </w:p>
        </w:tc>
        <w:tc>
          <w:tcPr>
            <w:tcW w:w="3672" w:type="dxa"/>
            <w:vAlign w:val="center"/>
          </w:tcPr>
          <w:p w14:paraId="1FE926E0"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Matched for the reviewed files; NSW1 was confirmed as a continuous five-minute series from 1 Jan 2022 to the run date in the meeting evidence.</w:t>
            </w:r>
          </w:p>
        </w:tc>
      </w:tr>
      <w:tr w:rsidR="00135211" w:rsidRPr="00D83B29" w14:paraId="541D4D7D" w14:textId="77777777">
        <w:trPr>
          <w:jc w:val="center"/>
        </w:trPr>
        <w:tc>
          <w:tcPr>
            <w:tcW w:w="2232" w:type="dxa"/>
            <w:shd w:val="clear" w:color="auto" w:fill="F2F2F2"/>
            <w:vAlign w:val="center"/>
          </w:tcPr>
          <w:p w14:paraId="65CE9D39"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Duplicate timestamps</w:t>
            </w:r>
          </w:p>
        </w:tc>
        <w:tc>
          <w:tcPr>
            <w:tcW w:w="5112" w:type="dxa"/>
            <w:shd w:val="clear" w:color="auto" w:fill="F2F2F2"/>
            <w:vAlign w:val="center"/>
          </w:tcPr>
          <w:p w14:paraId="42727CD5"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Ran validation logic across written demand files.</w:t>
            </w:r>
          </w:p>
        </w:tc>
        <w:tc>
          <w:tcPr>
            <w:tcW w:w="3672" w:type="dxa"/>
            <w:shd w:val="clear" w:color="auto" w:fill="F2F2F2"/>
            <w:vAlign w:val="center"/>
          </w:tcPr>
          <w:p w14:paraId="3D2BCB26"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No duplicate demand timestamps were reported in the reviewed outputs.</w:t>
            </w:r>
          </w:p>
        </w:tc>
      </w:tr>
      <w:tr w:rsidR="00135211" w:rsidRPr="00D83B29" w14:paraId="3046B16E" w14:textId="77777777">
        <w:trPr>
          <w:jc w:val="center"/>
        </w:trPr>
        <w:tc>
          <w:tcPr>
            <w:tcW w:w="2232" w:type="dxa"/>
            <w:vAlign w:val="center"/>
          </w:tcPr>
          <w:p w14:paraId="0332A8B4"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Dispatch vs pre-dispatch</w:t>
            </w:r>
          </w:p>
        </w:tc>
        <w:tc>
          <w:tcPr>
            <w:tcW w:w="5112" w:type="dxa"/>
            <w:vAlign w:val="center"/>
          </w:tcPr>
          <w:p w14:paraId="497EB145"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Compared output counts and PERIODTYPE composition with the AEMO dashboard views.</w:t>
            </w:r>
          </w:p>
        </w:tc>
        <w:tc>
          <w:tcPr>
            <w:tcW w:w="3672" w:type="dxa"/>
            <w:vAlign w:val="center"/>
          </w:tcPr>
          <w:p w14:paraId="1C638088"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Both views contained ACTUAL/FORECAST rows; separation remained justified and the ten expected files were produced after integration fixes.</w:t>
            </w:r>
          </w:p>
        </w:tc>
      </w:tr>
      <w:tr w:rsidR="00135211" w:rsidRPr="00D83B29" w14:paraId="0A7B50DF" w14:textId="77777777">
        <w:trPr>
          <w:jc w:val="center"/>
        </w:trPr>
        <w:tc>
          <w:tcPr>
            <w:tcW w:w="2232" w:type="dxa"/>
            <w:shd w:val="clear" w:color="auto" w:fill="F2F2F2"/>
            <w:vAlign w:val="center"/>
          </w:tcPr>
          <w:p w14:paraId="2311A281"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WA market cutover</w:t>
            </w:r>
          </w:p>
        </w:tc>
        <w:tc>
          <w:tcPr>
            <w:tcW w:w="5112" w:type="dxa"/>
            <w:shd w:val="clear" w:color="auto" w:fill="F2F2F2"/>
            <w:vAlign w:val="center"/>
          </w:tcPr>
          <w:p w14:paraId="7693E4A9"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Checked observations immediately before and after 1 Oct 2023.</w:t>
            </w:r>
          </w:p>
        </w:tc>
        <w:tc>
          <w:tcPr>
            <w:tcW w:w="3672" w:type="dxa"/>
            <w:shd w:val="clear" w:color="auto" w:fill="F2F2F2"/>
            <w:vAlign w:val="center"/>
          </w:tcPr>
          <w:p w14:paraId="22B81145"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30-minute legacy frequency before the cutover and 5-minute modern WEM frequency after the cutover; SOURCE_INTERVAL_MIN preserved the distinction.</w:t>
            </w:r>
          </w:p>
        </w:tc>
      </w:tr>
      <w:tr w:rsidR="00135211" w:rsidRPr="00D83B29" w14:paraId="4181EEE6" w14:textId="77777777">
        <w:trPr>
          <w:jc w:val="center"/>
        </w:trPr>
        <w:tc>
          <w:tcPr>
            <w:tcW w:w="2232" w:type="dxa"/>
            <w:vAlign w:val="center"/>
          </w:tcPr>
          <w:p w14:paraId="37DA3575"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WA target-column selection</w:t>
            </w:r>
          </w:p>
        </w:tc>
        <w:tc>
          <w:tcPr>
            <w:tcW w:w="5112" w:type="dxa"/>
            <w:vAlign w:val="center"/>
          </w:tcPr>
          <w:p w14:paraId="4941970E"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Spot-checked extracted demand values against WEM source data and reviewed the exclusion rules for forecast/withdrawal columns.</w:t>
            </w:r>
          </w:p>
        </w:tc>
        <w:tc>
          <w:tcPr>
            <w:tcW w:w="3672" w:type="dxa"/>
            <w:vAlign w:val="center"/>
          </w:tcPr>
          <w:p w14:paraId="744CCDD9"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Operational-demand column was retained; withdrawal was not selected.</w:t>
            </w:r>
          </w:p>
        </w:tc>
      </w:tr>
      <w:tr w:rsidR="00135211" w:rsidRPr="00D83B29" w14:paraId="4EACB2C9" w14:textId="77777777">
        <w:trPr>
          <w:jc w:val="center"/>
        </w:trPr>
        <w:tc>
          <w:tcPr>
            <w:tcW w:w="2232" w:type="dxa"/>
            <w:shd w:val="clear" w:color="auto" w:fill="F2F2F2"/>
            <w:vAlign w:val="center"/>
          </w:tcPr>
          <w:p w14:paraId="30B6CB24"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WA source precedence</w:t>
            </w:r>
          </w:p>
        </w:tc>
        <w:tc>
          <w:tcPr>
            <w:tcW w:w="5112" w:type="dxa"/>
            <w:shd w:val="clear" w:color="auto" w:fill="F2F2F2"/>
            <w:vAlign w:val="center"/>
          </w:tcPr>
          <w:p w14:paraId="6F9BF8E5"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Reviewed overlapping legacy/current/daily periods and merge rules.</w:t>
            </w:r>
          </w:p>
        </w:tc>
        <w:tc>
          <w:tcPr>
            <w:tcW w:w="3672" w:type="dxa"/>
            <w:shd w:val="clear" w:color="auto" w:fill="F2F2F2"/>
            <w:vAlign w:val="center"/>
          </w:tcPr>
          <w:p w14:paraId="4DA85AB5" w14:textId="051CB7BA"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 xml:space="preserve">Priority </w:t>
            </w:r>
            <w:r w:rsidR="00D83B29" w:rsidRPr="00D83B29">
              <w:rPr>
                <w:rFonts w:ascii="Times New Roman" w:hAnsi="Times New Roman" w:cs="Times New Roman"/>
                <w:sz w:val="22"/>
              </w:rPr>
              <w:t>remained</w:t>
            </w:r>
            <w:r w:rsidRPr="00D83B29">
              <w:rPr>
                <w:rFonts w:ascii="Times New Roman" w:hAnsi="Times New Roman" w:cs="Times New Roman"/>
                <w:sz w:val="22"/>
              </w:rPr>
              <w:t xml:space="preserve"> as daily → annual/current → legacy where timestamps overlap.</w:t>
            </w:r>
          </w:p>
        </w:tc>
      </w:tr>
      <w:tr w:rsidR="00135211" w:rsidRPr="00D83B29" w14:paraId="4FA75137" w14:textId="77777777">
        <w:trPr>
          <w:jc w:val="center"/>
        </w:trPr>
        <w:tc>
          <w:tcPr>
            <w:tcW w:w="2232" w:type="dxa"/>
            <w:vAlign w:val="center"/>
          </w:tcPr>
          <w:p w14:paraId="5253AB79"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Public holidays</w:t>
            </w:r>
          </w:p>
        </w:tc>
        <w:tc>
          <w:tcPr>
            <w:tcW w:w="5112" w:type="dxa"/>
            <w:vAlign w:val="center"/>
          </w:tcPr>
          <w:p w14:paraId="6EE634B8"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Compared state-specific outputs against relevant state holiday calendars.</w:t>
            </w:r>
          </w:p>
        </w:tc>
        <w:tc>
          <w:tcPr>
            <w:tcW w:w="3672" w:type="dxa"/>
            <w:vAlign w:val="center"/>
          </w:tcPr>
          <w:p w14:paraId="1081690A"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Regional calendars differed as expected; state-specific logic was retained.</w:t>
            </w:r>
          </w:p>
        </w:tc>
      </w:tr>
      <w:tr w:rsidR="00135211" w:rsidRPr="00D83B29" w14:paraId="4C191B9C" w14:textId="77777777">
        <w:trPr>
          <w:jc w:val="center"/>
        </w:trPr>
        <w:tc>
          <w:tcPr>
            <w:tcW w:w="2232" w:type="dxa"/>
            <w:shd w:val="clear" w:color="auto" w:fill="F2F2F2"/>
            <w:vAlign w:val="center"/>
          </w:tcPr>
          <w:p w14:paraId="60E387BD"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Step isolation / robustness</w:t>
            </w:r>
          </w:p>
        </w:tc>
        <w:tc>
          <w:tcPr>
            <w:tcW w:w="5112" w:type="dxa"/>
            <w:shd w:val="clear" w:color="auto" w:fill="F2F2F2"/>
            <w:vAlign w:val="center"/>
          </w:tcPr>
          <w:p w14:paraId="13DB58EC"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Forced or observed failures in independent acquisition stages and re-ran the integrated pipeline.</w:t>
            </w:r>
          </w:p>
        </w:tc>
        <w:tc>
          <w:tcPr>
            <w:tcW w:w="3672" w:type="dxa"/>
            <w:shd w:val="clear" w:color="auto" w:fill="F2F2F2"/>
            <w:vAlign w:val="center"/>
          </w:tcPr>
          <w:p w14:paraId="60EF017E"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 xml:space="preserve">Independent steps continued and failures were surfaced explicitly rather </w:t>
            </w:r>
            <w:r w:rsidRPr="00D83B29">
              <w:rPr>
                <w:rFonts w:ascii="Times New Roman" w:hAnsi="Times New Roman" w:cs="Times New Roman"/>
                <w:sz w:val="22"/>
              </w:rPr>
              <w:lastRenderedPageBreak/>
              <w:t>than silently blocking the full run.</w:t>
            </w:r>
          </w:p>
        </w:tc>
      </w:tr>
    </w:tbl>
    <w:p w14:paraId="7A450B88" w14:textId="77777777" w:rsidR="00135211" w:rsidRPr="00D83B29" w:rsidRDefault="00135211" w:rsidP="00D83B29">
      <w:pPr>
        <w:spacing w:after="20"/>
        <w:jc w:val="both"/>
        <w:rPr>
          <w:rFonts w:ascii="Times New Roman" w:hAnsi="Times New Roman" w:cs="Times New Roman"/>
          <w:sz w:val="22"/>
        </w:rPr>
      </w:pPr>
    </w:p>
    <w:tbl>
      <w:tblPr>
        <w:tblStyle w:val="TableGrid"/>
        <w:tblW w:w="0" w:type="auto"/>
        <w:jc w:val="center"/>
        <w:tblLook w:val="04A0" w:firstRow="1" w:lastRow="0" w:firstColumn="1" w:lastColumn="0" w:noHBand="0" w:noVBand="1"/>
      </w:tblPr>
      <w:tblGrid>
        <w:gridCol w:w="10444"/>
      </w:tblGrid>
      <w:tr w:rsidR="00135211" w:rsidRPr="00D83B29" w14:paraId="7CFD1880" w14:textId="77777777">
        <w:trPr>
          <w:jc w:val="center"/>
        </w:trPr>
        <w:tc>
          <w:tcPr>
            <w:tcW w:w="10454" w:type="dxa"/>
            <w:shd w:val="clear" w:color="auto" w:fill="E2F0D9"/>
          </w:tcPr>
          <w:p w14:paraId="45D854C5" w14:textId="77777777" w:rsidR="00135211" w:rsidRPr="00D83B29" w:rsidRDefault="00000000" w:rsidP="00D83B29">
            <w:pPr>
              <w:spacing w:after="40"/>
              <w:jc w:val="both"/>
              <w:rPr>
                <w:rFonts w:ascii="Times New Roman" w:hAnsi="Times New Roman" w:cs="Times New Roman"/>
                <w:sz w:val="22"/>
              </w:rPr>
            </w:pPr>
            <w:r w:rsidRPr="00D83B29">
              <w:rPr>
                <w:rFonts w:ascii="Times New Roman" w:hAnsi="Times New Roman" w:cs="Times New Roman"/>
                <w:b/>
                <w:color w:val="17365D"/>
                <w:sz w:val="22"/>
              </w:rPr>
              <w:t>WP1 acceptance decision</w:t>
            </w:r>
          </w:p>
          <w:p w14:paraId="1738E6DB"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The group accepted Data_Acquisition final.py as the working acquisition deliverable for Assessment 2. Raw-market data is now treated as source evidence. No manual editing, resampling, imputation, feature creation or model preparation is to occur inside the acquisition stage.</w:t>
            </w:r>
          </w:p>
        </w:tc>
      </w:tr>
    </w:tbl>
    <w:p w14:paraId="14A1E881" w14:textId="77777777" w:rsidR="00135211" w:rsidRPr="00D83B29" w:rsidRDefault="00135211" w:rsidP="00D83B29">
      <w:pPr>
        <w:spacing w:after="0"/>
        <w:jc w:val="both"/>
        <w:rPr>
          <w:rFonts w:ascii="Times New Roman" w:hAnsi="Times New Roman" w:cs="Times New Roman"/>
          <w:sz w:val="22"/>
        </w:rPr>
      </w:pPr>
    </w:p>
    <w:p w14:paraId="22615609" w14:textId="77777777" w:rsidR="00135211" w:rsidRPr="00D83B29" w:rsidRDefault="00000000" w:rsidP="00D83B29">
      <w:pPr>
        <w:pStyle w:val="Heading1"/>
        <w:jc w:val="both"/>
        <w:rPr>
          <w:rFonts w:ascii="Times New Roman" w:hAnsi="Times New Roman" w:cs="Times New Roman"/>
          <w:sz w:val="22"/>
          <w:szCs w:val="22"/>
        </w:rPr>
      </w:pPr>
      <w:r w:rsidRPr="00D83B29">
        <w:rPr>
          <w:rFonts w:ascii="Times New Roman" w:hAnsi="Times New Roman" w:cs="Times New Roman"/>
          <w:sz w:val="22"/>
          <w:szCs w:val="22"/>
        </w:rPr>
        <w:t>7. Transition to WP2: Preprocessing of the Extracted Dataset</w:t>
      </w:r>
    </w:p>
    <w:p w14:paraId="0B2E6174" w14:textId="77777777" w:rsidR="00135211" w:rsidRPr="00D83B29" w:rsidRDefault="00000000" w:rsidP="00D83B29">
      <w:pPr>
        <w:jc w:val="both"/>
        <w:rPr>
          <w:rFonts w:ascii="Times New Roman" w:hAnsi="Times New Roman" w:cs="Times New Roman"/>
          <w:sz w:val="22"/>
        </w:rPr>
      </w:pPr>
      <w:r w:rsidRPr="00D83B29">
        <w:rPr>
          <w:rFonts w:ascii="Times New Roman" w:hAnsi="Times New Roman" w:cs="Times New Roman"/>
          <w:sz w:val="22"/>
        </w:rPr>
        <w:t xml:space="preserve">With acquisition accepted, the second half of the meeting was used to define what must happen before modelling. The group agreed that the next deliverable is not a forecasting model yet; it is a validated, </w:t>
      </w:r>
      <w:proofErr w:type="gramStart"/>
      <w:r w:rsidRPr="00D83B29">
        <w:rPr>
          <w:rFonts w:ascii="Times New Roman" w:hAnsi="Times New Roman" w:cs="Times New Roman"/>
          <w:sz w:val="22"/>
        </w:rPr>
        <w:t>cleaned</w:t>
      </w:r>
      <w:proofErr w:type="gramEnd"/>
      <w:r w:rsidRPr="00D83B29">
        <w:rPr>
          <w:rFonts w:ascii="Times New Roman" w:hAnsi="Times New Roman" w:cs="Times New Roman"/>
          <w:sz w:val="22"/>
        </w:rPr>
        <w:t>, harmonised and feature-engineered dataset that can support chronological forecasting experiments without leakage.</w:t>
      </w:r>
    </w:p>
    <w:p w14:paraId="0D5D4BE0" w14:textId="77777777" w:rsidR="00135211" w:rsidRPr="00D83B29" w:rsidRDefault="00000000" w:rsidP="00D83B29">
      <w:pPr>
        <w:pStyle w:val="Heading2"/>
        <w:jc w:val="both"/>
        <w:rPr>
          <w:rFonts w:ascii="Times New Roman" w:hAnsi="Times New Roman" w:cs="Times New Roman"/>
          <w:sz w:val="22"/>
          <w:szCs w:val="22"/>
        </w:rPr>
      </w:pPr>
      <w:r w:rsidRPr="00D83B29">
        <w:rPr>
          <w:rFonts w:ascii="Times New Roman" w:hAnsi="Times New Roman" w:cs="Times New Roman"/>
          <w:sz w:val="22"/>
          <w:szCs w:val="22"/>
        </w:rPr>
        <w:t>7.1 Preprocessing questions agreed for investigation</w:t>
      </w:r>
    </w:p>
    <w:tbl>
      <w:tblPr>
        <w:tblStyle w:val="TableGrid"/>
        <w:tblW w:w="0" w:type="auto"/>
        <w:jc w:val="center"/>
        <w:tblLayout w:type="fixed"/>
        <w:tblLook w:val="04A0" w:firstRow="1" w:lastRow="0" w:firstColumn="1" w:lastColumn="0" w:noHBand="0" w:noVBand="1"/>
      </w:tblPr>
      <w:tblGrid>
        <w:gridCol w:w="2088"/>
        <w:gridCol w:w="6552"/>
        <w:gridCol w:w="2376"/>
      </w:tblGrid>
      <w:tr w:rsidR="00135211" w:rsidRPr="00D83B29" w14:paraId="33F69C7B" w14:textId="77777777">
        <w:trPr>
          <w:tblHeader/>
          <w:jc w:val="center"/>
        </w:trPr>
        <w:tc>
          <w:tcPr>
            <w:tcW w:w="2088" w:type="dxa"/>
            <w:shd w:val="clear" w:color="auto" w:fill="17365D"/>
            <w:vAlign w:val="center"/>
          </w:tcPr>
          <w:p w14:paraId="4F3494B6"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b/>
                <w:color w:val="FFFFFF"/>
                <w:sz w:val="22"/>
              </w:rPr>
              <w:t>Area</w:t>
            </w:r>
          </w:p>
        </w:tc>
        <w:tc>
          <w:tcPr>
            <w:tcW w:w="6552" w:type="dxa"/>
            <w:shd w:val="clear" w:color="auto" w:fill="17365D"/>
            <w:vAlign w:val="center"/>
          </w:tcPr>
          <w:p w14:paraId="2F39D6C5"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b/>
                <w:color w:val="FFFFFF"/>
                <w:sz w:val="22"/>
              </w:rPr>
              <w:t>Tests / work to perform before next meeting</w:t>
            </w:r>
          </w:p>
        </w:tc>
        <w:tc>
          <w:tcPr>
            <w:tcW w:w="2376" w:type="dxa"/>
            <w:shd w:val="clear" w:color="auto" w:fill="17365D"/>
            <w:vAlign w:val="center"/>
          </w:tcPr>
          <w:p w14:paraId="58F11670"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b/>
                <w:color w:val="FFFFFF"/>
                <w:sz w:val="22"/>
              </w:rPr>
              <w:t>Expected evidence</w:t>
            </w:r>
          </w:p>
        </w:tc>
      </w:tr>
      <w:tr w:rsidR="00135211" w:rsidRPr="00D83B29" w14:paraId="5DB63FFC" w14:textId="77777777">
        <w:trPr>
          <w:jc w:val="center"/>
        </w:trPr>
        <w:tc>
          <w:tcPr>
            <w:tcW w:w="2088" w:type="dxa"/>
            <w:vAlign w:val="center"/>
          </w:tcPr>
          <w:p w14:paraId="16DDF3B4"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Schema and merge validation</w:t>
            </w:r>
          </w:p>
        </w:tc>
        <w:tc>
          <w:tcPr>
            <w:tcW w:w="6552" w:type="dxa"/>
            <w:vAlign w:val="center"/>
          </w:tcPr>
          <w:p w14:paraId="5BDAEBC6"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Confirm expected columns, data types, region identifiers and safe join keys; merge demand by timestamp/region and weather/holiday data by correct regional date rather than row order.</w:t>
            </w:r>
          </w:p>
        </w:tc>
        <w:tc>
          <w:tcPr>
            <w:tcW w:w="2376" w:type="dxa"/>
            <w:vAlign w:val="center"/>
          </w:tcPr>
          <w:p w14:paraId="7893EB49"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schema_report.csv; merge summary; before/after row counts</w:t>
            </w:r>
          </w:p>
        </w:tc>
      </w:tr>
      <w:tr w:rsidR="00135211" w:rsidRPr="00D83B29" w14:paraId="3B3A7873" w14:textId="77777777">
        <w:trPr>
          <w:jc w:val="center"/>
        </w:trPr>
        <w:tc>
          <w:tcPr>
            <w:tcW w:w="2088" w:type="dxa"/>
            <w:shd w:val="clear" w:color="auto" w:fill="F2F2F2"/>
            <w:vAlign w:val="center"/>
          </w:tcPr>
          <w:p w14:paraId="33C1991D"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Timestamp quality</w:t>
            </w:r>
          </w:p>
        </w:tc>
        <w:tc>
          <w:tcPr>
            <w:tcW w:w="6552" w:type="dxa"/>
            <w:shd w:val="clear" w:color="auto" w:fill="F2F2F2"/>
            <w:vAlign w:val="center"/>
          </w:tcPr>
          <w:p w14:paraId="251BBCF6"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Parse timestamps; sort chronologically; identify invalid values, duplicate timestamp-region keys and non-monotonic records.</w:t>
            </w:r>
          </w:p>
        </w:tc>
        <w:tc>
          <w:tcPr>
            <w:tcW w:w="2376" w:type="dxa"/>
            <w:shd w:val="clear" w:color="auto" w:fill="F2F2F2"/>
            <w:vAlign w:val="center"/>
          </w:tcPr>
          <w:p w14:paraId="342CF186"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timestamp_audit.csv; duplicate_report.csv</w:t>
            </w:r>
          </w:p>
        </w:tc>
      </w:tr>
      <w:tr w:rsidR="00135211" w:rsidRPr="00D83B29" w14:paraId="1E232B27" w14:textId="77777777">
        <w:trPr>
          <w:jc w:val="center"/>
        </w:trPr>
        <w:tc>
          <w:tcPr>
            <w:tcW w:w="2088" w:type="dxa"/>
            <w:vAlign w:val="center"/>
          </w:tcPr>
          <w:p w14:paraId="4D2B944A"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Gap analysis</w:t>
            </w:r>
          </w:p>
        </w:tc>
        <w:tc>
          <w:tcPr>
            <w:tcW w:w="6552" w:type="dxa"/>
            <w:vAlign w:val="center"/>
          </w:tcPr>
          <w:p w14:paraId="1BE4C3C9"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Detect genuinely missing intervals separately from expected source-frequency differences, especially WA legacy 30-minute versus modern 5-minute data.</w:t>
            </w:r>
          </w:p>
        </w:tc>
        <w:tc>
          <w:tcPr>
            <w:tcW w:w="2376" w:type="dxa"/>
            <w:vAlign w:val="center"/>
          </w:tcPr>
          <w:p w14:paraId="3237B4E3"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gap_report.csv with start, end, length and region</w:t>
            </w:r>
          </w:p>
        </w:tc>
      </w:tr>
      <w:tr w:rsidR="00135211" w:rsidRPr="00D83B29" w14:paraId="2B66DD5C" w14:textId="77777777">
        <w:trPr>
          <w:jc w:val="center"/>
        </w:trPr>
        <w:tc>
          <w:tcPr>
            <w:tcW w:w="2088" w:type="dxa"/>
            <w:shd w:val="clear" w:color="auto" w:fill="F2F2F2"/>
            <w:vAlign w:val="center"/>
          </w:tcPr>
          <w:p w14:paraId="463B43F8"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Missing values</w:t>
            </w:r>
          </w:p>
        </w:tc>
        <w:tc>
          <w:tcPr>
            <w:tcW w:w="6552" w:type="dxa"/>
            <w:shd w:val="clear" w:color="auto" w:fill="F2F2F2"/>
            <w:vAlign w:val="center"/>
          </w:tcPr>
          <w:p w14:paraId="6AAB61E6"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Measure missing cells by region/column and distinguish missing cells from missing timestamps. Define conservative treatment rules before any imputation.</w:t>
            </w:r>
          </w:p>
        </w:tc>
        <w:tc>
          <w:tcPr>
            <w:tcW w:w="2376" w:type="dxa"/>
            <w:shd w:val="clear" w:color="auto" w:fill="F2F2F2"/>
            <w:vAlign w:val="center"/>
          </w:tcPr>
          <w:p w14:paraId="4BD7A878"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missing_value_report.csv; treatment log</w:t>
            </w:r>
          </w:p>
        </w:tc>
      </w:tr>
      <w:tr w:rsidR="00135211" w:rsidRPr="00D83B29" w14:paraId="3925E7F3" w14:textId="77777777">
        <w:trPr>
          <w:jc w:val="center"/>
        </w:trPr>
        <w:tc>
          <w:tcPr>
            <w:tcW w:w="2088" w:type="dxa"/>
            <w:vAlign w:val="center"/>
          </w:tcPr>
          <w:p w14:paraId="2446DD21"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Frequency harmonisation</w:t>
            </w:r>
          </w:p>
        </w:tc>
        <w:tc>
          <w:tcPr>
            <w:tcW w:w="6552" w:type="dxa"/>
            <w:vAlign w:val="center"/>
          </w:tcPr>
          <w:p w14:paraId="4D9DF223" w14:textId="516048C2"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Evaluate 30-</w:t>
            </w:r>
            <w:r w:rsidR="00D83B29" w:rsidRPr="00D83B29">
              <w:rPr>
                <w:rFonts w:ascii="Times New Roman" w:hAnsi="Times New Roman" w:cs="Times New Roman"/>
                <w:sz w:val="22"/>
              </w:rPr>
              <w:t>minutes</w:t>
            </w:r>
            <w:r w:rsidRPr="00D83B29">
              <w:rPr>
                <w:rFonts w:ascii="Times New Roman" w:hAnsi="Times New Roman" w:cs="Times New Roman"/>
                <w:sz w:val="22"/>
              </w:rPr>
              <w:t xml:space="preserve"> as the common modelling interval: aggregate NEM/modern WA 5-minute observations to 30-minute while retaining legacy WA 30-minute data as published.</w:t>
            </w:r>
          </w:p>
        </w:tc>
        <w:tc>
          <w:tcPr>
            <w:tcW w:w="2376" w:type="dxa"/>
            <w:vAlign w:val="center"/>
          </w:tcPr>
          <w:p w14:paraId="3F5EF691"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frequency_audit.csv; regional interval comparison</w:t>
            </w:r>
          </w:p>
        </w:tc>
      </w:tr>
      <w:tr w:rsidR="00135211" w:rsidRPr="00D83B29" w14:paraId="58CBC96F" w14:textId="77777777">
        <w:trPr>
          <w:jc w:val="center"/>
        </w:trPr>
        <w:tc>
          <w:tcPr>
            <w:tcW w:w="2088" w:type="dxa"/>
            <w:shd w:val="clear" w:color="auto" w:fill="F2F2F2"/>
            <w:vAlign w:val="center"/>
          </w:tcPr>
          <w:p w14:paraId="7E4035DB"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Time-zone and DST handling</w:t>
            </w:r>
          </w:p>
        </w:tc>
        <w:tc>
          <w:tcPr>
            <w:tcW w:w="6552" w:type="dxa"/>
            <w:shd w:val="clear" w:color="auto" w:fill="F2F2F2"/>
            <w:vAlign w:val="center"/>
          </w:tcPr>
          <w:p w14:paraId="005F17EF"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Document source/market timestamp conventions by region and derive calendar features using the correct regional date; identify DST effects before assuming 48 civil intervals every day.</w:t>
            </w:r>
          </w:p>
        </w:tc>
        <w:tc>
          <w:tcPr>
            <w:tcW w:w="2376" w:type="dxa"/>
            <w:shd w:val="clear" w:color="auto" w:fill="F2F2F2"/>
            <w:vAlign w:val="center"/>
          </w:tcPr>
          <w:p w14:paraId="5B25EB96"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timezone decision note; DST checks</w:t>
            </w:r>
          </w:p>
        </w:tc>
      </w:tr>
      <w:tr w:rsidR="00135211" w:rsidRPr="00D83B29" w14:paraId="3D7D3EF4" w14:textId="77777777">
        <w:trPr>
          <w:jc w:val="center"/>
        </w:trPr>
        <w:tc>
          <w:tcPr>
            <w:tcW w:w="2088" w:type="dxa"/>
            <w:vAlign w:val="center"/>
          </w:tcPr>
          <w:p w14:paraId="1CFB9DCA"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Outlier and anomaly analysis</w:t>
            </w:r>
          </w:p>
        </w:tc>
        <w:tc>
          <w:tcPr>
            <w:tcW w:w="6552" w:type="dxa"/>
            <w:vAlign w:val="center"/>
          </w:tcPr>
          <w:p w14:paraId="7BE10886"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Use IQR/robust statistics and local temporal context to flag unusual demand without automatically deleting genuine peaks or low-demand events.</w:t>
            </w:r>
          </w:p>
        </w:tc>
        <w:tc>
          <w:tcPr>
            <w:tcW w:w="2376" w:type="dxa"/>
            <w:vAlign w:val="center"/>
          </w:tcPr>
          <w:p w14:paraId="0310FB16"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outlier_report.csv; flagged-region plots</w:t>
            </w:r>
          </w:p>
        </w:tc>
      </w:tr>
      <w:tr w:rsidR="00135211" w:rsidRPr="00D83B29" w14:paraId="6CE39847" w14:textId="77777777">
        <w:trPr>
          <w:jc w:val="center"/>
        </w:trPr>
        <w:tc>
          <w:tcPr>
            <w:tcW w:w="2088" w:type="dxa"/>
            <w:shd w:val="clear" w:color="auto" w:fill="F2F2F2"/>
            <w:vAlign w:val="center"/>
          </w:tcPr>
          <w:p w14:paraId="08E4E6D2"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Distribution diagnostics</w:t>
            </w:r>
          </w:p>
        </w:tc>
        <w:tc>
          <w:tcPr>
            <w:tcW w:w="6552" w:type="dxa"/>
            <w:shd w:val="clear" w:color="auto" w:fill="F2F2F2"/>
            <w:vAlign w:val="center"/>
          </w:tcPr>
          <w:p w14:paraId="5077B80A" w14:textId="04553C7A"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 xml:space="preserve">For each modelling region: histogram, Q-Q plot, skewness/kurtosis and original vs log10/log1p comparison </w:t>
            </w:r>
            <w:r w:rsidR="00D83B29" w:rsidRPr="00D83B29">
              <w:rPr>
                <w:rFonts w:ascii="Times New Roman" w:hAnsi="Times New Roman" w:cs="Times New Roman"/>
                <w:sz w:val="22"/>
              </w:rPr>
              <w:t>were</w:t>
            </w:r>
            <w:r w:rsidRPr="00D83B29">
              <w:rPr>
                <w:rFonts w:ascii="Times New Roman" w:hAnsi="Times New Roman" w:cs="Times New Roman"/>
                <w:sz w:val="22"/>
              </w:rPr>
              <w:t xml:space="preserve"> mathematically valid. Treat Gaussian tests as diagnostics rather than a universal modelling requirement.</w:t>
            </w:r>
          </w:p>
        </w:tc>
        <w:tc>
          <w:tcPr>
            <w:tcW w:w="2376" w:type="dxa"/>
            <w:shd w:val="clear" w:color="auto" w:fill="F2F2F2"/>
            <w:vAlign w:val="center"/>
          </w:tcPr>
          <w:p w14:paraId="1BDC48DA"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regional distribution figures; distribution_analysis.csv</w:t>
            </w:r>
          </w:p>
        </w:tc>
      </w:tr>
      <w:tr w:rsidR="00135211" w:rsidRPr="00D83B29" w14:paraId="60B37298" w14:textId="77777777">
        <w:trPr>
          <w:jc w:val="center"/>
        </w:trPr>
        <w:tc>
          <w:tcPr>
            <w:tcW w:w="2088" w:type="dxa"/>
            <w:vAlign w:val="center"/>
          </w:tcPr>
          <w:p w14:paraId="7255C7C3"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EDA</w:t>
            </w:r>
          </w:p>
        </w:tc>
        <w:tc>
          <w:tcPr>
            <w:tcW w:w="6552" w:type="dxa"/>
            <w:vAlign w:val="center"/>
          </w:tcPr>
          <w:p w14:paraId="5FDD7A4D"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Produce region-level and cross-region evidence: historical trend, 30-minute daily profile, weekday/weekend, day-of-week, monthly/seasonal patterns and variability.</w:t>
            </w:r>
          </w:p>
        </w:tc>
        <w:tc>
          <w:tcPr>
            <w:tcW w:w="2376" w:type="dxa"/>
            <w:vAlign w:val="center"/>
          </w:tcPr>
          <w:p w14:paraId="4EA9BC8E"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EDA figure set</w:t>
            </w:r>
          </w:p>
        </w:tc>
      </w:tr>
      <w:tr w:rsidR="00135211" w:rsidRPr="00D83B29" w14:paraId="29518C26" w14:textId="77777777">
        <w:trPr>
          <w:jc w:val="center"/>
        </w:trPr>
        <w:tc>
          <w:tcPr>
            <w:tcW w:w="2088" w:type="dxa"/>
            <w:shd w:val="clear" w:color="auto" w:fill="F2F2F2"/>
            <w:vAlign w:val="center"/>
          </w:tcPr>
          <w:p w14:paraId="5F401758"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Weather and calendar</w:t>
            </w:r>
          </w:p>
        </w:tc>
        <w:tc>
          <w:tcPr>
            <w:tcW w:w="6552" w:type="dxa"/>
            <w:shd w:val="clear" w:color="auto" w:fill="F2F2F2"/>
            <w:vAlign w:val="center"/>
          </w:tcPr>
          <w:p w14:paraId="38CC7AEA"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Validate BOM files and state-specific public holidays; clean and align valid weather/calendar fields to each region/local date.</w:t>
            </w:r>
          </w:p>
        </w:tc>
        <w:tc>
          <w:tcPr>
            <w:tcW w:w="2376" w:type="dxa"/>
            <w:shd w:val="clear" w:color="auto" w:fill="F2F2F2"/>
            <w:vAlign w:val="center"/>
          </w:tcPr>
          <w:p w14:paraId="179424B9"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weather_status.csv; holiday_join_check.csv</w:t>
            </w:r>
          </w:p>
        </w:tc>
      </w:tr>
      <w:tr w:rsidR="00135211" w:rsidRPr="00D83B29" w14:paraId="72257E06" w14:textId="77777777">
        <w:trPr>
          <w:jc w:val="center"/>
        </w:trPr>
        <w:tc>
          <w:tcPr>
            <w:tcW w:w="2088" w:type="dxa"/>
            <w:vAlign w:val="center"/>
          </w:tcPr>
          <w:p w14:paraId="387A5776"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Feature engineering</w:t>
            </w:r>
          </w:p>
        </w:tc>
        <w:tc>
          <w:tcPr>
            <w:tcW w:w="6552" w:type="dxa"/>
            <w:vAlign w:val="center"/>
          </w:tcPr>
          <w:p w14:paraId="487A128C"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Create temporal features, leakage-safe demand lags and shifted rolling features for the modelling dataset.</w:t>
            </w:r>
          </w:p>
        </w:tc>
        <w:tc>
          <w:tcPr>
            <w:tcW w:w="2376" w:type="dxa"/>
            <w:vAlign w:val="center"/>
          </w:tcPr>
          <w:p w14:paraId="0E26660B"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feature_dictionary.csv; processed sample</w:t>
            </w:r>
          </w:p>
        </w:tc>
      </w:tr>
      <w:tr w:rsidR="00135211" w:rsidRPr="00D83B29" w14:paraId="1A831B72" w14:textId="77777777">
        <w:trPr>
          <w:jc w:val="center"/>
        </w:trPr>
        <w:tc>
          <w:tcPr>
            <w:tcW w:w="2088" w:type="dxa"/>
            <w:shd w:val="clear" w:color="auto" w:fill="F2F2F2"/>
            <w:vAlign w:val="center"/>
          </w:tcPr>
          <w:p w14:paraId="236097B4"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Leakage control</w:t>
            </w:r>
          </w:p>
        </w:tc>
        <w:tc>
          <w:tcPr>
            <w:tcW w:w="6552" w:type="dxa"/>
            <w:shd w:val="clear" w:color="auto" w:fill="F2F2F2"/>
            <w:vAlign w:val="center"/>
          </w:tcPr>
          <w:p w14:paraId="4BA8A10B"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Verify that pre-dispatch and WA Market Requirements are not merged as target predictors; all lag/rolling inputs must use information available before forecast time.</w:t>
            </w:r>
          </w:p>
        </w:tc>
        <w:tc>
          <w:tcPr>
            <w:tcW w:w="2376" w:type="dxa"/>
            <w:shd w:val="clear" w:color="auto" w:fill="F2F2F2"/>
            <w:vAlign w:val="center"/>
          </w:tcPr>
          <w:p w14:paraId="1F36F5DE"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leakage_check.csv / test results</w:t>
            </w:r>
          </w:p>
        </w:tc>
      </w:tr>
      <w:tr w:rsidR="00135211" w:rsidRPr="00D83B29" w14:paraId="073EE0D4" w14:textId="77777777">
        <w:trPr>
          <w:jc w:val="center"/>
        </w:trPr>
        <w:tc>
          <w:tcPr>
            <w:tcW w:w="2088" w:type="dxa"/>
            <w:vAlign w:val="center"/>
          </w:tcPr>
          <w:p w14:paraId="32C09711"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lastRenderedPageBreak/>
              <w:t>Processed dataset</w:t>
            </w:r>
          </w:p>
        </w:tc>
        <w:tc>
          <w:tcPr>
            <w:tcW w:w="6552" w:type="dxa"/>
            <w:vAlign w:val="center"/>
          </w:tcPr>
          <w:p w14:paraId="217038ED"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Write per-region modelling-ready outputs plus a reproducible preprocessing audit.</w:t>
            </w:r>
          </w:p>
        </w:tc>
        <w:tc>
          <w:tcPr>
            <w:tcW w:w="2376" w:type="dxa"/>
            <w:vAlign w:val="center"/>
          </w:tcPr>
          <w:p w14:paraId="69449617"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modelling_&lt;REGION&gt;.csv; preprocessing_audit.csv</w:t>
            </w:r>
          </w:p>
        </w:tc>
      </w:tr>
    </w:tbl>
    <w:p w14:paraId="1243CAC8" w14:textId="77777777" w:rsidR="00135211" w:rsidRPr="00D83B29" w:rsidRDefault="00135211" w:rsidP="00D83B29">
      <w:pPr>
        <w:spacing w:after="20"/>
        <w:jc w:val="both"/>
        <w:rPr>
          <w:rFonts w:ascii="Times New Roman" w:hAnsi="Times New Roman" w:cs="Times New Roman"/>
          <w:sz w:val="22"/>
        </w:rPr>
      </w:pPr>
    </w:p>
    <w:p w14:paraId="4DC7231D" w14:textId="77777777" w:rsidR="00135211" w:rsidRDefault="00000000" w:rsidP="00D83B29">
      <w:pPr>
        <w:pStyle w:val="Heading1"/>
        <w:jc w:val="both"/>
        <w:rPr>
          <w:rFonts w:ascii="Times New Roman" w:hAnsi="Times New Roman" w:cs="Times New Roman"/>
          <w:sz w:val="22"/>
          <w:szCs w:val="22"/>
        </w:rPr>
      </w:pPr>
      <w:r w:rsidRPr="00D83B29">
        <w:rPr>
          <w:rFonts w:ascii="Times New Roman" w:hAnsi="Times New Roman" w:cs="Times New Roman"/>
          <w:sz w:val="22"/>
          <w:szCs w:val="22"/>
        </w:rPr>
        <w:t>8. WP2 Work Allocation Agreed for the Next Sprint</w:t>
      </w:r>
    </w:p>
    <w:p w14:paraId="74BED74B" w14:textId="77777777" w:rsidR="00D83B29" w:rsidRPr="00D83B29" w:rsidRDefault="00D83B29" w:rsidP="00D83B29"/>
    <w:tbl>
      <w:tblPr>
        <w:tblStyle w:val="TableGrid"/>
        <w:tblW w:w="0" w:type="auto"/>
        <w:jc w:val="center"/>
        <w:tblLayout w:type="fixed"/>
        <w:tblLook w:val="04A0" w:firstRow="1" w:lastRow="0" w:firstColumn="1" w:lastColumn="0" w:noHBand="0" w:noVBand="1"/>
      </w:tblPr>
      <w:tblGrid>
        <w:gridCol w:w="1944"/>
        <w:gridCol w:w="6264"/>
        <w:gridCol w:w="2880"/>
      </w:tblGrid>
      <w:tr w:rsidR="00135211" w:rsidRPr="00D83B29" w14:paraId="7BB4F5A4" w14:textId="77777777">
        <w:trPr>
          <w:tblHeader/>
          <w:jc w:val="center"/>
        </w:trPr>
        <w:tc>
          <w:tcPr>
            <w:tcW w:w="1944" w:type="dxa"/>
            <w:shd w:val="clear" w:color="auto" w:fill="17365D"/>
            <w:vAlign w:val="center"/>
          </w:tcPr>
          <w:p w14:paraId="6B9ADBCF"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b/>
                <w:color w:val="FFFFFF"/>
                <w:sz w:val="22"/>
              </w:rPr>
              <w:t>Member</w:t>
            </w:r>
          </w:p>
        </w:tc>
        <w:tc>
          <w:tcPr>
            <w:tcW w:w="6264" w:type="dxa"/>
            <w:shd w:val="clear" w:color="auto" w:fill="17365D"/>
            <w:vAlign w:val="center"/>
          </w:tcPr>
          <w:p w14:paraId="2EEF90F5"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b/>
                <w:color w:val="FFFFFF"/>
                <w:sz w:val="22"/>
              </w:rPr>
              <w:t>Primary preprocessing responsibility</w:t>
            </w:r>
          </w:p>
        </w:tc>
        <w:tc>
          <w:tcPr>
            <w:tcW w:w="2880" w:type="dxa"/>
            <w:shd w:val="clear" w:color="auto" w:fill="17365D"/>
            <w:vAlign w:val="center"/>
          </w:tcPr>
          <w:p w14:paraId="3798CB1D"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b/>
                <w:color w:val="FFFFFF"/>
                <w:sz w:val="22"/>
              </w:rPr>
              <w:t>Support / review relationship</w:t>
            </w:r>
          </w:p>
        </w:tc>
      </w:tr>
      <w:tr w:rsidR="00135211" w:rsidRPr="00D83B29" w14:paraId="30415BFF" w14:textId="77777777">
        <w:trPr>
          <w:jc w:val="center"/>
        </w:trPr>
        <w:tc>
          <w:tcPr>
            <w:tcW w:w="1944" w:type="dxa"/>
            <w:vAlign w:val="center"/>
          </w:tcPr>
          <w:p w14:paraId="68409A2C"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Suraj Raut</w:t>
            </w:r>
          </w:p>
        </w:tc>
        <w:tc>
          <w:tcPr>
            <w:tcW w:w="6264" w:type="dxa"/>
            <w:vAlign w:val="center"/>
          </w:tcPr>
          <w:p w14:paraId="11678518"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Core data engineering: schemas, timestamp parsing, duplicate/gap checks, 30-minute harmonisation, regional consistency and raw→interim construction.</w:t>
            </w:r>
          </w:p>
        </w:tc>
        <w:tc>
          <w:tcPr>
            <w:tcW w:w="2880" w:type="dxa"/>
            <w:vAlign w:val="center"/>
          </w:tcPr>
          <w:p w14:paraId="4B69ADE7"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Works with Sudip on WA frequency/source exceptions; outputs reviewed by Bishal.</w:t>
            </w:r>
          </w:p>
        </w:tc>
      </w:tr>
      <w:tr w:rsidR="00135211" w:rsidRPr="00D83B29" w14:paraId="58A37C6E" w14:textId="77777777">
        <w:trPr>
          <w:jc w:val="center"/>
        </w:trPr>
        <w:tc>
          <w:tcPr>
            <w:tcW w:w="1944" w:type="dxa"/>
            <w:shd w:val="clear" w:color="auto" w:fill="F2F2F2"/>
            <w:vAlign w:val="center"/>
          </w:tcPr>
          <w:p w14:paraId="567320C0"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Sudip Lamichhane</w:t>
            </w:r>
          </w:p>
        </w:tc>
        <w:tc>
          <w:tcPr>
            <w:tcW w:w="6264" w:type="dxa"/>
            <w:shd w:val="clear" w:color="auto" w:fill="F2F2F2"/>
            <w:vAlign w:val="center"/>
          </w:tcPr>
          <w:p w14:paraId="19BC3ACC"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Source integrity and WA quality: WA cutover validation, SOURCE_INTERVAL_MIN, missing/gap interpretation, source precedence and provenance protection.</w:t>
            </w:r>
          </w:p>
        </w:tc>
        <w:tc>
          <w:tcPr>
            <w:tcW w:w="2880" w:type="dxa"/>
            <w:shd w:val="clear" w:color="auto" w:fill="F2F2F2"/>
            <w:vAlign w:val="center"/>
          </w:tcPr>
          <w:p w14:paraId="65285DCD"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Supports Suraj on harmonisation; provides WA-specific constraints to Ashish for feature design.</w:t>
            </w:r>
          </w:p>
        </w:tc>
      </w:tr>
      <w:tr w:rsidR="00135211" w:rsidRPr="00D83B29" w14:paraId="3B22E41B" w14:textId="77777777">
        <w:trPr>
          <w:jc w:val="center"/>
        </w:trPr>
        <w:tc>
          <w:tcPr>
            <w:tcW w:w="1944" w:type="dxa"/>
            <w:vAlign w:val="center"/>
          </w:tcPr>
          <w:p w14:paraId="12E96493"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Ashish Shrestha</w:t>
            </w:r>
          </w:p>
        </w:tc>
        <w:tc>
          <w:tcPr>
            <w:tcW w:w="6264" w:type="dxa"/>
            <w:vAlign w:val="center"/>
          </w:tcPr>
          <w:p w14:paraId="1EC4225D"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Forecast-readiness: regional EDA, distribution/log diagnostics, feature requirements, lag/rolling design, leakage controls and modelling-ready schema.</w:t>
            </w:r>
          </w:p>
        </w:tc>
        <w:tc>
          <w:tcPr>
            <w:tcW w:w="2880" w:type="dxa"/>
            <w:vAlign w:val="center"/>
          </w:tcPr>
          <w:p w14:paraId="6566FDC9"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Uses Suraj/Sudip cleaned data; Bishal reviews evidence and leakage/quality outputs.</w:t>
            </w:r>
          </w:p>
        </w:tc>
      </w:tr>
      <w:tr w:rsidR="00135211" w:rsidRPr="00D83B29" w14:paraId="01077462" w14:textId="77777777">
        <w:trPr>
          <w:jc w:val="center"/>
        </w:trPr>
        <w:tc>
          <w:tcPr>
            <w:tcW w:w="1944" w:type="dxa"/>
            <w:shd w:val="clear" w:color="auto" w:fill="F2F2F2"/>
            <w:vAlign w:val="center"/>
          </w:tcPr>
          <w:p w14:paraId="4495C2B7"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Bishal Dahal</w:t>
            </w:r>
          </w:p>
        </w:tc>
        <w:tc>
          <w:tcPr>
            <w:tcW w:w="6264" w:type="dxa"/>
            <w:shd w:val="clear" w:color="auto" w:fill="F2F2F2"/>
            <w:vAlign w:val="center"/>
          </w:tcPr>
          <w:p w14:paraId="405BB754"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Verification/evidence: preprocessing audit, missingness/outlier visual evidence, weather/calendar validation, processed-output checks and end-to-end preprocessing tests.</w:t>
            </w:r>
          </w:p>
        </w:tc>
        <w:tc>
          <w:tcPr>
            <w:tcW w:w="2880" w:type="dxa"/>
            <w:shd w:val="clear" w:color="auto" w:fill="F2F2F2"/>
            <w:vAlign w:val="center"/>
          </w:tcPr>
          <w:p w14:paraId="1994EAFC"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Reviews all workstreams and maintains meeting/evidence records.</w:t>
            </w:r>
          </w:p>
        </w:tc>
      </w:tr>
      <w:tr w:rsidR="00135211" w:rsidRPr="00D83B29" w14:paraId="13A499D5" w14:textId="77777777">
        <w:trPr>
          <w:jc w:val="center"/>
        </w:trPr>
        <w:tc>
          <w:tcPr>
            <w:tcW w:w="1944" w:type="dxa"/>
            <w:vAlign w:val="center"/>
          </w:tcPr>
          <w:p w14:paraId="160874DF"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All</w:t>
            </w:r>
          </w:p>
        </w:tc>
        <w:tc>
          <w:tcPr>
            <w:tcW w:w="6264" w:type="dxa"/>
            <w:vAlign w:val="center"/>
          </w:tcPr>
          <w:p w14:paraId="5D785B5D"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Integrate work into one preprocessing pipeline, review changes, confirm common decisions and prepare Assessment 2 evidence.</w:t>
            </w:r>
          </w:p>
        </w:tc>
        <w:tc>
          <w:tcPr>
            <w:tcW w:w="2880" w:type="dxa"/>
            <w:vAlign w:val="center"/>
          </w:tcPr>
          <w:p w14:paraId="6D55E7A5"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Cross-review before accepting WP2 output.</w:t>
            </w:r>
          </w:p>
        </w:tc>
      </w:tr>
    </w:tbl>
    <w:p w14:paraId="034146E0" w14:textId="77777777" w:rsidR="00135211" w:rsidRPr="00D83B29" w:rsidRDefault="00135211" w:rsidP="00D83B29">
      <w:pPr>
        <w:spacing w:after="20"/>
        <w:jc w:val="both"/>
        <w:rPr>
          <w:rFonts w:ascii="Times New Roman" w:hAnsi="Times New Roman" w:cs="Times New Roman"/>
          <w:sz w:val="22"/>
        </w:rPr>
      </w:pPr>
    </w:p>
    <w:p w14:paraId="7A48C3EE" w14:textId="2468B539" w:rsidR="00135211" w:rsidRDefault="00D83B29" w:rsidP="00D83B29">
      <w:pPr>
        <w:pStyle w:val="Heading1"/>
        <w:jc w:val="both"/>
        <w:rPr>
          <w:rFonts w:ascii="Times New Roman" w:hAnsi="Times New Roman" w:cs="Times New Roman"/>
          <w:sz w:val="22"/>
          <w:szCs w:val="22"/>
        </w:rPr>
      </w:pPr>
      <w:r>
        <w:rPr>
          <w:rFonts w:ascii="Times New Roman" w:hAnsi="Times New Roman" w:cs="Times New Roman"/>
          <w:sz w:val="22"/>
          <w:szCs w:val="22"/>
        </w:rPr>
        <w:t>9</w:t>
      </w:r>
      <w:r w:rsidR="00000000" w:rsidRPr="00D83B29">
        <w:rPr>
          <w:rFonts w:ascii="Times New Roman" w:hAnsi="Times New Roman" w:cs="Times New Roman"/>
          <w:sz w:val="22"/>
          <w:szCs w:val="22"/>
        </w:rPr>
        <w:t>. Next Meeting</w:t>
      </w:r>
    </w:p>
    <w:p w14:paraId="0BD011F8" w14:textId="77777777" w:rsidR="00D83B29" w:rsidRPr="00D83B29" w:rsidRDefault="00D83B29" w:rsidP="00D83B29"/>
    <w:tbl>
      <w:tblPr>
        <w:tblStyle w:val="TableGrid"/>
        <w:tblW w:w="0" w:type="auto"/>
        <w:jc w:val="center"/>
        <w:tblLayout w:type="fixed"/>
        <w:tblLook w:val="04A0" w:firstRow="1" w:lastRow="0" w:firstColumn="1" w:lastColumn="0" w:noHBand="0" w:noVBand="1"/>
      </w:tblPr>
      <w:tblGrid>
        <w:gridCol w:w="2376"/>
        <w:gridCol w:w="8208"/>
      </w:tblGrid>
      <w:tr w:rsidR="00135211" w:rsidRPr="00D83B29" w14:paraId="1A6DD042" w14:textId="77777777">
        <w:trPr>
          <w:tblHeader/>
          <w:jc w:val="center"/>
        </w:trPr>
        <w:tc>
          <w:tcPr>
            <w:tcW w:w="2376" w:type="dxa"/>
            <w:shd w:val="clear" w:color="auto" w:fill="17365D"/>
            <w:vAlign w:val="center"/>
          </w:tcPr>
          <w:p w14:paraId="54918962"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b/>
                <w:color w:val="FFFFFF"/>
                <w:sz w:val="22"/>
              </w:rPr>
              <w:t>Field</w:t>
            </w:r>
          </w:p>
        </w:tc>
        <w:tc>
          <w:tcPr>
            <w:tcW w:w="8208" w:type="dxa"/>
            <w:shd w:val="clear" w:color="auto" w:fill="17365D"/>
            <w:vAlign w:val="center"/>
          </w:tcPr>
          <w:p w14:paraId="6E50522F"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b/>
                <w:color w:val="FFFFFF"/>
                <w:sz w:val="22"/>
              </w:rPr>
              <w:t>Detail</w:t>
            </w:r>
          </w:p>
        </w:tc>
      </w:tr>
      <w:tr w:rsidR="00135211" w:rsidRPr="00D83B29" w14:paraId="697DE067" w14:textId="77777777">
        <w:trPr>
          <w:jc w:val="center"/>
        </w:trPr>
        <w:tc>
          <w:tcPr>
            <w:tcW w:w="2376" w:type="dxa"/>
            <w:vAlign w:val="center"/>
          </w:tcPr>
          <w:p w14:paraId="01DB3F22"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Date</w:t>
            </w:r>
          </w:p>
        </w:tc>
        <w:tc>
          <w:tcPr>
            <w:tcW w:w="8208" w:type="dxa"/>
            <w:vAlign w:val="center"/>
          </w:tcPr>
          <w:p w14:paraId="5311B5F2"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Sunday, 30 August 2026</w:t>
            </w:r>
          </w:p>
        </w:tc>
      </w:tr>
      <w:tr w:rsidR="00135211" w:rsidRPr="00D83B29" w14:paraId="67BC3E43" w14:textId="77777777">
        <w:trPr>
          <w:jc w:val="center"/>
        </w:trPr>
        <w:tc>
          <w:tcPr>
            <w:tcW w:w="2376" w:type="dxa"/>
            <w:shd w:val="clear" w:color="auto" w:fill="F2F2F2"/>
            <w:vAlign w:val="center"/>
          </w:tcPr>
          <w:p w14:paraId="1D16B7F2"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Time</w:t>
            </w:r>
          </w:p>
        </w:tc>
        <w:tc>
          <w:tcPr>
            <w:tcW w:w="8208" w:type="dxa"/>
            <w:shd w:val="clear" w:color="auto" w:fill="F2F2F2"/>
            <w:vAlign w:val="center"/>
          </w:tcPr>
          <w:p w14:paraId="0B9B814E" w14:textId="6777B26D"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21:00–23:</w:t>
            </w:r>
            <w:r w:rsidR="00D83B29">
              <w:rPr>
                <w:rFonts w:ascii="Times New Roman" w:hAnsi="Times New Roman" w:cs="Times New Roman"/>
                <w:sz w:val="22"/>
              </w:rPr>
              <w:t>3</w:t>
            </w:r>
            <w:r w:rsidRPr="00D83B29">
              <w:rPr>
                <w:rFonts w:ascii="Times New Roman" w:hAnsi="Times New Roman" w:cs="Times New Roman"/>
                <w:sz w:val="22"/>
              </w:rPr>
              <w:t>0</w:t>
            </w:r>
          </w:p>
        </w:tc>
      </w:tr>
      <w:tr w:rsidR="00135211" w:rsidRPr="00D83B29" w14:paraId="2ACA58C5" w14:textId="77777777">
        <w:trPr>
          <w:jc w:val="center"/>
        </w:trPr>
        <w:tc>
          <w:tcPr>
            <w:tcW w:w="2376" w:type="dxa"/>
            <w:vAlign w:val="center"/>
          </w:tcPr>
          <w:p w14:paraId="3BAD81A2"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Primary focus</w:t>
            </w:r>
          </w:p>
        </w:tc>
        <w:tc>
          <w:tcPr>
            <w:tcW w:w="8208" w:type="dxa"/>
            <w:vAlign w:val="center"/>
          </w:tcPr>
          <w:p w14:paraId="0A52EFE8"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WP2 preprocessing implementation review: data-quality audit, cleaning, frequency/time handling, EDA, distribution/outlier analysis, weather/calendar status, feature engineering, leakage tests and first processed modelling datasets.</w:t>
            </w:r>
          </w:p>
        </w:tc>
      </w:tr>
      <w:tr w:rsidR="00135211" w:rsidRPr="00D83B29" w14:paraId="552CD74E" w14:textId="77777777">
        <w:trPr>
          <w:jc w:val="center"/>
        </w:trPr>
        <w:tc>
          <w:tcPr>
            <w:tcW w:w="2376" w:type="dxa"/>
            <w:shd w:val="clear" w:color="auto" w:fill="F2F2F2"/>
            <w:vAlign w:val="center"/>
          </w:tcPr>
          <w:p w14:paraId="2FBC4DF7"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Minimum evidence each workstream must bring</w:t>
            </w:r>
          </w:p>
        </w:tc>
        <w:tc>
          <w:tcPr>
            <w:tcW w:w="8208" w:type="dxa"/>
            <w:shd w:val="clear" w:color="auto" w:fill="F2F2F2"/>
            <w:vAlign w:val="center"/>
          </w:tcPr>
          <w:p w14:paraId="6607D2BF"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Actual pipeline-generated tables/figures or a clearly documented blocker. No task will be marked complete based only on verbal confirmation.</w:t>
            </w:r>
          </w:p>
        </w:tc>
      </w:tr>
      <w:tr w:rsidR="00135211" w:rsidRPr="00D83B29" w14:paraId="0D445214" w14:textId="77777777">
        <w:trPr>
          <w:jc w:val="center"/>
        </w:trPr>
        <w:tc>
          <w:tcPr>
            <w:tcW w:w="2376" w:type="dxa"/>
            <w:vAlign w:val="center"/>
          </w:tcPr>
          <w:p w14:paraId="344CB715"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Expected meeting decision</w:t>
            </w:r>
          </w:p>
        </w:tc>
        <w:tc>
          <w:tcPr>
            <w:tcW w:w="8208" w:type="dxa"/>
            <w:vAlign w:val="center"/>
          </w:tcPr>
          <w:p w14:paraId="7E18821B" w14:textId="77777777" w:rsidR="00135211" w:rsidRPr="00D83B29" w:rsidRDefault="00000000" w:rsidP="00D83B29">
            <w:pPr>
              <w:spacing w:after="0"/>
              <w:jc w:val="both"/>
              <w:rPr>
                <w:rFonts w:ascii="Times New Roman" w:hAnsi="Times New Roman" w:cs="Times New Roman"/>
                <w:sz w:val="22"/>
              </w:rPr>
            </w:pPr>
            <w:r w:rsidRPr="00D83B29">
              <w:rPr>
                <w:rFonts w:ascii="Times New Roman" w:hAnsi="Times New Roman" w:cs="Times New Roman"/>
                <w:sz w:val="22"/>
              </w:rPr>
              <w:t>Confirm whether WP2 has reached a reproducible modelling-ready processed dataset and identify any remaining blockers before baseline forecasting begins.</w:t>
            </w:r>
          </w:p>
        </w:tc>
      </w:tr>
    </w:tbl>
    <w:p w14:paraId="110D7DF2" w14:textId="77777777" w:rsidR="00135211" w:rsidRPr="00D83B29" w:rsidRDefault="00135211" w:rsidP="00D83B29">
      <w:pPr>
        <w:spacing w:after="20"/>
        <w:jc w:val="both"/>
        <w:rPr>
          <w:rFonts w:ascii="Times New Roman" w:hAnsi="Times New Roman" w:cs="Times New Roman"/>
          <w:sz w:val="22"/>
        </w:rPr>
      </w:pPr>
    </w:p>
    <w:p w14:paraId="5AAC624E" w14:textId="7604FADA" w:rsidR="00135211" w:rsidRPr="00D83B29" w:rsidRDefault="00135211" w:rsidP="00D83B29">
      <w:pPr>
        <w:jc w:val="both"/>
        <w:rPr>
          <w:rFonts w:ascii="Times New Roman" w:hAnsi="Times New Roman" w:cs="Times New Roman"/>
          <w:sz w:val="22"/>
        </w:rPr>
      </w:pPr>
    </w:p>
    <w:sectPr w:rsidR="00135211" w:rsidRPr="00D83B29" w:rsidSect="00034616">
      <w:footerReference w:type="default" r:id="rId8"/>
      <w:pgSz w:w="12240" w:h="15840"/>
      <w:pgMar w:top="792" w:right="893" w:bottom="792"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77BEE3" w14:textId="77777777" w:rsidR="007A439C" w:rsidRDefault="007A439C">
      <w:pPr>
        <w:spacing w:after="0" w:line="240" w:lineRule="auto"/>
      </w:pPr>
      <w:r>
        <w:separator/>
      </w:r>
    </w:p>
  </w:endnote>
  <w:endnote w:type="continuationSeparator" w:id="0">
    <w:p w14:paraId="6C7DCE22" w14:textId="77777777" w:rsidR="007A439C" w:rsidRDefault="007A43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56B0B" w14:textId="77777777" w:rsidR="00135211" w:rsidRDefault="00000000">
    <w:pPr>
      <w:pStyle w:val="Footer"/>
      <w:jc w:val="center"/>
    </w:pPr>
    <w:r>
      <w:rPr>
        <w:color w:val="646464"/>
        <w:sz w:val="16"/>
      </w:rPr>
      <w:t xml:space="preserve">Dan6: Theme 2 | Meeting 2 | 23 August 2026 | Page </w:t>
    </w:r>
    <w:r>
      <w:fldChar w:fldCharType="begin"/>
    </w:r>
    <w:r>
      <w:instrText>PAGE</w:instrText>
    </w:r>
    <w:r>
      <w:fldChar w:fldCharType="separate"/>
    </w:r>
    <w:r w:rsidR="00D83B2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0528AC" w14:textId="77777777" w:rsidR="007A439C" w:rsidRDefault="007A439C">
      <w:pPr>
        <w:spacing w:after="0" w:line="240" w:lineRule="auto"/>
      </w:pPr>
      <w:r>
        <w:separator/>
      </w:r>
    </w:p>
  </w:footnote>
  <w:footnote w:type="continuationSeparator" w:id="0">
    <w:p w14:paraId="2FA8AE19" w14:textId="77777777" w:rsidR="007A439C" w:rsidRDefault="007A43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1531068">
    <w:abstractNumId w:val="8"/>
  </w:num>
  <w:num w:numId="2" w16cid:durableId="167256839">
    <w:abstractNumId w:val="6"/>
  </w:num>
  <w:num w:numId="3" w16cid:durableId="1584100567">
    <w:abstractNumId w:val="5"/>
  </w:num>
  <w:num w:numId="4" w16cid:durableId="1446581390">
    <w:abstractNumId w:val="4"/>
  </w:num>
  <w:num w:numId="5" w16cid:durableId="449974828">
    <w:abstractNumId w:val="7"/>
  </w:num>
  <w:num w:numId="6" w16cid:durableId="1679771635">
    <w:abstractNumId w:val="3"/>
  </w:num>
  <w:num w:numId="7" w16cid:durableId="2046563790">
    <w:abstractNumId w:val="2"/>
  </w:num>
  <w:num w:numId="8" w16cid:durableId="815755740">
    <w:abstractNumId w:val="1"/>
  </w:num>
  <w:num w:numId="9" w16cid:durableId="4040346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5211"/>
    <w:rsid w:val="0015074B"/>
    <w:rsid w:val="0029639D"/>
    <w:rsid w:val="00326F90"/>
    <w:rsid w:val="007A439C"/>
    <w:rsid w:val="00A903E5"/>
    <w:rsid w:val="00AA1D8D"/>
    <w:rsid w:val="00B47730"/>
    <w:rsid w:val="00CB0664"/>
    <w:rsid w:val="00D83B29"/>
    <w:rsid w:val="00DB6E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FA5588"/>
  <w14:defaultImageDpi w14:val="300"/>
  <w15:docId w15:val="{969D2763-CB0A-48AE-9566-4A3AC1EC0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44062"/>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ptos" w:hAnsi="Aptos"/>
      <w:i/>
      <w:color w:val="595959"/>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2177</Words>
  <Characters>12413</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14561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Ashish Shrestha</cp:lastModifiedBy>
  <cp:revision>2</cp:revision>
  <dcterms:created xsi:type="dcterms:W3CDTF">2026-09-13T04:48:00Z</dcterms:created>
  <dcterms:modified xsi:type="dcterms:W3CDTF">2026-09-13T04:48:00Z</dcterms:modified>
  <cp:category/>
</cp:coreProperties>
</file>