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sz w:val="22"/>
          <w:szCs w:val="22"/>
        </w:rPr>
        <w:t xml:space="preserve">PRT661 – Data Science Practice</w:t>
      </w:r>
    </w:p>
    <w:p>
      <w:pPr>
        <w:spacing w:after="90"/>
      </w:pPr>
      <w:r>
        <w:rPr>
          <w:color w:val="444444"/>
          <w:sz w:val="18"/>
          <w:szCs w:val="18"/>
        </w:rPr>
        <w:t xml:space="preserve">Group 2 · Dan6: Theme 2 · Individual Work and Contribution Summary · WP4 Operational Portal, Automation and Deployment</w:t>
      </w:r>
    </w:p>
    <w:p>
      <w:pPr>
        <w:pBdr>
          <w:bottom w:val="single" w:color="2F5496" w:sz="6"/>
        </w:pBdr>
        <w:spacing w:after="1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CE6F1" w:val="clear"/>
            <w:tcMar>
              <w:top w:type="dxa" w:w="32"/>
              <w:left w:type="dxa" w:w="75"/>
              <w:bottom w:type="dxa" w:w="32"/>
              <w:right w:type="dxa" w:w="75"/>
            </w:tcMar>
          </w:tcPr>
          <w:p>
            <w:pPr>
              <w:spacing w:after="15" w:before="15"/>
            </w:pPr>
            <w:r>
              <w:rPr>
                <w:b/>
                <w:bCs/>
                <w:sz w:val="16"/>
                <w:szCs w:val="16"/>
              </w:rPr>
              <w:t xml:space="preserve">Field</w:t>
            </w:r>
          </w:p>
        </w:tc>
        <w:tc>
          <w:tcPr>
            <w:tcW w:type="dxa" w:w="6760"/>
            <w:shd w:fill="DCE6F1" w:val="clear"/>
            <w:tcMar>
              <w:top w:type="dxa" w:w="32"/>
              <w:left w:type="dxa" w:w="75"/>
              <w:bottom w:type="dxa" w:w="32"/>
              <w:right w:type="dxa" w:w="75"/>
            </w:tcMar>
          </w:tcPr>
          <w:p>
            <w:pPr>
              <w:spacing w:after="15" w:before="15"/>
            </w:pPr>
            <w:r>
              <w:rPr>
                <w:b/>
                <w:bCs/>
                <w:sz w:val="16"/>
                <w:szCs w:val="16"/>
              </w:rPr>
              <w:t xml:space="preserve">Detail</w:t>
            </w:r>
          </w:p>
        </w:tc>
      </w:tr>
      <w:tr>
        <w:trPr>
          <w:tblHeader w:val="false"/>
        </w:trPr>
        <w:tc>
          <w:tcPr>
            <w:tcW w:type="dxa" w:w="2600"/>
            <w:shd w:fill="F5F7FA" w:val="clear"/>
            <w:tcMar>
              <w:top w:type="dxa" w:w="32"/>
              <w:left w:type="dxa" w:w="75"/>
              <w:bottom w:type="dxa" w:w="32"/>
              <w:right w:type="dxa" w:w="75"/>
            </w:tcMar>
          </w:tcPr>
          <w:p>
            <w:pPr>
              <w:spacing w:after="15" w:before="15"/>
            </w:pPr>
            <w:r>
              <w:rPr>
                <w:b w:val="false"/>
                <w:bCs w:val="false"/>
                <w:sz w:val="16"/>
                <w:szCs w:val="16"/>
              </w:rPr>
              <w:t xml:space="preserve">Name</w:t>
            </w:r>
          </w:p>
        </w:tc>
        <w:tc>
          <w:tcPr>
            <w:tcW w:type="dxa" w:w="6760"/>
            <w:shd w:fill="F5F7FA" w:val="clear"/>
            <w:tcMar>
              <w:top w:type="dxa" w:w="32"/>
              <w:left w:type="dxa" w:w="75"/>
              <w:bottom w:type="dxa" w:w="32"/>
              <w:right w:type="dxa" w:w="75"/>
            </w:tcMar>
          </w:tcPr>
          <w:p>
            <w:pPr>
              <w:spacing w:after="15" w:before="15"/>
            </w:pPr>
            <w:r>
              <w:rPr>
                <w:b w:val="false"/>
                <w:bCs w:val="false"/>
                <w:sz w:val="16"/>
                <w:szCs w:val="16"/>
              </w:rPr>
              <w:t xml:space="preserve">Bishal Dahal</w:t>
            </w:r>
          </w:p>
        </w:tc>
      </w:tr>
      <w:tr>
        <w:trPr>
          <w:tblHeader w:val="false"/>
        </w:trPr>
        <w:tc>
          <w:tcPr>
            <w:tcW w:type="dxa" w:w="2600"/>
            <w:shd w:fill="FFFFFF" w:val="clear"/>
            <w:tcMar>
              <w:top w:type="dxa" w:w="32"/>
              <w:left w:type="dxa" w:w="75"/>
              <w:bottom w:type="dxa" w:w="32"/>
              <w:right w:type="dxa" w:w="75"/>
            </w:tcMar>
          </w:tcPr>
          <w:p>
            <w:pPr>
              <w:spacing w:after="15" w:before="15"/>
            </w:pPr>
            <w:r>
              <w:rPr>
                <w:b w:val="false"/>
                <w:bCs w:val="false"/>
                <w:sz w:val="16"/>
                <w:szCs w:val="16"/>
              </w:rPr>
              <w:t xml:space="preserve">Student ID</w:t>
            </w:r>
          </w:p>
        </w:tc>
        <w:tc>
          <w:tcPr>
            <w:tcW w:type="dxa" w:w="6760"/>
            <w:shd w:fill="FFFFFF" w:val="clear"/>
            <w:tcMar>
              <w:top w:type="dxa" w:w="32"/>
              <w:left w:type="dxa" w:w="75"/>
              <w:bottom w:type="dxa" w:w="32"/>
              <w:right w:type="dxa" w:w="75"/>
            </w:tcMar>
          </w:tcPr>
          <w:p>
            <w:pPr>
              <w:spacing w:after="15" w:before="15"/>
            </w:pPr>
            <w:r>
              <w:rPr>
                <w:b w:val="false"/>
                <w:bCs w:val="false"/>
                <w:sz w:val="16"/>
                <w:szCs w:val="16"/>
              </w:rPr>
              <w:t xml:space="preserve">S388095</w:t>
            </w:r>
          </w:p>
        </w:tc>
      </w:tr>
      <w:tr>
        <w:trPr>
          <w:tblHeader w:val="false"/>
        </w:trPr>
        <w:tc>
          <w:tcPr>
            <w:tcW w:type="dxa" w:w="2600"/>
            <w:shd w:fill="F5F7FA" w:val="clear"/>
            <w:tcMar>
              <w:top w:type="dxa" w:w="32"/>
              <w:left w:type="dxa" w:w="75"/>
              <w:bottom w:type="dxa" w:w="32"/>
              <w:right w:type="dxa" w:w="75"/>
            </w:tcMar>
          </w:tcPr>
          <w:p>
            <w:pPr>
              <w:spacing w:after="15" w:before="15"/>
            </w:pPr>
            <w:r>
              <w:rPr>
                <w:b w:val="false"/>
                <w:bCs w:val="false"/>
                <w:sz w:val="16"/>
                <w:szCs w:val="16"/>
              </w:rPr>
              <w:t xml:space="preserve">WP4 role (declared in the portal)</w:t>
            </w:r>
          </w:p>
        </w:tc>
        <w:tc>
          <w:tcPr>
            <w:tcW w:type="dxa" w:w="6760"/>
            <w:shd w:fill="F5F7FA" w:val="clear"/>
            <w:tcMar>
              <w:top w:type="dxa" w:w="32"/>
              <w:left w:type="dxa" w:w="75"/>
              <w:bottom w:type="dxa" w:w="32"/>
              <w:right w:type="dxa" w:w="75"/>
            </w:tcMar>
          </w:tcPr>
          <w:p>
            <w:pPr>
              <w:spacing w:after="15" w:before="15"/>
            </w:pPr>
            <w:r>
              <w:rPr>
                <w:b w:val="false"/>
                <w:bCs w:val="false"/>
                <w:sz w:val="16"/>
                <w:szCs w:val="16"/>
              </w:rPr>
              <w:t xml:space="preserve">Model Verification &amp; Dashboard</w:t>
            </w:r>
          </w:p>
        </w:tc>
      </w:tr>
      <w:tr>
        <w:trPr>
          <w:tblHeader w:val="false"/>
        </w:trPr>
        <w:tc>
          <w:tcPr>
            <w:tcW w:type="dxa" w:w="2600"/>
            <w:shd w:fill="FFFFFF" w:val="clear"/>
            <w:tcMar>
              <w:top w:type="dxa" w:w="32"/>
              <w:left w:type="dxa" w:w="75"/>
              <w:bottom w:type="dxa" w:w="32"/>
              <w:right w:type="dxa" w:w="75"/>
            </w:tcMar>
          </w:tcPr>
          <w:p>
            <w:pPr>
              <w:spacing w:after="15" w:before="15"/>
            </w:pPr>
            <w:r>
              <w:rPr>
                <w:b w:val="false"/>
                <w:bCs w:val="false"/>
                <w:sz w:val="16"/>
                <w:szCs w:val="16"/>
              </w:rPr>
              <w:t xml:space="preserve">Modules owned</w:t>
            </w:r>
          </w:p>
        </w:tc>
        <w:tc>
          <w:tcPr>
            <w:tcW w:type="dxa" w:w="6760"/>
            <w:shd w:fill="FFFFFF" w:val="clear"/>
            <w:tcMar>
              <w:top w:type="dxa" w:w="32"/>
              <w:left w:type="dxa" w:w="75"/>
              <w:bottom w:type="dxa" w:w="32"/>
              <w:right w:type="dxa" w:w="75"/>
            </w:tcMar>
          </w:tcPr>
          <w:p>
            <w:pPr>
              <w:spacing w:after="15" w:before="15"/>
            </w:pPr>
            <w:r>
              <w:rPr>
                <w:b w:val="false"/>
                <w:bCs w:val="false"/>
                <w:sz w:val="16"/>
                <w:szCs w:val="16"/>
              </w:rPr>
              <w:t xml:space="preserve">app/app.py, app/assets/dashboard.css, app/assets/portal_a11y.js, pipeline/insights.py, pipeline/verification.py</w:t>
            </w:r>
          </w:p>
        </w:tc>
      </w:tr>
      <w:tr>
        <w:trPr>
          <w:tblHeader w:val="false"/>
        </w:trPr>
        <w:tc>
          <w:tcPr>
            <w:tcW w:type="dxa" w:w="2600"/>
            <w:shd w:fill="F5F7FA" w:val="clear"/>
            <w:tcMar>
              <w:top w:type="dxa" w:w="32"/>
              <w:left w:type="dxa" w:w="75"/>
              <w:bottom w:type="dxa" w:w="32"/>
              <w:right w:type="dxa" w:w="75"/>
            </w:tcMar>
          </w:tcPr>
          <w:p>
            <w:pPr>
              <w:spacing w:after="15" w:before="15"/>
            </w:pPr>
            <w:r>
              <w:rPr>
                <w:b w:val="false"/>
                <w:bCs w:val="false"/>
                <w:sz w:val="16"/>
                <w:szCs w:val="16"/>
              </w:rPr>
              <w:t xml:space="preserve">Work package</w:t>
            </w:r>
          </w:p>
        </w:tc>
        <w:tc>
          <w:tcPr>
            <w:tcW w:type="dxa" w:w="6760"/>
            <w:shd w:fill="F5F7FA" w:val="clear"/>
            <w:tcMar>
              <w:top w:type="dxa" w:w="32"/>
              <w:left w:type="dxa" w:w="75"/>
              <w:bottom w:type="dxa" w:w="32"/>
              <w:right w:type="dxa" w:w="75"/>
            </w:tcMar>
          </w:tcPr>
          <w:p>
            <w:pPr>
              <w:spacing w:after="15" w:before="15"/>
            </w:pPr>
            <w:r>
              <w:rPr>
                <w:b w:val="false"/>
                <w:bCs w:val="false"/>
                <w:sz w:val="16"/>
                <w:szCs w:val="16"/>
              </w:rPr>
              <w:t xml:space="preserve">WP4 — Operational portal, automation and deployment</w:t>
            </w:r>
          </w:p>
        </w:tc>
      </w:tr>
      <w:tr>
        <w:trPr>
          <w:tblHeader w:val="false"/>
        </w:trPr>
        <w:tc>
          <w:tcPr>
            <w:tcW w:type="dxa" w:w="2600"/>
            <w:shd w:fill="FFFFFF" w:val="clear"/>
            <w:tcMar>
              <w:top w:type="dxa" w:w="32"/>
              <w:left w:type="dxa" w:w="75"/>
              <w:bottom w:type="dxa" w:w="32"/>
              <w:right w:type="dxa" w:w="75"/>
            </w:tcMar>
          </w:tcPr>
          <w:p>
            <w:pPr>
              <w:spacing w:after="15" w:before="15"/>
            </w:pPr>
            <w:r>
              <w:rPr>
                <w:b w:val="false"/>
                <w:bCs w:val="false"/>
                <w:sz w:val="16"/>
                <w:szCs w:val="16"/>
              </w:rPr>
              <w:t xml:space="preserve">Evidence build</w:t>
            </w:r>
          </w:p>
        </w:tc>
        <w:tc>
          <w:tcPr>
            <w:tcW w:type="dxa" w:w="6760"/>
            <w:shd w:fill="FFFFFF" w:val="clear"/>
            <w:tcMar>
              <w:top w:type="dxa" w:w="32"/>
              <w:left w:type="dxa" w:w="75"/>
              <w:bottom w:type="dxa" w:w="32"/>
              <w:right w:type="dxa" w:w="75"/>
            </w:tcMar>
          </w:tcPr>
          <w:p>
            <w:pPr>
              <w:spacing w:after="15" w:before="15"/>
            </w:pPr>
            <w:r>
              <w:rPr>
                <w:b w:val="false"/>
                <w:bCs w:val="false"/>
                <w:sz w:val="16"/>
                <w:szCs w:val="16"/>
              </w:rPr>
              <w:t xml:space="preserve">Portal v3.0.0 · pipeline v4.0.0 · model evidence wp4-2026-09-29 (run EnergyForecast_Run_20260929_145931)</w:t>
            </w:r>
          </w:p>
        </w:tc>
      </w:tr>
      <w:tr>
        <w:trPr>
          <w:tblHeader w:val="false"/>
        </w:trPr>
        <w:tc>
          <w:tcPr>
            <w:tcW w:type="dxa" w:w="2600"/>
            <w:shd w:fill="F5F7FA" w:val="clear"/>
            <w:tcMar>
              <w:top w:type="dxa" w:w="32"/>
              <w:left w:type="dxa" w:w="75"/>
              <w:bottom w:type="dxa" w:w="32"/>
              <w:right w:type="dxa" w:w="75"/>
            </w:tcMar>
          </w:tcPr>
          <w:p>
            <w:pPr>
              <w:spacing w:after="15" w:before="15"/>
            </w:pPr>
            <w:r>
              <w:rPr>
                <w:b w:val="false"/>
                <w:bCs w:val="false"/>
                <w:sz w:val="16"/>
                <w:szCs w:val="16"/>
              </w:rPr>
              <w:t xml:space="preserve">Status</w:t>
            </w:r>
          </w:p>
        </w:tc>
        <w:tc>
          <w:tcPr>
            <w:tcW w:type="dxa" w:w="6760"/>
            <w:shd w:fill="F5F7FA" w:val="clear"/>
            <w:tcMar>
              <w:top w:type="dxa" w:w="32"/>
              <w:left w:type="dxa" w:w="75"/>
              <w:bottom w:type="dxa" w:w="32"/>
              <w:right w:type="dxa" w:w="75"/>
            </w:tcMar>
          </w:tcPr>
          <w:p>
            <w:pPr>
              <w:spacing w:after="15" w:before="15"/>
            </w:pPr>
            <w:r>
              <w:rPr>
                <w:b w:val="false"/>
                <w:bCs w:val="false"/>
                <w:sz w:val="16"/>
                <w:szCs w:val="16"/>
              </w:rPr>
              <w:t xml:space="preserve">Portal operating locally and verified by automated tests; deployment configured and documented, not yet demonstrated</w:t>
            </w:r>
          </w:p>
        </w:tc>
      </w:tr>
    </w:tbl>
    <w:p>
      <w:pPr>
        <w:spacing w:after="50" w:before="50"/>
      </w:pPr>
      <w:r>
        <w:rPr>
          <w:b/>
          <w:bCs/>
          <w:i w:val="false"/>
          <w:iCs w:val="false"/>
          <w:sz w:val="19"/>
          <w:szCs w:val="19"/>
        </w:rPr>
        <w:t xml:space="preserve">Scope note. </w:t>
      </w:r>
      <w:r>
        <w:rPr>
          <w:b w:val="false"/>
          <w:bCs w:val="false"/>
          <w:i w:val="false"/>
          <w:iCs w:val="false"/>
          <w:sz w:val="19"/>
          <w:szCs w:val="19"/>
        </w:rPr>
        <w:t xml:space="preserve">This document covers WP4 — the operational portal, automation and deployment work carried out after the WP3 submission. Evidence is the supplied portal source (portal v3.0.0, pipeline v4.0.0), the curated model-evidence pack (wp4-2026-09-29), the v3.0.0 release documents and nine screenshots of the running portal captured 2 October 2026. Module ownership follows the role titles declared in the portal and continuity from WP2 and WP3; it is not derived from commit history, because the supplied repository contains no commits.</w:t>
      </w:r>
    </w:p>
    <w:p>
      <w:pPr>
        <w:pStyle w:val="Heading1"/>
        <w:spacing w:after="90" w:before="210"/>
      </w:pPr>
      <w:r>
        <w:rPr>
          <w:b/>
          <w:bCs/>
          <w:color w:val="1F3864"/>
          <w:sz w:val="26"/>
          <w:szCs w:val="26"/>
        </w:rPr>
        <w:t xml:space="preserve">1. What I was responsible for</w:t>
      </w:r>
    </w:p>
    <w:p>
      <w:pPr>
        <w:spacing w:after="50" w:before="50"/>
      </w:pPr>
      <w:r>
        <w:rPr>
          <w:sz w:val="19"/>
          <w:szCs w:val="19"/>
        </w:rPr>
        <w:t xml:space="preserve">Everything the user sees, and whether what they see is true. The four portal views, the accuracy scoring that feeds them, the generated explanations, the accessibility behaviour, and the warnings that appear when the portal cannot stand behind a number.</w:t>
      </w:r>
    </w:p>
    <w:p>
      <w:pPr>
        <w:pStyle w:val="Heading1"/>
        <w:spacing w:after="90" w:before="210"/>
      </w:pPr>
      <w:r>
        <w:rPr>
          <w:b/>
          <w:bCs/>
          <w:color w:val="1F3864"/>
          <w:sz w:val="26"/>
          <w:szCs w:val="26"/>
        </w:rPr>
        <w:t xml:space="preserve">2. What I built</w:t>
      </w:r>
    </w:p>
    <w:p>
      <w:pPr>
        <w:pStyle w:val="ListParagraph"/>
        <w:numPr>
          <w:ilvl w:val="0"/>
          <w:numId w:val="1"/>
        </w:numPr>
        <w:spacing w:after="25" w:before="25"/>
      </w:pPr>
      <w:r>
        <w:rPr>
          <w:sz w:val="19"/>
          <w:szCs w:val="19"/>
        </w:rPr>
        <w:t xml:space="preserve">The Dash application: four views — Dashboard, Forecast Performance, AEMO Comparison and Regional Analysis — across 4,363 lines and 30 callbacks.</w:t>
      </w:r>
    </w:p>
    <w:p>
      <w:pPr>
        <w:pStyle w:val="ListParagraph"/>
        <w:numPr>
          <w:ilvl w:val="0"/>
          <w:numId w:val="1"/>
        </w:numPr>
        <w:spacing w:after="25" w:before="25"/>
      </w:pPr>
      <w:r>
        <w:rPr>
          <w:sz w:val="19"/>
          <w:szCs w:val="19"/>
        </w:rPr>
        <w:t xml:space="preserve">The verification engine: stored forecasts are joined to actual demand on exact timestamps as actuals arrive, scored for error, absolute error, squared error and sMAPE, and upserted so a record is never lost.</w:t>
      </w:r>
    </w:p>
    <w:p>
      <w:pPr>
        <w:pStyle w:val="ListParagraph"/>
        <w:numPr>
          <w:ilvl w:val="0"/>
          <w:numId w:val="1"/>
        </w:numPr>
        <w:spacing w:after="25" w:before="25"/>
      </w:pPr>
      <w:r>
        <w:rPr>
          <w:sz w:val="19"/>
          <w:szCs w:val="19"/>
        </w:rPr>
        <w:t xml:space="preserve">The generated insight system: deterministic sentences derived from evidence and live values, with no language model involved — direction in words, decision confidence, horizon behaviour, stability by year, weather effect, drivers, peaks and freshness.</w:t>
      </w:r>
    </w:p>
    <w:p>
      <w:pPr>
        <w:pStyle w:val="ListParagraph"/>
        <w:numPr>
          <w:ilvl w:val="0"/>
          <w:numId w:val="1"/>
        </w:numPr>
        <w:spacing w:after="25" w:before="25"/>
      </w:pPr>
      <w:r>
        <w:rPr>
          <w:sz w:val="19"/>
          <w:szCs w:val="19"/>
        </w:rPr>
        <w:t xml:space="preserve">The model-comparison view: a ten-model ranking with the selected model outlined, research candidates marked, incomplete models hatched, and a technical drawer holding the statistical tests and failures.</w:t>
      </w:r>
    </w:p>
    <w:p>
      <w:pPr>
        <w:pStyle w:val="ListParagraph"/>
        <w:numPr>
          <w:ilvl w:val="0"/>
          <w:numId w:val="1"/>
        </w:numPr>
        <w:spacing w:after="25" w:before="25"/>
      </w:pPr>
      <w:r>
        <w:rPr>
          <w:sz w:val="19"/>
          <w:szCs w:val="19"/>
        </w:rPr>
        <w:t xml:space="preserve">The honesty guards: stale-data notice, served-versus-selected warning, mixed-model-version chip, evidence-status indicator, and empty states everywhere instead of placeholder values.</w:t>
      </w:r>
    </w:p>
    <w:p>
      <w:pPr>
        <w:pStyle w:val="ListParagraph"/>
        <w:numPr>
          <w:ilvl w:val="0"/>
          <w:numId w:val="1"/>
        </w:numPr>
        <w:spacing w:after="25" w:before="25"/>
      </w:pPr>
      <w:r>
        <w:rPr>
          <w:sz w:val="19"/>
          <w:szCs w:val="19"/>
        </w:rPr>
        <w:t xml:space="preserve">Accessibility and responsive behaviour: screen-reader chart summaries, an aria-live region announcement, keyboard tab navigation, model families distinguished by pattern as well as colour, 44 px touch targets and breakpoints at 1100 / 900 / 680 / 420 px.</w:t>
      </w:r>
    </w:p>
    <w:p>
      <w:pPr>
        <w:pStyle w:val="ListParagraph"/>
        <w:numPr>
          <w:ilvl w:val="0"/>
          <w:numId w:val="1"/>
        </w:numPr>
        <w:spacing w:after="25" w:before="25"/>
      </w:pPr>
      <w:r>
        <w:rPr>
          <w:sz w:val="19"/>
          <w:szCs w:val="19"/>
        </w:rPr>
        <w:t xml:space="preserve">The test suites covering the application, the insight rules and the static assets — 33 of the 63 test functions.</w:t>
      </w:r>
    </w:p>
    <w:p>
      <w:pPr>
        <w:pStyle w:val="Heading1"/>
        <w:spacing w:after="90" w:before="210"/>
      </w:pPr>
      <w:r>
        <w:rPr>
          <w:b/>
          <w:bCs/>
          <w:color w:val="1F3864"/>
          <w:sz w:val="26"/>
          <w:szCs w:val="26"/>
        </w:rPr>
        <w:t xml:space="preserve">3. Problems I hit and how I solved them</w:t>
      </w:r>
    </w:p>
    <w:p>
      <w:pPr>
        <w:pStyle w:val="Heading2"/>
        <w:spacing w:after="70" w:before="160"/>
      </w:pPr>
      <w:r>
        <w:rPr>
          <w:b/>
          <w:bCs/>
          <w:color w:val="2F5496"/>
          <w:sz w:val="21"/>
          <w:szCs w:val="21"/>
        </w:rPr>
        <w:t xml:space="preserve">3.1 A chart can be accurate and still mislead</w:t>
      </w:r>
    </w:p>
    <w:p>
      <w:pPr>
        <w:spacing w:after="50" w:before="50"/>
      </w:pPr>
      <w:r>
        <w:rPr>
          <w:b/>
          <w:bCs/>
          <w:i w:val="false"/>
          <w:iCs w:val="false"/>
          <w:sz w:val="19"/>
          <w:szCs w:val="19"/>
        </w:rPr>
        <w:t xml:space="preserve">Problem. </w:t>
      </w:r>
      <w:r>
        <w:rPr>
          <w:b w:val="false"/>
          <w:bCs w:val="false"/>
          <w:i w:val="false"/>
          <w:iCs w:val="false"/>
          <w:sz w:val="19"/>
          <w:szCs w:val="19"/>
        </w:rPr>
        <w:t xml:space="preserve">Early versions put a large number on every card. A page covered in precise figures reads as authoritative, but it does not tell a visitor what the figures mean, and it hides the ones that matter. It also invites comparison between numbers that are not comparable — a percentage error in South Australia against the same metric in New South Wales, for example.</w:t>
      </w:r>
    </w:p>
    <w:p>
      <w:pPr>
        <w:spacing w:after="50" w:before="50"/>
      </w:pPr>
      <w:r>
        <w:rPr>
          <w:b/>
          <w:bCs/>
          <w:i w:val="false"/>
          <w:iCs w:val="false"/>
          <w:sz w:val="19"/>
          <w:szCs w:val="19"/>
        </w:rPr>
        <w:t xml:space="preserve">What I did. </w:t>
      </w:r>
      <w:r>
        <w:rPr>
          <w:b w:val="false"/>
          <w:bCs w:val="false"/>
          <w:i w:val="false"/>
          <w:iCs w:val="false"/>
          <w:sz w:val="19"/>
          <w:szCs w:val="19"/>
        </w:rPr>
        <w:t xml:space="preserve">I set an explicit numeric budget per view — three prominent numbers on the live view, three on live verification, two on the AEMO view — and moved everything else behind "more metrics" disclosures. Each card now follows the same shape: a question, one generated sentence answering it, a small visual, and optional technical detail. Where a metric needs translating, the portal translates it: "missed by about 73 MW — about 5% of typical demand in this period".</w:t>
      </w:r>
    </w:p>
    <w:p>
      <w:pPr>
        <w:spacing w:after="50" w:before="50"/>
      </w:pPr>
      <w:r>
        <w:rPr>
          <w:b/>
          <w:bCs/>
          <w:i w:val="false"/>
          <w:iCs w:val="false"/>
          <w:sz w:val="19"/>
          <w:szCs w:val="19"/>
        </w:rPr>
        <w:t xml:space="preserve">Result. </w:t>
      </w:r>
      <w:r>
        <w:rPr>
          <w:b w:val="false"/>
          <w:bCs w:val="false"/>
          <w:i w:val="false"/>
          <w:iCs w:val="false"/>
          <w:sz w:val="19"/>
          <w:szCs w:val="19"/>
        </w:rPr>
        <w:t xml:space="preserve">The page is readable by someone who does not work with forecasts, and the numbers that remain prominent are the ones a reader can act on. Nothing was deleted; it was ranked.</w:t>
      </w:r>
    </w:p>
    <w:p>
      <w:pPr>
        <w:pStyle w:val="Heading2"/>
        <w:spacing w:after="70" w:before="160"/>
      </w:pPr>
      <w:r>
        <w:rPr>
          <w:b/>
          <w:bCs/>
          <w:color w:val="2F5496"/>
          <w:sz w:val="21"/>
          <w:szCs w:val="21"/>
        </w:rPr>
        <w:t xml:space="preserve">3.2 The insight sentences had to be incapable of flattering the model</w:t>
      </w:r>
    </w:p>
    <w:p>
      <w:pPr>
        <w:spacing w:after="50" w:before="50"/>
      </w:pPr>
      <w:r>
        <w:rPr>
          <w:b/>
          <w:bCs/>
          <w:i w:val="false"/>
          <w:iCs w:val="false"/>
          <w:sz w:val="19"/>
          <w:szCs w:val="19"/>
        </w:rPr>
        <w:t xml:space="preserve">Problem. </w:t>
      </w:r>
      <w:r>
        <w:rPr>
          <w:b w:val="false"/>
          <w:bCs w:val="false"/>
          <w:i w:val="false"/>
          <w:iCs w:val="false"/>
          <w:sz w:val="19"/>
          <w:szCs w:val="19"/>
        </w:rPr>
        <w:t xml:space="preserve">Generated text that describes results is dangerous: the easy failure is wording that says "improved" whenever a number moves, regardless of whether the improvement is real. With deep-learning models newly added, that risk was immediate.</w:t>
      </w:r>
    </w:p>
    <w:p>
      <w:pPr>
        <w:spacing w:after="50" w:before="50"/>
      </w:pPr>
      <w:r>
        <w:rPr>
          <w:b/>
          <w:bCs/>
          <w:i w:val="false"/>
          <w:iCs w:val="false"/>
          <w:sz w:val="19"/>
          <w:szCs w:val="19"/>
        </w:rPr>
        <w:t xml:space="preserve">What I did. </w:t>
      </w:r>
      <w:r>
        <w:rPr>
          <w:b w:val="false"/>
          <w:bCs w:val="false"/>
          <w:i w:val="false"/>
          <w:iCs w:val="false"/>
          <w:sz w:val="19"/>
          <w:szCs w:val="19"/>
        </w:rPr>
        <w:t xml:space="preserve">I made every sentence deterministic and rule-bound, with thresholds fixed in advance: a margin is clear only if the runner-up is at least 3% behind and the statistical test returns p &lt; 0.05, otherwise it is narrow; peaks are harder only above a ratio of 1.1; a weather difference under 1% is "little difference". I then wrote tests that assert the wording directly — that no "improved" phrasing appears when the material-improvement flags are false, that a weak year is named where the evidence shows one, and that a non-monotonic horizon is described as such.</w:t>
      </w:r>
    </w:p>
    <w:p>
      <w:pPr>
        <w:spacing w:after="50" w:before="50"/>
      </w:pPr>
      <w:r>
        <w:rPr>
          <w:b/>
          <w:bCs/>
          <w:i w:val="false"/>
          <w:iCs w:val="false"/>
          <w:sz w:val="19"/>
          <w:szCs w:val="19"/>
        </w:rPr>
        <w:t xml:space="preserve">Result. </w:t>
      </w:r>
      <w:r>
        <w:rPr>
          <w:b w:val="false"/>
          <w:bCs w:val="false"/>
          <w:i w:val="false"/>
          <w:iCs w:val="false"/>
          <w:sz w:val="19"/>
          <w:szCs w:val="19"/>
        </w:rPr>
        <w:t xml:space="preserve">The portal describes three of six regional selections as narrow margins rather than wins, and reports the two new neural models as not improving on the existing ones. The sentences cannot become more positive than the evidence, because the thresholds are not in the wording, they are in the tests.</w:t>
      </w:r>
    </w:p>
    <w:p>
      <w:pPr>
        <w:pStyle w:val="Heading2"/>
        <w:spacing w:after="70" w:before="160"/>
      </w:pPr>
      <w:r>
        <w:rPr>
          <w:b/>
          <w:bCs/>
          <w:color w:val="2F5496"/>
          <w:sz w:val="21"/>
          <w:szCs w:val="21"/>
        </w:rPr>
        <w:t xml:space="preserve">3.3 A number can be right and still be mislabelled</w:t>
      </w:r>
    </w:p>
    <w:p>
      <w:pPr>
        <w:spacing w:after="50" w:before="50"/>
      </w:pPr>
      <w:r>
        <w:rPr>
          <w:b/>
          <w:bCs/>
          <w:i w:val="false"/>
          <w:iCs w:val="false"/>
          <w:sz w:val="19"/>
          <w:szCs w:val="19"/>
        </w:rPr>
        <w:t xml:space="preserve">Problem. </w:t>
      </w:r>
      <w:r>
        <w:rPr>
          <w:b w:val="false"/>
          <w:bCs w:val="false"/>
          <w:i w:val="false"/>
          <w:iCs w:val="false"/>
          <w:sz w:val="19"/>
          <w:szCs w:val="19"/>
        </w:rPr>
        <w:t xml:space="preserve">The accuracy figure shown for a period assumes one model produced every forecast in it. During a retrain or a fallback that is false, and a visitor would be reading a single figure describing a mixture. Similarly, if the model being viewed is not the one serving production, showing its historical error band would suggest the plotted forecast carries that band.</w:t>
      </w:r>
    </w:p>
    <w:p>
      <w:pPr>
        <w:spacing w:after="50" w:before="50"/>
      </w:pPr>
      <w:r>
        <w:rPr>
          <w:b/>
          <w:bCs/>
          <w:i w:val="false"/>
          <w:iCs w:val="false"/>
          <w:sz w:val="19"/>
          <w:szCs w:val="19"/>
        </w:rPr>
        <w:t xml:space="preserve">What I did. </w:t>
      </w:r>
      <w:r>
        <w:rPr>
          <w:b w:val="false"/>
          <w:bCs w:val="false"/>
          <w:i w:val="false"/>
          <w:iCs w:val="false"/>
          <w:sz w:val="19"/>
          <w:szCs w:val="19"/>
        </w:rPr>
        <w:t xml:space="preserve">I added a mixed-model-version warning for any scored period containing more than one production version, a served-versus-selected line that always states which model actually produced the plotted forecast, and logic that hides the error band whenever the viewed model is not the selected one.</w:t>
      </w:r>
    </w:p>
    <w:p>
      <w:pPr>
        <w:spacing w:after="50" w:before="50"/>
      </w:pPr>
      <w:r>
        <w:rPr>
          <w:b/>
          <w:bCs/>
          <w:i w:val="false"/>
          <w:iCs w:val="false"/>
          <w:sz w:val="19"/>
          <w:szCs w:val="19"/>
        </w:rPr>
        <w:t xml:space="preserve">Result. </w:t>
      </w:r>
      <w:r>
        <w:rPr>
          <w:b w:val="false"/>
          <w:bCs w:val="false"/>
          <w:i w:val="false"/>
          <w:iCs w:val="false"/>
          <w:sz w:val="19"/>
          <w:szCs w:val="19"/>
        </w:rPr>
        <w:t xml:space="preserve">The screenshots show both working: the live verification view carries the mixed-version chip, and the SA1 model card states the fallback. A visitor can always tell which model produced the line on the chart, which is the minimum a forecasting portal owes its reader.</w:t>
      </w:r>
    </w:p>
    <w:p>
      <w:pPr>
        <w:pStyle w:val="Heading1"/>
        <w:spacing w:after="90" w:before="210"/>
      </w:pPr>
      <w:r>
        <w:rPr>
          <w:b/>
          <w:bCs/>
          <w:color w:val="1F3864"/>
          <w:sz w:val="26"/>
          <w:szCs w:val="26"/>
        </w:rPr>
        <w:t xml:space="preserve">4. Evidence from the verified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DCE6F1" w:val="clear"/>
            <w:tcMar>
              <w:top w:type="dxa" w:w="32"/>
              <w:left w:type="dxa" w:w="75"/>
              <w:bottom w:type="dxa" w:w="32"/>
              <w:right w:type="dxa" w:w="75"/>
            </w:tcMar>
          </w:tcPr>
          <w:p>
            <w:pPr>
              <w:spacing w:after="15" w:before="15"/>
            </w:pPr>
            <w:r>
              <w:rPr>
                <w:b/>
                <w:bCs/>
                <w:sz w:val="16"/>
                <w:szCs w:val="16"/>
              </w:rPr>
              <w:t xml:space="preserve">Measure</w:t>
            </w:r>
          </w:p>
        </w:tc>
        <w:tc>
          <w:tcPr>
            <w:tcW w:type="dxa" w:w="5160"/>
            <w:shd w:fill="DCE6F1" w:val="clear"/>
            <w:tcMar>
              <w:top w:type="dxa" w:w="32"/>
              <w:left w:type="dxa" w:w="75"/>
              <w:bottom w:type="dxa" w:w="32"/>
              <w:right w:type="dxa" w:w="75"/>
            </w:tcMar>
          </w:tcPr>
          <w:p>
            <w:pPr>
              <w:spacing w:after="15" w:before="15"/>
            </w:pPr>
            <w:r>
              <w:rPr>
                <w:b/>
                <w:bCs/>
                <w:sz w:val="16"/>
                <w:szCs w:val="16"/>
              </w:rPr>
              <w:t xml:space="preserve">Value</w:t>
            </w:r>
          </w:p>
        </w:tc>
      </w:tr>
      <w:tr>
        <w:trPr>
          <w:tblHeader w:val="false"/>
        </w:trPr>
        <w:tc>
          <w:tcPr>
            <w:tcW w:type="dxa" w:w="4200"/>
            <w:shd w:fill="F5F7FA" w:val="clear"/>
            <w:tcMar>
              <w:top w:type="dxa" w:w="32"/>
              <w:left w:type="dxa" w:w="75"/>
              <w:bottom w:type="dxa" w:w="32"/>
              <w:right w:type="dxa" w:w="75"/>
            </w:tcMar>
          </w:tcPr>
          <w:p>
            <w:pPr>
              <w:spacing w:after="15" w:before="15"/>
            </w:pPr>
            <w:r>
              <w:rPr>
                <w:b w:val="false"/>
                <w:bCs w:val="false"/>
                <w:sz w:val="16"/>
                <w:szCs w:val="16"/>
              </w:rPr>
              <w:t xml:space="preserve">Portal views delivered</w:t>
            </w:r>
          </w:p>
        </w:tc>
        <w:tc>
          <w:tcPr>
            <w:tcW w:type="dxa" w:w="5160"/>
            <w:shd w:fill="F5F7FA" w:val="clear"/>
            <w:tcMar>
              <w:top w:type="dxa" w:w="32"/>
              <w:left w:type="dxa" w:w="75"/>
              <w:bottom w:type="dxa" w:w="32"/>
              <w:right w:type="dxa" w:w="75"/>
            </w:tcMar>
          </w:tcPr>
          <w:p>
            <w:pPr>
              <w:spacing w:after="15" w:before="15"/>
            </w:pPr>
            <w:r>
              <w:rPr>
                <w:b w:val="false"/>
                <w:bCs w:val="false"/>
                <w:sz w:val="16"/>
                <w:szCs w:val="16"/>
              </w:rPr>
              <w:t xml:space="preserve">4 — Dashboard, Forecast Performance, AEMO Comparison, Regional Analysis</w:t>
            </w:r>
          </w:p>
        </w:tc>
      </w:tr>
      <w:tr>
        <w:trPr>
          <w:tblHeader w:val="false"/>
        </w:trPr>
        <w:tc>
          <w:tcPr>
            <w:tcW w:type="dxa" w:w="4200"/>
            <w:shd w:fill="FFFFFF" w:val="clear"/>
            <w:tcMar>
              <w:top w:type="dxa" w:w="32"/>
              <w:left w:type="dxa" w:w="75"/>
              <w:bottom w:type="dxa" w:w="32"/>
              <w:right w:type="dxa" w:w="75"/>
            </w:tcMar>
          </w:tcPr>
          <w:p>
            <w:pPr>
              <w:spacing w:after="15" w:before="15"/>
            </w:pPr>
            <w:r>
              <w:rPr>
                <w:b w:val="false"/>
                <w:bCs w:val="false"/>
                <w:sz w:val="16"/>
                <w:szCs w:val="16"/>
              </w:rPr>
              <w:t xml:space="preserve">Application size</w:t>
            </w:r>
          </w:p>
        </w:tc>
        <w:tc>
          <w:tcPr>
            <w:tcW w:type="dxa" w:w="5160"/>
            <w:shd w:fill="FFFFFF" w:val="clear"/>
            <w:tcMar>
              <w:top w:type="dxa" w:w="32"/>
              <w:left w:type="dxa" w:w="75"/>
              <w:bottom w:type="dxa" w:w="32"/>
              <w:right w:type="dxa" w:w="75"/>
            </w:tcMar>
          </w:tcPr>
          <w:p>
            <w:pPr>
              <w:spacing w:after="15" w:before="15"/>
            </w:pPr>
            <w:r>
              <w:rPr>
                <w:b w:val="false"/>
                <w:bCs w:val="false"/>
                <w:sz w:val="16"/>
                <w:szCs w:val="16"/>
              </w:rPr>
              <w:t xml:space="preserve">app.py 4,363 lines, 30 callbacks; dashboard.css 1,124 lines</w:t>
            </w:r>
          </w:p>
        </w:tc>
      </w:tr>
      <w:tr>
        <w:trPr>
          <w:tblHeader w:val="false"/>
        </w:trPr>
        <w:tc>
          <w:tcPr>
            <w:tcW w:type="dxa" w:w="4200"/>
            <w:shd w:fill="F5F7FA" w:val="clear"/>
            <w:tcMar>
              <w:top w:type="dxa" w:w="32"/>
              <w:left w:type="dxa" w:w="75"/>
              <w:bottom w:type="dxa" w:w="32"/>
              <w:right w:type="dxa" w:w="75"/>
            </w:tcMar>
          </w:tcPr>
          <w:p>
            <w:pPr>
              <w:spacing w:after="15" w:before="15"/>
            </w:pPr>
            <w:r>
              <w:rPr>
                <w:b w:val="false"/>
                <w:bCs w:val="false"/>
                <w:sz w:val="16"/>
                <w:szCs w:val="16"/>
              </w:rPr>
              <w:t xml:space="preserve">Test functions owned</w:t>
            </w:r>
          </w:p>
        </w:tc>
        <w:tc>
          <w:tcPr>
            <w:tcW w:type="dxa" w:w="5160"/>
            <w:shd w:fill="F5F7FA" w:val="clear"/>
            <w:tcMar>
              <w:top w:type="dxa" w:w="32"/>
              <w:left w:type="dxa" w:w="75"/>
              <w:bottom w:type="dxa" w:w="32"/>
              <w:right w:type="dxa" w:w="75"/>
            </w:tcMar>
          </w:tcPr>
          <w:p>
            <w:pPr>
              <w:spacing w:after="15" w:before="15"/>
            </w:pPr>
            <w:r>
              <w:rPr>
                <w:b w:val="false"/>
                <w:bCs w:val="false"/>
                <w:sz w:val="16"/>
                <w:szCs w:val="16"/>
              </w:rPr>
              <w:t xml:space="preserve">33 of 63 (app smoke 16, evidence and insights 12, static assets 5)</w:t>
            </w:r>
          </w:p>
        </w:tc>
      </w:tr>
      <w:tr>
        <w:trPr>
          <w:tblHeader w:val="false"/>
        </w:trPr>
        <w:tc>
          <w:tcPr>
            <w:tcW w:type="dxa" w:w="4200"/>
            <w:shd w:fill="FFFFFF" w:val="clear"/>
            <w:tcMar>
              <w:top w:type="dxa" w:w="32"/>
              <w:left w:type="dxa" w:w="75"/>
              <w:bottom w:type="dxa" w:w="32"/>
              <w:right w:type="dxa" w:w="75"/>
            </w:tcMar>
          </w:tcPr>
          <w:p>
            <w:pPr>
              <w:spacing w:after="15" w:before="15"/>
            </w:pPr>
            <w:r>
              <w:rPr>
                <w:b w:val="false"/>
                <w:bCs w:val="false"/>
                <w:sz w:val="16"/>
                <w:szCs w:val="16"/>
              </w:rPr>
              <w:t xml:space="preserve">Numeric budget</w:t>
            </w:r>
          </w:p>
        </w:tc>
        <w:tc>
          <w:tcPr>
            <w:tcW w:type="dxa" w:w="5160"/>
            <w:shd w:fill="FFFFFF" w:val="clear"/>
            <w:tcMar>
              <w:top w:type="dxa" w:w="32"/>
              <w:left w:type="dxa" w:w="75"/>
              <w:bottom w:type="dxa" w:w="32"/>
              <w:right w:type="dxa" w:w="75"/>
            </w:tcMar>
          </w:tcPr>
          <w:p>
            <w:pPr>
              <w:spacing w:after="15" w:before="15"/>
            </w:pPr>
            <w:r>
              <w:rPr>
                <w:b w:val="false"/>
                <w:bCs w:val="false"/>
                <w:sz w:val="16"/>
                <w:szCs w:val="16"/>
              </w:rPr>
              <w:t xml:space="preserve">Live 3 prominent numbers; live verification 3; AEMO 2</w:t>
            </w:r>
          </w:p>
        </w:tc>
      </w:tr>
      <w:tr>
        <w:trPr>
          <w:tblHeader w:val="false"/>
        </w:trPr>
        <w:tc>
          <w:tcPr>
            <w:tcW w:type="dxa" w:w="4200"/>
            <w:shd w:fill="F5F7FA" w:val="clear"/>
            <w:tcMar>
              <w:top w:type="dxa" w:w="32"/>
              <w:left w:type="dxa" w:w="75"/>
              <w:bottom w:type="dxa" w:w="32"/>
              <w:right w:type="dxa" w:w="75"/>
            </w:tcMar>
          </w:tcPr>
          <w:p>
            <w:pPr>
              <w:spacing w:after="15" w:before="15"/>
            </w:pPr>
            <w:r>
              <w:rPr>
                <w:b w:val="false"/>
                <w:bCs w:val="false"/>
                <w:sz w:val="16"/>
                <w:szCs w:val="16"/>
              </w:rPr>
              <w:t xml:space="preserve">Honesty guards implemented</w:t>
            </w:r>
          </w:p>
        </w:tc>
        <w:tc>
          <w:tcPr>
            <w:tcW w:type="dxa" w:w="5160"/>
            <w:shd w:fill="F5F7FA" w:val="clear"/>
            <w:tcMar>
              <w:top w:type="dxa" w:w="32"/>
              <w:left w:type="dxa" w:w="75"/>
              <w:bottom w:type="dxa" w:w="32"/>
              <w:right w:type="dxa" w:w="75"/>
            </w:tcMar>
          </w:tcPr>
          <w:p>
            <w:pPr>
              <w:spacing w:after="15" w:before="15"/>
            </w:pPr>
            <w:r>
              <w:rPr>
                <w:b w:val="false"/>
                <w:bCs w:val="false"/>
                <w:sz w:val="16"/>
                <w:szCs w:val="16"/>
              </w:rPr>
              <w:t xml:space="preserve">5 — stale data, served vs selected, mixed version, evidence status, empty states</w:t>
            </w:r>
          </w:p>
        </w:tc>
      </w:tr>
      <w:tr>
        <w:trPr>
          <w:tblHeader w:val="false"/>
        </w:trPr>
        <w:tc>
          <w:tcPr>
            <w:tcW w:type="dxa" w:w="4200"/>
            <w:shd w:fill="FFFFFF" w:val="clear"/>
            <w:tcMar>
              <w:top w:type="dxa" w:w="32"/>
              <w:left w:type="dxa" w:w="75"/>
              <w:bottom w:type="dxa" w:w="32"/>
              <w:right w:type="dxa" w:w="75"/>
            </w:tcMar>
          </w:tcPr>
          <w:p>
            <w:pPr>
              <w:spacing w:after="15" w:before="15"/>
            </w:pPr>
            <w:r>
              <w:rPr>
                <w:b w:val="false"/>
                <w:bCs w:val="false"/>
                <w:sz w:val="16"/>
                <w:szCs w:val="16"/>
              </w:rPr>
              <w:t xml:space="preserve">Accessibility</w:t>
            </w:r>
          </w:p>
        </w:tc>
        <w:tc>
          <w:tcPr>
            <w:tcW w:type="dxa" w:w="5160"/>
            <w:shd w:fill="FFFFFF" w:val="clear"/>
            <w:tcMar>
              <w:top w:type="dxa" w:w="32"/>
              <w:left w:type="dxa" w:w="75"/>
              <w:bottom w:type="dxa" w:w="32"/>
              <w:right w:type="dxa" w:w="75"/>
            </w:tcMar>
          </w:tcPr>
          <w:p>
            <w:pPr>
              <w:spacing w:after="15" w:before="15"/>
            </w:pPr>
            <w:r>
              <w:rPr>
                <w:b w:val="false"/>
                <w:bCs w:val="false"/>
                <w:sz w:val="16"/>
                <w:szCs w:val="16"/>
              </w:rPr>
              <w:t xml:space="preserve">sr-only chart summaries, aria-live announcement, keyboard tabs, pattern + colour, 44 px targets</w:t>
            </w:r>
          </w:p>
        </w:tc>
      </w:tr>
      <w:tr>
        <w:trPr>
          <w:tblHeader w:val="false"/>
        </w:trPr>
        <w:tc>
          <w:tcPr>
            <w:tcW w:type="dxa" w:w="4200"/>
            <w:shd w:fill="F5F7FA" w:val="clear"/>
            <w:tcMar>
              <w:top w:type="dxa" w:w="32"/>
              <w:left w:type="dxa" w:w="75"/>
              <w:bottom w:type="dxa" w:w="32"/>
              <w:right w:type="dxa" w:w="75"/>
            </w:tcMar>
          </w:tcPr>
          <w:p>
            <w:pPr>
              <w:spacing w:after="15" w:before="15"/>
            </w:pPr>
            <w:r>
              <w:rPr>
                <w:b w:val="false"/>
                <w:bCs w:val="false"/>
                <w:sz w:val="16"/>
                <w:szCs w:val="16"/>
              </w:rPr>
              <w:t xml:space="preserve">Month-to-date verification scored</w:t>
            </w:r>
          </w:p>
        </w:tc>
        <w:tc>
          <w:tcPr>
            <w:tcW w:type="dxa" w:w="5160"/>
            <w:shd w:fill="F5F7FA" w:val="clear"/>
            <w:tcMar>
              <w:top w:type="dxa" w:w="32"/>
              <w:left w:type="dxa" w:w="75"/>
              <w:bottom w:type="dxa" w:w="32"/>
              <w:right w:type="dxa" w:w="75"/>
            </w:tcMar>
          </w:tcPr>
          <w:p>
            <w:pPr>
              <w:spacing w:after="15" w:before="15"/>
            </w:pPr>
            <w:r>
              <w:rPr>
                <w:b w:val="false"/>
                <w:bCs w:val="false"/>
                <w:sz w:val="16"/>
                <w:szCs w:val="16"/>
              </w:rPr>
              <w:t xml:space="preserve">3,765 intervals across six regions, 0 excluded from sMAPE</w:t>
            </w:r>
          </w:p>
        </w:tc>
      </w:tr>
      <w:tr>
        <w:trPr>
          <w:tblHeader w:val="false"/>
        </w:trPr>
        <w:tc>
          <w:tcPr>
            <w:tcW w:type="dxa" w:w="4200"/>
            <w:shd w:fill="FFFFFF" w:val="clear"/>
            <w:tcMar>
              <w:top w:type="dxa" w:w="32"/>
              <w:left w:type="dxa" w:w="75"/>
              <w:bottom w:type="dxa" w:w="32"/>
              <w:right w:type="dxa" w:w="75"/>
            </w:tcMar>
          </w:tcPr>
          <w:p>
            <w:pPr>
              <w:spacing w:after="15" w:before="15"/>
            </w:pPr>
            <w:r>
              <w:rPr>
                <w:b w:val="false"/>
                <w:bCs w:val="false"/>
                <w:sz w:val="16"/>
                <w:szCs w:val="16"/>
              </w:rPr>
              <w:t xml:space="preserve">Findings carried from WP3 and confirmed</w:t>
            </w:r>
          </w:p>
        </w:tc>
        <w:tc>
          <w:tcPr>
            <w:tcW w:type="dxa" w:w="5160"/>
            <w:shd w:fill="FFFFFF" w:val="clear"/>
            <w:tcMar>
              <w:top w:type="dxa" w:w="32"/>
              <w:left w:type="dxa" w:w="75"/>
              <w:bottom w:type="dxa" w:w="32"/>
              <w:right w:type="dxa" w:w="75"/>
            </w:tcMar>
          </w:tcPr>
          <w:p>
            <w:pPr>
              <w:spacing w:after="15" w:before="15"/>
            </w:pPr>
            <w:r>
              <w:rPr>
                <w:b w:val="false"/>
                <w:bCs w:val="false"/>
                <w:sz w:val="16"/>
                <w:szCs w:val="16"/>
              </w:rPr>
              <w:t xml:space="preserve">VIC1 under-forecast −74.7 MW; SA1 high percentage error at low absolute error</w:t>
            </w:r>
          </w:p>
        </w:tc>
      </w:tr>
    </w:tbl>
    <w:p>
      <w:pPr>
        <w:spacing w:after="130" w:before="40"/>
      </w:pPr>
      <w:r>
        <w:rPr>
          <w:i/>
          <w:iCs/>
          <w:sz w:val="17"/>
          <w:szCs w:val="17"/>
        </w:rPr>
        <w:t xml:space="preserve">Table 2. Measured outcomes.</w:t>
      </w:r>
    </w:p>
    <w:p>
      <w:pPr>
        <w:pStyle w:val="Heading1"/>
        <w:spacing w:after="90" w:before="210"/>
      </w:pPr>
      <w:r>
        <w:rPr>
          <w:b/>
          <w:bCs/>
          <w:color w:val="1F3864"/>
          <w:sz w:val="26"/>
          <w:szCs w:val="26"/>
        </w:rPr>
        <w:t xml:space="preserve">5. Where I depended on the team</w:t>
      </w:r>
    </w:p>
    <w:p>
      <w:pPr>
        <w:pStyle w:val="ListParagraph"/>
        <w:numPr>
          <w:ilvl w:val="0"/>
          <w:numId w:val="1"/>
        </w:numPr>
        <w:spacing w:after="25" w:before="25"/>
      </w:pPr>
      <w:r>
        <w:rPr>
          <w:sz w:val="19"/>
          <w:szCs w:val="19"/>
        </w:rPr>
        <w:t xml:space="preserve">Ashish’s resolver tells the portal which model is selected and which is actually served; the warnings are only meaningful because that distinction exists upstream.</w:t>
      </w:r>
    </w:p>
    <w:p>
      <w:pPr>
        <w:pStyle w:val="ListParagraph"/>
        <w:numPr>
          <w:ilvl w:val="0"/>
          <w:numId w:val="1"/>
        </w:numPr>
        <w:spacing w:after="25" w:before="25"/>
      </w:pPr>
      <w:r>
        <w:rPr>
          <w:sz w:val="19"/>
          <w:szCs w:val="19"/>
        </w:rPr>
        <w:t xml:space="preserve">Sudip’s scheduled jobs produce the stored forecasts the verification engine scores — with no worker, there is nothing to verify.</w:t>
      </w:r>
    </w:p>
    <w:p>
      <w:pPr>
        <w:pStyle w:val="ListParagraph"/>
        <w:numPr>
          <w:ilvl w:val="0"/>
          <w:numId w:val="1"/>
        </w:numPr>
        <w:spacing w:after="25" w:before="25"/>
      </w:pPr>
      <w:r>
        <w:rPr>
          <w:sz w:val="19"/>
          <w:szCs w:val="19"/>
        </w:rPr>
        <w:t xml:space="preserve">Suraj’s timezone handling is what allows a chart to show market time and a clock to show local time without either being wrong.</w:t>
      </w:r>
    </w:p>
    <w:p>
      <w:pPr>
        <w:pStyle w:val="Heading1"/>
        <w:spacing w:after="90" w:before="210"/>
      </w:pPr>
      <w:r>
        <w:rPr>
          <w:b/>
          <w:bCs/>
          <w:color w:val="1F3864"/>
          <w:sz w:val="26"/>
          <w:szCs w:val="26"/>
        </w:rPr>
        <w:t xml:space="preserve">6. Where I supported others</w:t>
      </w:r>
    </w:p>
    <w:p>
      <w:pPr>
        <w:pStyle w:val="ListParagraph"/>
        <w:numPr>
          <w:ilvl w:val="0"/>
          <w:numId w:val="1"/>
        </w:numPr>
        <w:spacing w:after="25" w:before="25"/>
      </w:pPr>
      <w:r>
        <w:rPr>
          <w:sz w:val="19"/>
          <w:szCs w:val="19"/>
        </w:rPr>
        <w:t xml:space="preserve">Reported the version discrepancy between the release documents and the supplied build rather than leaving the two to disagree quietly.</w:t>
      </w:r>
    </w:p>
    <w:p>
      <w:pPr>
        <w:pStyle w:val="ListParagraph"/>
        <w:numPr>
          <w:ilvl w:val="0"/>
          <w:numId w:val="1"/>
        </w:numPr>
        <w:spacing w:after="25" w:before="25"/>
      </w:pPr>
      <w:r>
        <w:rPr>
          <w:sz w:val="19"/>
          <w:szCs w:val="19"/>
        </w:rPr>
        <w:t xml:space="preserve">Produced the evidence CSV and model-card downloads so a reader can check any figure on the page against its source.</w:t>
      </w:r>
    </w:p>
    <w:p>
      <w:pPr>
        <w:pStyle w:val="ListParagraph"/>
        <w:numPr>
          <w:ilvl w:val="0"/>
          <w:numId w:val="1"/>
        </w:numPr>
        <w:spacing w:after="25" w:before="25"/>
      </w:pPr>
      <w:r>
        <w:rPr>
          <w:sz w:val="19"/>
          <w:szCs w:val="19"/>
        </w:rPr>
        <w:t xml:space="preserve">Supplied the verification output that the production month-to-date table in the WP4 report is drawn from.</w:t>
      </w:r>
    </w:p>
    <w:p>
      <w:pPr>
        <w:pStyle w:val="Heading1"/>
        <w:spacing w:after="90" w:before="210"/>
      </w:pPr>
      <w:r>
        <w:rPr>
          <w:b/>
          <w:bCs/>
          <w:color w:val="1F3864"/>
          <w:sz w:val="26"/>
          <w:szCs w:val="26"/>
        </w:rPr>
        <w:t xml:space="preserve">7.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CE6F1" w:val="clear"/>
            <w:tcMar>
              <w:top w:type="dxa" w:w="32"/>
              <w:left w:type="dxa" w:w="75"/>
              <w:bottom w:type="dxa" w:w="32"/>
              <w:right w:type="dxa" w:w="75"/>
            </w:tcMar>
          </w:tcPr>
          <w:p>
            <w:pPr>
              <w:spacing w:after="15" w:before="15"/>
            </w:pPr>
            <w:r>
              <w:rPr>
                <w:b/>
                <w:bCs/>
                <w:sz w:val="16"/>
                <w:szCs w:val="16"/>
              </w:rPr>
              <w:t xml:space="preserve">Artefact</w:t>
            </w:r>
          </w:p>
        </w:tc>
        <w:tc>
          <w:tcPr>
            <w:tcW w:type="dxa" w:w="6360"/>
            <w:shd w:fill="DCE6F1" w:val="clear"/>
            <w:tcMar>
              <w:top w:type="dxa" w:w="32"/>
              <w:left w:type="dxa" w:w="75"/>
              <w:bottom w:type="dxa" w:w="32"/>
              <w:right w:type="dxa" w:w="75"/>
            </w:tcMar>
          </w:tcPr>
          <w:p>
            <w:pPr>
              <w:spacing w:after="15" w:before="15"/>
            </w:pPr>
            <w:r>
              <w:rPr>
                <w:b/>
                <w:bCs/>
                <w:sz w:val="16"/>
                <w:szCs w:val="16"/>
              </w:rPr>
              <w:t xml:space="preserve">Location</w:t>
            </w:r>
          </w:p>
        </w:tc>
      </w:tr>
      <w:tr>
        <w:trPr>
          <w:tblHeader w:val="false"/>
        </w:trPr>
        <w:tc>
          <w:tcPr>
            <w:tcW w:type="dxa" w:w="3000"/>
            <w:shd w:fill="F5F7FA" w:val="clear"/>
            <w:tcMar>
              <w:top w:type="dxa" w:w="32"/>
              <w:left w:type="dxa" w:w="75"/>
              <w:bottom w:type="dxa" w:w="32"/>
              <w:right w:type="dxa" w:w="75"/>
            </w:tcMar>
          </w:tcPr>
          <w:p>
            <w:pPr>
              <w:spacing w:after="15" w:before="15"/>
            </w:pPr>
            <w:r>
              <w:rPr>
                <w:b w:val="false"/>
                <w:bCs w:val="false"/>
                <w:sz w:val="16"/>
                <w:szCs w:val="16"/>
              </w:rPr>
              <w:t xml:space="preserve">Modules</w:t>
            </w:r>
          </w:p>
        </w:tc>
        <w:tc>
          <w:tcPr>
            <w:tcW w:type="dxa" w:w="6360"/>
            <w:shd w:fill="F5F7FA" w:val="clear"/>
            <w:tcMar>
              <w:top w:type="dxa" w:w="32"/>
              <w:left w:type="dxa" w:w="75"/>
              <w:bottom w:type="dxa" w:w="32"/>
              <w:right w:type="dxa" w:w="75"/>
            </w:tcMar>
          </w:tcPr>
          <w:p>
            <w:pPr>
              <w:spacing w:after="15" w:before="15"/>
            </w:pPr>
            <w:r>
              <w:rPr>
                <w:b w:val="false"/>
                <w:bCs w:val="false"/>
                <w:sz w:val="16"/>
                <w:szCs w:val="16"/>
              </w:rPr>
              <w:t xml:space="preserve">app/app.py; app/assets/dashboard.css; app/assets/portal_a11y.js; pipeline/insights.py; pipeline/verification.py</w:t>
            </w:r>
          </w:p>
        </w:tc>
      </w:tr>
      <w:tr>
        <w:trPr>
          <w:tblHeader w:val="false"/>
        </w:trPr>
        <w:tc>
          <w:tcPr>
            <w:tcW w:type="dxa" w:w="3000"/>
            <w:shd w:fill="FFFFFF" w:val="clear"/>
            <w:tcMar>
              <w:top w:type="dxa" w:w="32"/>
              <w:left w:type="dxa" w:w="75"/>
              <w:bottom w:type="dxa" w:w="32"/>
              <w:right w:type="dxa" w:w="75"/>
            </w:tcMar>
          </w:tcPr>
          <w:p>
            <w:pPr>
              <w:spacing w:after="15" w:before="15"/>
            </w:pPr>
            <w:r>
              <w:rPr>
                <w:b w:val="false"/>
                <w:bCs w:val="false"/>
                <w:sz w:val="16"/>
                <w:szCs w:val="16"/>
              </w:rPr>
              <w:t xml:space="preserve">Tests</w:t>
            </w:r>
          </w:p>
        </w:tc>
        <w:tc>
          <w:tcPr>
            <w:tcW w:type="dxa" w:w="6360"/>
            <w:shd w:fill="FFFFFF" w:val="clear"/>
            <w:tcMar>
              <w:top w:type="dxa" w:w="32"/>
              <w:left w:type="dxa" w:w="75"/>
              <w:bottom w:type="dxa" w:w="32"/>
              <w:right w:type="dxa" w:w="75"/>
            </w:tcMar>
          </w:tcPr>
          <w:p>
            <w:pPr>
              <w:spacing w:after="15" w:before="15"/>
            </w:pPr>
            <w:r>
              <w:rPr>
                <w:b w:val="false"/>
                <w:bCs w:val="false"/>
                <w:sz w:val="16"/>
                <w:szCs w:val="16"/>
              </w:rPr>
              <w:t xml:space="preserve">tests/test_app_smoke.py (16); test_evidence_insights.py (12); test_static_assets.py (5)</w:t>
            </w:r>
          </w:p>
        </w:tc>
      </w:tr>
      <w:tr>
        <w:trPr>
          <w:tblHeader w:val="false"/>
        </w:trPr>
        <w:tc>
          <w:tcPr>
            <w:tcW w:type="dxa" w:w="3000"/>
            <w:shd w:fill="F5F7FA" w:val="clear"/>
            <w:tcMar>
              <w:top w:type="dxa" w:w="32"/>
              <w:left w:type="dxa" w:w="75"/>
              <w:bottom w:type="dxa" w:w="32"/>
              <w:right w:type="dxa" w:w="75"/>
            </w:tcMar>
          </w:tcPr>
          <w:p>
            <w:pPr>
              <w:spacing w:after="15" w:before="15"/>
            </w:pPr>
            <w:r>
              <w:rPr>
                <w:b w:val="false"/>
                <w:bCs w:val="false"/>
                <w:sz w:val="16"/>
                <w:szCs w:val="16"/>
              </w:rPr>
              <w:t xml:space="preserve">Design record</w:t>
            </w:r>
          </w:p>
        </w:tc>
        <w:tc>
          <w:tcPr>
            <w:tcW w:type="dxa" w:w="6360"/>
            <w:shd w:fill="F5F7FA" w:val="clear"/>
            <w:tcMar>
              <w:top w:type="dxa" w:w="32"/>
              <w:left w:type="dxa" w:w="75"/>
              <w:bottom w:type="dxa" w:w="32"/>
              <w:right w:type="dxa" w:w="75"/>
            </w:tcMar>
          </w:tcPr>
          <w:p>
            <w:pPr>
              <w:spacing w:after="15" w:before="15"/>
            </w:pPr>
            <w:r>
              <w:rPr>
                <w:b w:val="false"/>
                <w:bCs w:val="false"/>
                <w:sz w:val="16"/>
                <w:szCs w:val="16"/>
              </w:rPr>
              <w:t xml:space="preserve">DASHBOARD_V2_DESIGN_NOTES.md — numeric budget, insight rules, accessibility, honesty guards</w:t>
            </w:r>
          </w:p>
        </w:tc>
      </w:tr>
      <w:tr>
        <w:trPr>
          <w:tblHeader w:val="false"/>
        </w:trPr>
        <w:tc>
          <w:tcPr>
            <w:tcW w:type="dxa" w:w="3000"/>
            <w:shd w:fill="FFFFFF" w:val="clear"/>
            <w:tcMar>
              <w:top w:type="dxa" w:w="32"/>
              <w:left w:type="dxa" w:w="75"/>
              <w:bottom w:type="dxa" w:w="32"/>
              <w:right w:type="dxa" w:w="75"/>
            </w:tcMar>
          </w:tcPr>
          <w:p>
            <w:pPr>
              <w:spacing w:after="15" w:before="15"/>
            </w:pPr>
            <w:r>
              <w:rPr>
                <w:b w:val="false"/>
                <w:bCs w:val="false"/>
                <w:sz w:val="16"/>
                <w:szCs w:val="16"/>
              </w:rPr>
              <w:t xml:space="preserve">Evidence</w:t>
            </w:r>
          </w:p>
        </w:tc>
        <w:tc>
          <w:tcPr>
            <w:tcW w:type="dxa" w:w="6360"/>
            <w:shd w:fill="FFFFFF" w:val="clear"/>
            <w:tcMar>
              <w:top w:type="dxa" w:w="32"/>
              <w:left w:type="dxa" w:w="75"/>
              <w:bottom w:type="dxa" w:w="32"/>
              <w:right w:type="dxa" w:w="75"/>
            </w:tcMar>
          </w:tcPr>
          <w:p>
            <w:pPr>
              <w:spacing w:after="15" w:before="15"/>
            </w:pPr>
            <w:r>
              <w:rPr>
                <w:b w:val="false"/>
                <w:bCs w:val="false"/>
                <w:sz w:val="16"/>
                <w:szCs w:val="16"/>
              </w:rPr>
              <w:t xml:space="preserve">forecast_error_bands.csv; forecast_error_bands_daily.csv; production_month_to_date_verification.csv</w:t>
            </w:r>
          </w:p>
        </w:tc>
      </w:tr>
      <w:tr>
        <w:trPr>
          <w:tblHeader w:val="false"/>
        </w:trPr>
        <w:tc>
          <w:tcPr>
            <w:tcW w:type="dxa" w:w="3000"/>
            <w:shd w:fill="F5F7FA" w:val="clear"/>
            <w:tcMar>
              <w:top w:type="dxa" w:w="32"/>
              <w:left w:type="dxa" w:w="75"/>
              <w:bottom w:type="dxa" w:w="32"/>
              <w:right w:type="dxa" w:w="75"/>
            </w:tcMar>
          </w:tcPr>
          <w:p>
            <w:pPr>
              <w:spacing w:after="15" w:before="15"/>
            </w:pPr>
            <w:r>
              <w:rPr>
                <w:b w:val="false"/>
                <w:bCs w:val="false"/>
                <w:sz w:val="16"/>
                <w:szCs w:val="16"/>
              </w:rPr>
              <w:t xml:space="preserve">Screenshots</w:t>
            </w:r>
          </w:p>
        </w:tc>
        <w:tc>
          <w:tcPr>
            <w:tcW w:type="dxa" w:w="6360"/>
            <w:shd w:fill="F5F7FA" w:val="clear"/>
            <w:tcMar>
              <w:top w:type="dxa" w:w="32"/>
              <w:left w:type="dxa" w:w="75"/>
              <w:bottom w:type="dxa" w:w="32"/>
              <w:right w:type="dxa" w:w="75"/>
            </w:tcMar>
          </w:tcPr>
          <w:p>
            <w:pPr>
              <w:spacing w:after="15" w:before="15"/>
            </w:pPr>
            <w:r>
              <w:rPr>
                <w:b w:val="false"/>
                <w:bCs w:val="false"/>
                <w:sz w:val="16"/>
                <w:szCs w:val="16"/>
              </w:rPr>
              <w:t xml:space="preserve">Nine captures of the running portal, 2 October 2026</w:t>
            </w:r>
          </w:p>
        </w:tc>
      </w:tr>
      <w:tr>
        <w:trPr>
          <w:tblHeader w:val="false"/>
        </w:trPr>
        <w:tc>
          <w:tcPr>
            <w:tcW w:type="dxa" w:w="3000"/>
            <w:shd w:fill="FFFFFF" w:val="clear"/>
            <w:tcMar>
              <w:top w:type="dxa" w:w="32"/>
              <w:left w:type="dxa" w:w="75"/>
              <w:bottom w:type="dxa" w:w="32"/>
              <w:right w:type="dxa" w:w="75"/>
            </w:tcMar>
          </w:tcPr>
          <w:p>
            <w:pPr>
              <w:spacing w:after="15" w:before="15"/>
            </w:pPr>
            <w:r>
              <w:rPr>
                <w:b w:val="false"/>
                <w:bCs w:val="false"/>
                <w:sz w:val="16"/>
                <w:szCs w:val="16"/>
              </w:rPr>
              <w:t xml:space="preserve">Commit</w:t>
            </w:r>
          </w:p>
        </w:tc>
        <w:tc>
          <w:tcPr>
            <w:tcW w:type="dxa" w:w="6360"/>
            <w:shd w:fill="FFFFFF" w:val="clear"/>
            <w:tcMar>
              <w:top w:type="dxa" w:w="32"/>
              <w:left w:type="dxa" w:w="75"/>
              <w:bottom w:type="dxa" w:w="32"/>
              <w:right w:type="dxa" w:w="75"/>
            </w:tcMar>
          </w:tcPr>
          <w:p>
            <w:pPr>
              <w:spacing w:after="15" w:before="15"/>
            </w:pPr>
            <w:r>
              <w:rPr>
                <w:b w:val="false"/>
                <w:bCs w:val="false"/>
                <w:sz w:val="16"/>
                <w:szCs w:val="16"/>
              </w:rPr>
              <w:t xml:space="preserve">[insert commit link]</w:t>
            </w:r>
          </w:p>
        </w:tc>
      </w:tr>
    </w:tbl>
    <w:p>
      <w:pPr>
        <w:spacing w:after="50" w:before="50"/>
      </w:pPr>
      <w:r>
        <w:rPr>
          <w:i/>
          <w:iCs/>
          <w:sz w:val="17"/>
          <w:szCs w:val="17"/>
        </w:rPr>
        <w:t xml:space="preserve">Commit and pull-request links must be inserted before submission. The supplied repository contains no commits.</w:t>
      </w:r>
    </w:p>
    <w:p>
      <w:pPr>
        <w:pStyle w:val="Heading1"/>
        <w:spacing w:after="90" w:before="210"/>
      </w:pPr>
      <w:r>
        <w:rPr>
          <w:b/>
          <w:bCs/>
          <w:color w:val="1F3864"/>
          <w:sz w:val="26"/>
          <w:szCs w:val="26"/>
        </w:rPr>
        <w:t xml:space="preserve">8. Professional reflection</w:t>
      </w:r>
    </w:p>
    <w:p>
      <w:pPr>
        <w:spacing w:after="50" w:before="50"/>
      </w:pPr>
      <w:r>
        <w:rPr>
          <w:sz w:val="19"/>
          <w:szCs w:val="19"/>
        </w:rPr>
        <w:t xml:space="preserve">[INSERT 120–150 WORD REFLECTION. Suggested focus: the hardest part of this work was not building the views but deciding what not to show — a dense page of precise numbers looks more rigorous and communicates less. The insight rules taught the sharper lesson: generated text will flatter a model unless the thresholds are written into tests rather than into wording, and writing a test that asserts the absence of the word "improved" was the point at which the portal stopped being able to overstate its own results.]</w:t>
      </w:r>
    </w:p>
    <w:sectPr>
      <w:pgSz w:w="11906" w:h="16838" w:orient="portrait"/>
      <w:pgMar w:top="900" w:right="950" w:bottom="90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WP4 Individual Contribution — Bishal Dahal</dc:title>
  <dc:creator>Dan6 / Group 2 — PRT661</dc:creator>
  <cp:lastModifiedBy>Un-named</cp:lastModifiedBy>
  <cp:revision>1</cp:revision>
  <dcterms:created xsi:type="dcterms:W3CDTF">2026-10-11T14:14:11.882Z</dcterms:created>
  <dcterms:modified xsi:type="dcterms:W3CDTF">2026-10-11T14:14:11.882Z</dcterms:modified>
</cp:coreProperties>
</file>

<file path=docProps/custom.xml><?xml version="1.0" encoding="utf-8"?>
<Properties xmlns="http://schemas.openxmlformats.org/officeDocument/2006/custom-properties" xmlns:vt="http://schemas.openxmlformats.org/officeDocument/2006/docPropsVTypes"/>
</file>