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2B8C82"/>
          <w:sz w:val="20"/>
        </w:rPr>
        <w:t>PRT661 – DATA SCIENCE PRACTICE</w:t>
      </w:r>
    </w:p>
    <w:p>
      <w:pPr>
        <w:jc w:val="center"/>
      </w:pPr>
      <w:r>
        <w:rPr>
          <w:b/>
          <w:color w:val="173A63"/>
          <w:sz w:val="48"/>
        </w:rPr>
        <w:t>WP1 Individual Contribution</w:t>
        <w:br/>
        <w:t>and Progress Report</w:t>
      </w:r>
    </w:p>
    <w:p>
      <w:pPr>
        <w:jc w:val="center"/>
      </w:pPr>
      <w:r>
        <w:rPr>
          <w:color w:val="667085"/>
          <w:sz w:val="22"/>
        </w:rPr>
        <w:t>Sudip Lamichhane · Data Acquisition &amp; Correction Handling Lead</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A63"/>
            <w:vAlign w:val="center"/>
            <w:tcMar>
              <w:top w:w="70" w:type="dxa"/>
              <w:start w:w="80" w:type="dxa"/>
              <w:bottom w:w="70" w:type="dxa"/>
              <w:end w:w="80" w:type="dxa"/>
            </w:tcMar>
          </w:tcPr>
          <w:p>
            <w:r>
              <w:rPr>
                <w:b/>
                <w:color w:val="FFFFFF"/>
                <w:sz w:val="17"/>
              </w:rPr>
              <w:t>Field</w:t>
            </w:r>
          </w:p>
        </w:tc>
        <w:tc>
          <w:tcPr>
            <w:tcW w:type="dxa" w:w="7056"/>
            <w:shd w:fill="173A63"/>
            <w:vAlign w:val="center"/>
            <w:tcMar>
              <w:top w:w="70" w:type="dxa"/>
              <w:start w:w="80" w:type="dxa"/>
              <w:bottom w:w="70" w:type="dxa"/>
              <w:end w:w="80" w:type="dxa"/>
            </w:tcMar>
          </w:tcPr>
          <w:p>
            <w:r>
              <w:rPr>
                <w:b/>
                <w:color w:val="FFFFFF"/>
                <w:sz w:val="17"/>
              </w:rPr>
              <w:t>Detail</w:t>
            </w:r>
          </w:p>
        </w:tc>
      </w:tr>
      <w:tr>
        <w:trPr>
          <w:cantSplit/>
        </w:trPr>
        <w:tc>
          <w:tcPr>
            <w:tcW w:type="dxa" w:w="2448"/>
            <w:vAlign w:val="top"/>
            <w:tcMar>
              <w:top w:w="70" w:type="dxa"/>
              <w:start w:w="80" w:type="dxa"/>
              <w:bottom w:w="70" w:type="dxa"/>
              <w:end w:w="80" w:type="dxa"/>
            </w:tcMar>
          </w:tcPr>
          <w:p>
            <w:pPr>
              <w:spacing w:after="0"/>
            </w:pPr>
            <w:r>
              <w:rPr>
                <w:color w:val="1F2937"/>
                <w:sz w:val="17"/>
              </w:rPr>
              <w:t>Student</w:t>
            </w:r>
          </w:p>
        </w:tc>
        <w:tc>
          <w:tcPr>
            <w:tcW w:type="dxa" w:w="7056"/>
            <w:vAlign w:val="top"/>
            <w:tcMar>
              <w:top w:w="70" w:type="dxa"/>
              <w:start w:w="80" w:type="dxa"/>
              <w:bottom w:w="70" w:type="dxa"/>
              <w:end w:w="80" w:type="dxa"/>
            </w:tcMar>
          </w:tcPr>
          <w:p>
            <w:pPr>
              <w:spacing w:after="0"/>
            </w:pPr>
            <w:r>
              <w:rPr>
                <w:color w:val="1F2937"/>
                <w:sz w:val="17"/>
              </w:rPr>
              <w:t>Sudip Lamichhane</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Student ID</w:t>
            </w:r>
          </w:p>
        </w:tc>
        <w:tc>
          <w:tcPr>
            <w:tcW w:type="dxa" w:w="7056"/>
            <w:vAlign w:val="top"/>
            <w:shd w:fill="F6F8FB"/>
            <w:tcMar>
              <w:top w:w="70" w:type="dxa"/>
              <w:start w:w="80" w:type="dxa"/>
              <w:bottom w:w="70" w:type="dxa"/>
              <w:end w:w="80" w:type="dxa"/>
            </w:tcMar>
          </w:tcPr>
          <w:p>
            <w:pPr>
              <w:spacing w:after="0"/>
            </w:pPr>
            <w:r>
              <w:rPr>
                <w:color w:val="1F2937"/>
                <w:sz w:val="17"/>
              </w:rPr>
              <w:t>S388085</w:t>
            </w:r>
          </w:p>
        </w:tc>
      </w:tr>
      <w:tr>
        <w:trPr>
          <w:cantSplit/>
        </w:trPr>
        <w:tc>
          <w:tcPr>
            <w:tcW w:type="dxa" w:w="2448"/>
            <w:vAlign w:val="top"/>
            <w:tcMar>
              <w:top w:w="70" w:type="dxa"/>
              <w:start w:w="80" w:type="dxa"/>
              <w:bottom w:w="70" w:type="dxa"/>
              <w:end w:w="80" w:type="dxa"/>
            </w:tcMar>
          </w:tcPr>
          <w:p>
            <w:pPr>
              <w:spacing w:after="0"/>
            </w:pPr>
            <w:r>
              <w:rPr>
                <w:color w:val="1F2937"/>
                <w:sz w:val="17"/>
              </w:rPr>
              <w:t>Role</w:t>
            </w:r>
          </w:p>
        </w:tc>
        <w:tc>
          <w:tcPr>
            <w:tcW w:type="dxa" w:w="7056"/>
            <w:vAlign w:val="top"/>
            <w:tcMar>
              <w:top w:w="70" w:type="dxa"/>
              <w:start w:w="80" w:type="dxa"/>
              <w:bottom w:w="70" w:type="dxa"/>
              <w:end w:w="80" w:type="dxa"/>
            </w:tcMar>
          </w:tcPr>
          <w:p>
            <w:pPr>
              <w:spacing w:after="0"/>
            </w:pPr>
            <w:r>
              <w:rPr>
                <w:color w:val="1F2937"/>
                <w:sz w:val="17"/>
              </w:rPr>
              <w:t>Data Acquisition &amp; Correction Handling Lead</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Work package</w:t>
            </w:r>
          </w:p>
        </w:tc>
        <w:tc>
          <w:tcPr>
            <w:tcW w:type="dxa" w:w="7056"/>
            <w:vAlign w:val="top"/>
            <w:shd w:fill="F6F8FB"/>
            <w:tcMar>
              <w:top w:w="70" w:type="dxa"/>
              <w:start w:w="80" w:type="dxa"/>
              <w:bottom w:w="70" w:type="dxa"/>
              <w:end w:w="80" w:type="dxa"/>
            </w:tcMar>
          </w:tcPr>
          <w:p>
            <w:pPr>
              <w:spacing w:after="0"/>
            </w:pPr>
            <w:r>
              <w:rPr>
                <w:color w:val="1F2937"/>
                <w:sz w:val="17"/>
              </w:rPr>
              <w:t>WP1 – Stage 1 Data Acquisition</w:t>
            </w:r>
          </w:p>
        </w:tc>
      </w:tr>
      <w:tr>
        <w:trPr>
          <w:cantSplit/>
        </w:trPr>
        <w:tc>
          <w:tcPr>
            <w:tcW w:type="dxa" w:w="2448"/>
            <w:vAlign w:val="top"/>
            <w:tcMar>
              <w:top w:w="70" w:type="dxa"/>
              <w:start w:w="80" w:type="dxa"/>
              <w:bottom w:w="70" w:type="dxa"/>
              <w:end w:w="80" w:type="dxa"/>
            </w:tcMar>
          </w:tcPr>
          <w:p>
            <w:pPr>
              <w:spacing w:after="0"/>
            </w:pPr>
            <w:r>
              <w:rPr>
                <w:color w:val="1F2937"/>
                <w:sz w:val="17"/>
              </w:rPr>
              <w:t>Individual code artefact</w:t>
            </w:r>
          </w:p>
        </w:tc>
        <w:tc>
          <w:tcPr>
            <w:tcW w:type="dxa" w:w="7056"/>
            <w:vAlign w:val="top"/>
            <w:tcMar>
              <w:top w:w="70" w:type="dxa"/>
              <w:start w:w="80" w:type="dxa"/>
              <w:bottom w:w="70" w:type="dxa"/>
              <w:end w:w="80" w:type="dxa"/>
            </w:tcMar>
          </w:tcPr>
          <w:p>
            <w:pPr>
              <w:spacing w:after="0"/>
            </w:pPr>
            <w:r>
              <w:rPr>
                <w:color w:val="1F2937"/>
                <w:sz w:val="17"/>
              </w:rPr>
              <w:t>02_Sudip_Lamichhane_WA_WEM_Acquisition.py</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Integrated pipeline</w:t>
            </w:r>
          </w:p>
        </w:tc>
        <w:tc>
          <w:tcPr>
            <w:tcW w:type="dxa" w:w="7056"/>
            <w:vAlign w:val="top"/>
            <w:shd w:fill="F6F8FB"/>
            <w:tcMar>
              <w:top w:w="70" w:type="dxa"/>
              <w:start w:w="80" w:type="dxa"/>
              <w:bottom w:w="70" w:type="dxa"/>
              <w:end w:w="80" w:type="dxa"/>
            </w:tcMar>
          </w:tcPr>
          <w:p>
            <w:pPr>
              <w:spacing w:after="0"/>
            </w:pPr>
            <w:r>
              <w:rPr>
                <w:color w:val="1F2937"/>
                <w:sz w:val="17"/>
              </w:rPr>
              <w:t>01_Data_Acquisition_Final_Integrated.py</w:t>
            </w:r>
          </w:p>
        </w:tc>
      </w:tr>
      <w:tr>
        <w:trPr>
          <w:cantSplit/>
        </w:trPr>
        <w:tc>
          <w:tcPr>
            <w:tcW w:type="dxa" w:w="2448"/>
            <w:vAlign w:val="top"/>
            <w:tcMar>
              <w:top w:w="70" w:type="dxa"/>
              <w:start w:w="80" w:type="dxa"/>
              <w:bottom w:w="70" w:type="dxa"/>
              <w:end w:w="80" w:type="dxa"/>
            </w:tcMar>
          </w:tcPr>
          <w:p>
            <w:pPr>
              <w:spacing w:after="0"/>
            </w:pPr>
            <w:r>
              <w:rPr>
                <w:color w:val="1F2937"/>
                <w:sz w:val="17"/>
              </w:rPr>
              <w:t>Evidence run</w:t>
            </w:r>
          </w:p>
        </w:tc>
        <w:tc>
          <w:tcPr>
            <w:tcW w:type="dxa" w:w="7056"/>
            <w:vAlign w:val="top"/>
            <w:tcMar>
              <w:top w:w="70" w:type="dxa"/>
              <w:start w:w="80" w:type="dxa"/>
              <w:bottom w:w="70" w:type="dxa"/>
              <w:end w:w="80" w:type="dxa"/>
            </w:tcMar>
          </w:tcPr>
          <w:p>
            <w:pPr>
              <w:spacing w:after="0"/>
            </w:pPr>
            <w:r>
              <w:rPr>
                <w:color w:val="1F2937"/>
                <w:sz w:val="17"/>
              </w:rPr>
              <w:t>Data.zip – current verified acquisition output</w:t>
            </w:r>
          </w:p>
        </w:tc>
      </w:tr>
    </w:tbl>
    <w:p>
      <w:pPr>
        <w:pStyle w:val="Heading1"/>
      </w:pPr>
      <w:r>
        <w:t>1. Contribution overview</w:t>
      </w:r>
    </w:p>
    <w:p>
      <w:r>
        <w:t>My Stage 1 workstream handled Western Australia, where the acquisition problem is not just “download a CSV”. The provider structure changes across time, source schemas differ, and the project must avoid confusing operational demand with withdrawal or forecast fields. My contribution therefore concentrated on source precedence, the 2023 cutover, native-frequency provenance and keeping WA market-requirement information out of the observed-demand path.</w:t>
      </w:r>
    </w:p>
    <w:tbl>
      <w:tblPr>
        <w:tblStyle w:val="TableGrid"/>
        <w:tblW w:type="auto" w:w="0"/>
        <w:jc w:val="center"/>
        <w:tblLook w:firstColumn="1" w:firstRow="1" w:lastColumn="0" w:lastRow="0" w:noHBand="0" w:noVBand="1" w:val="04A0"/>
      </w:tblPr>
      <w:tblGrid>
        <w:gridCol w:w="10166"/>
      </w:tblGrid>
      <w:tr>
        <w:tc>
          <w:tcPr>
            <w:tcW w:type="dxa" w:w="10166"/>
            <w:shd w:fill="EFF4F8"/>
            <w:tcMar>
              <w:top w:w="100" w:type="dxa"/>
              <w:start w:w="130" w:type="dxa"/>
              <w:bottom w:w="100" w:type="dxa"/>
              <w:end w:w="130" w:type="dxa"/>
            </w:tcMar>
          </w:tcPr>
          <w:p>
            <w:r>
              <w:rPr>
                <w:b/>
                <w:color w:val="2D6CA2"/>
                <w:sz w:val="20"/>
              </w:rPr>
              <w:t>Contribution boundary</w:t>
              <w:br/>
            </w:r>
            <w:r>
              <w:rPr>
                <w:color w:val="1F2937"/>
                <w:sz w:val="19"/>
              </w:rPr>
              <w:t>This report records the member’s primary source workstream and the functions carried into the integrated pipeline. Shared CLI, directories, source contract, final integration and cross-source decisions are team responsibilities. The individual code module is a role-aligned reconstruction from the final integrated code and WP1 records; it is not presented as an invented historical Git snapshot.</w:t>
            </w:r>
          </w:p>
        </w:tc>
      </w:tr>
    </w:tbl>
    <w:p>
      <w:pPr>
        <w:pStyle w:val="Heading1"/>
      </w:pPr>
      <w:r>
        <w:t>2. From the initial design to the final source module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173A63"/>
            <w:vAlign w:val="center"/>
            <w:tcMar>
              <w:top w:w="70" w:type="dxa"/>
              <w:start w:w="80" w:type="dxa"/>
              <w:bottom w:w="70" w:type="dxa"/>
              <w:end w:w="80" w:type="dxa"/>
            </w:tcMar>
          </w:tcPr>
          <w:p>
            <w:r>
              <w:rPr>
                <w:b/>
                <w:color w:val="FFFFFF"/>
                <w:sz w:val="17"/>
              </w:rPr>
              <w:t>Initial plan / requirement</w:t>
            </w:r>
          </w:p>
        </w:tc>
        <w:tc>
          <w:tcPr>
            <w:tcW w:type="dxa" w:w="5616"/>
            <w:shd w:fill="173A63"/>
            <w:vAlign w:val="center"/>
            <w:tcMar>
              <w:top w:w="70" w:type="dxa"/>
              <w:start w:w="80" w:type="dxa"/>
              <w:bottom w:w="70" w:type="dxa"/>
              <w:end w:w="80" w:type="dxa"/>
            </w:tcMar>
          </w:tcPr>
          <w:p>
            <w:r>
              <w:rPr>
                <w:b/>
                <w:color w:val="FFFFFF"/>
                <w:sz w:val="17"/>
              </w:rPr>
              <w:t>How it evolved in Stage 1</w:t>
            </w:r>
          </w:p>
        </w:tc>
      </w:tr>
      <w:tr>
        <w:trPr>
          <w:cantSplit/>
        </w:trPr>
        <w:tc>
          <w:tcPr>
            <w:tcW w:type="dxa" w:w="3888"/>
            <w:vAlign w:val="top"/>
            <w:tcMar>
              <w:top w:w="70" w:type="dxa"/>
              <w:start w:w="80" w:type="dxa"/>
              <w:bottom w:w="70" w:type="dxa"/>
              <w:end w:w="80" w:type="dxa"/>
            </w:tcMar>
          </w:tcPr>
          <w:p>
            <w:pPr>
              <w:spacing w:after="0"/>
            </w:pPr>
            <w:r>
              <w:rPr>
                <w:color w:val="1F2937"/>
                <w:sz w:val="17"/>
              </w:rPr>
              <w:t>Assessment 1 treated WA as an additional regional demand source.</w:t>
            </w:r>
          </w:p>
        </w:tc>
        <w:tc>
          <w:tcPr>
            <w:tcW w:type="dxa" w:w="5616"/>
            <w:vAlign w:val="top"/>
            <w:tcMar>
              <w:top w:w="70" w:type="dxa"/>
              <w:start w:w="80" w:type="dxa"/>
              <w:bottom w:w="70" w:type="dxa"/>
              <w:end w:w="80" w:type="dxa"/>
            </w:tcMar>
          </w:tcPr>
          <w:p>
            <w:pPr>
              <w:spacing w:after="0"/>
            </w:pPr>
            <w:r>
              <w:rPr>
                <w:color w:val="1F2937"/>
                <w:sz w:val="17"/>
              </w:rPr>
              <w:t>The final code gives WA its own acquisition family rather than reusing NEM assumptions.</w:t>
            </w:r>
          </w:p>
        </w:tc>
      </w:tr>
      <w:tr>
        <w:trPr>
          <w:cantSplit/>
        </w:trPr>
        <w:tc>
          <w:tcPr>
            <w:tcW w:type="dxa" w:w="3888"/>
            <w:vAlign w:val="top"/>
            <w:shd w:fill="F6F8FB"/>
            <w:tcMar>
              <w:top w:w="70" w:type="dxa"/>
              <w:start w:w="80" w:type="dxa"/>
              <w:bottom w:w="70" w:type="dxa"/>
              <w:end w:w="80" w:type="dxa"/>
            </w:tcMar>
          </w:tcPr>
          <w:p>
            <w:pPr>
              <w:spacing w:after="0"/>
            </w:pPr>
            <w:r>
              <w:rPr>
                <w:color w:val="1F2937"/>
                <w:sz w:val="17"/>
              </w:rPr>
              <w:t>Historical WA was expected as half-hourly.</w:t>
            </w:r>
          </w:p>
        </w:tc>
        <w:tc>
          <w:tcPr>
            <w:tcW w:type="dxa" w:w="5616"/>
            <w:vAlign w:val="top"/>
            <w:shd w:fill="F6F8FB"/>
            <w:tcMar>
              <w:top w:w="70" w:type="dxa"/>
              <w:start w:w="80" w:type="dxa"/>
              <w:bottom w:w="70" w:type="dxa"/>
              <w:end w:w="80" w:type="dxa"/>
            </w:tcMar>
          </w:tcPr>
          <w:p>
            <w:pPr>
              <w:spacing w:after="0"/>
            </w:pPr>
            <w:r>
              <w:rPr>
                <w:color w:val="1F2937"/>
                <w:sz w:val="17"/>
              </w:rPr>
              <w:t>Investigation showed a genuine source-regime change: legacy 30-minute data through September 2023 and modern five-minute data from October 2023.</w:t>
            </w:r>
          </w:p>
        </w:tc>
      </w:tr>
      <w:tr>
        <w:trPr>
          <w:cantSplit/>
        </w:trPr>
        <w:tc>
          <w:tcPr>
            <w:tcW w:type="dxa" w:w="3888"/>
            <w:vAlign w:val="top"/>
            <w:tcMar>
              <w:top w:w="70" w:type="dxa"/>
              <w:start w:w="80" w:type="dxa"/>
              <w:bottom w:w="70" w:type="dxa"/>
              <w:end w:w="80" w:type="dxa"/>
            </w:tcMar>
          </w:tcPr>
          <w:p>
            <w:pPr>
              <w:spacing w:after="0"/>
            </w:pPr>
            <w:r>
              <w:rPr>
                <w:color w:val="1F2937"/>
                <w:sz w:val="17"/>
              </w:rPr>
              <w:t>A single file schema could not be assumed.</w:t>
            </w:r>
          </w:p>
        </w:tc>
        <w:tc>
          <w:tcPr>
            <w:tcW w:type="dxa" w:w="5616"/>
            <w:vAlign w:val="top"/>
            <w:tcMar>
              <w:top w:w="70" w:type="dxa"/>
              <w:start w:w="80" w:type="dxa"/>
              <w:bottom w:w="70" w:type="dxa"/>
              <w:end w:w="80" w:type="dxa"/>
            </w:tcMar>
          </w:tcPr>
          <w:p>
            <w:pPr>
              <w:spacing w:after="0"/>
            </w:pPr>
            <w:r>
              <w:rPr>
                <w:color w:val="1F2937"/>
                <w:sz w:val="17"/>
              </w:rPr>
              <w:t>Timestamp and demand columns are detected structurally; forecast/withdrawal candidates are rejected.</w:t>
            </w:r>
          </w:p>
        </w:tc>
      </w:tr>
      <w:tr>
        <w:trPr>
          <w:cantSplit/>
        </w:trPr>
        <w:tc>
          <w:tcPr>
            <w:tcW w:type="dxa" w:w="3888"/>
            <w:vAlign w:val="top"/>
            <w:shd w:fill="F6F8FB"/>
            <w:tcMar>
              <w:top w:w="70" w:type="dxa"/>
              <w:start w:w="80" w:type="dxa"/>
              <w:bottom w:w="70" w:type="dxa"/>
              <w:end w:w="80" w:type="dxa"/>
            </w:tcMar>
          </w:tcPr>
          <w:p>
            <w:pPr>
              <w:spacing w:after="0"/>
            </w:pPr>
            <w:r>
              <w:rPr>
                <w:color w:val="1F2937"/>
                <w:sz w:val="17"/>
              </w:rPr>
              <w:t>2026 market-requirement data was relevant but not observed demand.</w:t>
            </w:r>
          </w:p>
        </w:tc>
        <w:tc>
          <w:tcPr>
            <w:tcW w:type="dxa" w:w="5616"/>
            <w:vAlign w:val="top"/>
            <w:shd w:fill="F6F8FB"/>
            <w:tcMar>
              <w:top w:w="70" w:type="dxa"/>
              <w:start w:w="80" w:type="dxa"/>
              <w:bottom w:w="70" w:type="dxa"/>
              <w:end w:w="80" w:type="dxa"/>
            </w:tcMar>
          </w:tcPr>
          <w:p>
            <w:pPr>
              <w:spacing w:after="0"/>
            </w:pPr>
            <w:r>
              <w:rPr>
                <w:color w:val="1F2937"/>
                <w:sz w:val="17"/>
              </w:rPr>
              <w:t>MarketRequirements-2026.csv is downloaded unchanged into a separate folder.</w:t>
            </w:r>
          </w:p>
        </w:tc>
      </w:tr>
    </w:tbl>
    <w:p>
      <w:pPr>
        <w:pStyle w:val="Heading1"/>
      </w:pPr>
      <w:r>
        <w:t>3. Work completed</w:t>
      </w:r>
    </w:p>
    <w:p>
      <w:pPr>
        <w:pStyle w:val="Heading2"/>
      </w:pPr>
      <w:r>
        <w:t>3.1 Non-technical explanation</w:t>
      </w:r>
    </w:p>
    <w:p>
      <w:pPr>
        <w:pStyle w:val="ListBullet"/>
        <w:spacing w:after="60"/>
      </w:pPr>
      <w:r>
        <w:t>Assemble WA operational demand across legacy annual files, modern annual files and recent daily tail files.</w:t>
      </w:r>
    </w:p>
    <w:p>
      <w:pPr>
        <w:pStyle w:val="ListBullet"/>
        <w:spacing w:after="60"/>
      </w:pPr>
      <w:r>
        <w:t>Preserve SOURCE and SOURCE_INTERVAL_MIN so every row retains its provenance and native frequency.</w:t>
      </w:r>
    </w:p>
    <w:p>
      <w:pPr>
        <w:pStyle w:val="ListBullet"/>
        <w:spacing w:after="60"/>
      </w:pPr>
      <w:r>
        <w:t>Use explicit precedence when annual and daily sources overlap rather than accepting duplicate timestamps.</w:t>
      </w:r>
    </w:p>
    <w:p>
      <w:pPr>
        <w:pStyle w:val="ListBullet"/>
        <w:spacing w:after="60"/>
      </w:pPr>
      <w:r>
        <w:t>Reject fields containing “forecast” or “withdrawal” when identifying the observed demand target.</w:t>
      </w:r>
    </w:p>
    <w:p>
      <w:pPr>
        <w:pStyle w:val="ListBullet"/>
        <w:spacing w:after="60"/>
      </w:pPr>
      <w:r>
        <w:t>Keep the 2026 Market Requirements file separate from the demand folder so it cannot be picked up as observed demand accidentally.</w:t>
      </w:r>
    </w:p>
    <w:p>
      <w:pPr>
        <w:pStyle w:val="Heading2"/>
      </w:pPr>
      <w:r>
        <w:t>3.2 Technical code responsibility</w:t>
      </w:r>
    </w:p>
    <w:p>
      <w:r>
        <w:t>The accompanying 02_Sudip_Lamichhane_WA_WEM_Acquisition.py isolates this workstream from the final integrated acquisition file so the source logic can be read and tested independently before merge.</w:t>
      </w:r>
    </w:p>
    <w:p>
      <w:pPr>
        <w:pStyle w:val="Heading1"/>
      </w:pPr>
      <w:r>
        <w:t>4. Evidence from the current verified acquisition output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A63"/>
            <w:vAlign w:val="center"/>
            <w:tcMar>
              <w:top w:w="70" w:type="dxa"/>
              <w:start w:w="80" w:type="dxa"/>
              <w:bottom w:w="70" w:type="dxa"/>
              <w:end w:w="80" w:type="dxa"/>
            </w:tcMar>
          </w:tcPr>
          <w:p>
            <w:r>
              <w:rPr>
                <w:b/>
                <w:color w:val="FFFFFF"/>
                <w:sz w:val="16"/>
              </w:rPr>
              <w:t>Evidence</w:t>
            </w:r>
          </w:p>
        </w:tc>
        <w:tc>
          <w:tcPr>
            <w:tcW w:type="dxa" w:w="3024"/>
            <w:shd w:fill="173A63"/>
            <w:vAlign w:val="center"/>
            <w:tcMar>
              <w:top w:w="70" w:type="dxa"/>
              <w:start w:w="80" w:type="dxa"/>
              <w:bottom w:w="70" w:type="dxa"/>
              <w:end w:w="80" w:type="dxa"/>
            </w:tcMar>
          </w:tcPr>
          <w:p>
            <w:r>
              <w:rPr>
                <w:b/>
                <w:color w:val="FFFFFF"/>
                <w:sz w:val="16"/>
              </w:rPr>
              <w:t>Current verified result</w:t>
            </w:r>
          </w:p>
        </w:tc>
        <w:tc>
          <w:tcPr>
            <w:tcW w:type="dxa" w:w="4032"/>
            <w:shd w:fill="173A63"/>
            <w:vAlign w:val="center"/>
            <w:tcMar>
              <w:top w:w="70" w:type="dxa"/>
              <w:start w:w="80" w:type="dxa"/>
              <w:bottom w:w="70" w:type="dxa"/>
              <w:end w:w="80" w:type="dxa"/>
            </w:tcMar>
          </w:tcPr>
          <w:p>
            <w:r>
              <w:rPr>
                <w:b/>
                <w:color w:val="FFFFFF"/>
                <w:sz w:val="16"/>
              </w:rPr>
              <w:t>What it demonstrates</w:t>
            </w:r>
          </w:p>
        </w:tc>
      </w:tr>
      <w:tr>
        <w:trPr>
          <w:cantSplit/>
        </w:trPr>
        <w:tc>
          <w:tcPr>
            <w:tcW w:type="dxa" w:w="2448"/>
            <w:vAlign w:val="top"/>
            <w:tcMar>
              <w:top w:w="70" w:type="dxa"/>
              <w:start w:w="80" w:type="dxa"/>
              <w:bottom w:w="70" w:type="dxa"/>
              <w:end w:w="80" w:type="dxa"/>
            </w:tcMar>
          </w:tcPr>
          <w:p>
            <w:pPr>
              <w:spacing w:after="0"/>
            </w:pPr>
            <w:r>
              <w:rPr>
                <w:color w:val="1F2937"/>
                <w:sz w:val="16"/>
              </w:rPr>
              <w:t>WA combined demand</w:t>
            </w:r>
          </w:p>
        </w:tc>
        <w:tc>
          <w:tcPr>
            <w:tcW w:type="dxa" w:w="3024"/>
            <w:vAlign w:val="top"/>
            <w:tcMar>
              <w:top w:w="70" w:type="dxa"/>
              <w:start w:w="80" w:type="dxa"/>
              <w:bottom w:w="70" w:type="dxa"/>
              <w:end w:w="80" w:type="dxa"/>
            </w:tcMar>
          </w:tcPr>
          <w:p>
            <w:pPr>
              <w:spacing w:after="0"/>
            </w:pPr>
            <w:r>
              <w:rPr>
                <w:color w:val="1F2937"/>
                <w:sz w:val="16"/>
              </w:rPr>
              <w:t>341,360 rows; 0 duplicate timestamps</w:t>
            </w:r>
          </w:p>
        </w:tc>
        <w:tc>
          <w:tcPr>
            <w:tcW w:type="dxa" w:w="4032"/>
            <w:vAlign w:val="top"/>
            <w:tcMar>
              <w:top w:w="70" w:type="dxa"/>
              <w:start w:w="80" w:type="dxa"/>
              <w:bottom w:w="70" w:type="dxa"/>
              <w:end w:w="80" w:type="dxa"/>
            </w:tcMar>
          </w:tcPr>
          <w:p>
            <w:pPr>
              <w:spacing w:after="0"/>
            </w:pPr>
            <w:r>
              <w:rPr>
                <w:color w:val="1F2937"/>
                <w:sz w:val="16"/>
              </w:rPr>
              <w:t>Coverage 2022-01-01 08:00:00 → 2026-09-14 07:55:00.</w:t>
            </w:r>
          </w:p>
        </w:tc>
      </w:tr>
      <w:tr>
        <w:trPr>
          <w:cantSplit/>
        </w:trPr>
        <w:tc>
          <w:tcPr>
            <w:tcW w:type="dxa" w:w="2448"/>
            <w:vAlign w:val="top"/>
            <w:shd w:fill="F6F8FB"/>
            <w:tcMar>
              <w:top w:w="70" w:type="dxa"/>
              <w:start w:w="80" w:type="dxa"/>
              <w:bottom w:w="70" w:type="dxa"/>
              <w:end w:w="80" w:type="dxa"/>
            </w:tcMar>
          </w:tcPr>
          <w:p>
            <w:pPr>
              <w:spacing w:after="0"/>
            </w:pPr>
            <w:r>
              <w:rPr>
                <w:color w:val="1F2937"/>
                <w:sz w:val="16"/>
              </w:rPr>
              <w:t>Legacy regime</w:t>
            </w:r>
          </w:p>
        </w:tc>
        <w:tc>
          <w:tcPr>
            <w:tcW w:type="dxa" w:w="3024"/>
            <w:vAlign w:val="top"/>
            <w:shd w:fill="F6F8FB"/>
            <w:tcMar>
              <w:top w:w="70" w:type="dxa"/>
              <w:start w:w="80" w:type="dxa"/>
              <w:bottom w:w="70" w:type="dxa"/>
              <w:end w:w="80" w:type="dxa"/>
            </w:tcMar>
          </w:tcPr>
          <w:p>
            <w:pPr>
              <w:spacing w:after="0"/>
            </w:pPr>
            <w:r>
              <w:rPr>
                <w:color w:val="1F2937"/>
                <w:sz w:val="16"/>
              </w:rPr>
              <w:t>30,608 rows at 30 minutes</w:t>
            </w:r>
          </w:p>
        </w:tc>
        <w:tc>
          <w:tcPr>
            <w:tcW w:type="dxa" w:w="4032"/>
            <w:vAlign w:val="top"/>
            <w:shd w:fill="F6F8FB"/>
            <w:tcMar>
              <w:top w:w="70" w:type="dxa"/>
              <w:start w:w="80" w:type="dxa"/>
              <w:bottom w:w="70" w:type="dxa"/>
              <w:end w:w="80" w:type="dxa"/>
            </w:tcMar>
          </w:tcPr>
          <w:p>
            <w:pPr>
              <w:spacing w:after="0"/>
            </w:pPr>
            <w:r>
              <w:rPr>
                <w:color w:val="1F2937"/>
                <w:sz w:val="16"/>
              </w:rPr>
              <w:t>Confirms the older source is preserved rather than upsampled.</w:t>
            </w:r>
          </w:p>
        </w:tc>
      </w:tr>
      <w:tr>
        <w:trPr>
          <w:cantSplit/>
        </w:trPr>
        <w:tc>
          <w:tcPr>
            <w:tcW w:type="dxa" w:w="2448"/>
            <w:vAlign w:val="top"/>
            <w:tcMar>
              <w:top w:w="70" w:type="dxa"/>
              <w:start w:w="80" w:type="dxa"/>
              <w:bottom w:w="70" w:type="dxa"/>
              <w:end w:w="80" w:type="dxa"/>
            </w:tcMar>
          </w:tcPr>
          <w:p>
            <w:pPr>
              <w:spacing w:after="0"/>
            </w:pPr>
            <w:r>
              <w:rPr>
                <w:color w:val="1F2937"/>
                <w:sz w:val="16"/>
              </w:rPr>
              <w:t>Modern regime</w:t>
            </w:r>
          </w:p>
        </w:tc>
        <w:tc>
          <w:tcPr>
            <w:tcW w:type="dxa" w:w="3024"/>
            <w:vAlign w:val="top"/>
            <w:tcMar>
              <w:top w:w="70" w:type="dxa"/>
              <w:start w:w="80" w:type="dxa"/>
              <w:bottom w:w="70" w:type="dxa"/>
              <w:end w:w="80" w:type="dxa"/>
            </w:tcMar>
          </w:tcPr>
          <w:p>
            <w:pPr>
              <w:spacing w:after="0"/>
            </w:pPr>
            <w:r>
              <w:rPr>
                <w:color w:val="1F2937"/>
                <w:sz w:val="16"/>
              </w:rPr>
              <w:t>310,752 rows at 5 minutes</w:t>
            </w:r>
          </w:p>
        </w:tc>
        <w:tc>
          <w:tcPr>
            <w:tcW w:type="dxa" w:w="4032"/>
            <w:vAlign w:val="top"/>
            <w:tcMar>
              <w:top w:w="70" w:type="dxa"/>
              <w:start w:w="80" w:type="dxa"/>
              <w:bottom w:w="70" w:type="dxa"/>
              <w:end w:w="80" w:type="dxa"/>
            </w:tcMar>
          </w:tcPr>
          <w:p>
            <w:pPr>
              <w:spacing w:after="0"/>
            </w:pPr>
            <w:r>
              <w:rPr>
                <w:color w:val="1F2937"/>
                <w:sz w:val="16"/>
              </w:rPr>
              <w:t>Confirms the post-cutover source is preserved at native frequency.</w:t>
            </w:r>
          </w:p>
        </w:tc>
      </w:tr>
      <w:tr>
        <w:trPr>
          <w:cantSplit/>
        </w:trPr>
        <w:tc>
          <w:tcPr>
            <w:tcW w:type="dxa" w:w="2448"/>
            <w:vAlign w:val="top"/>
            <w:shd w:fill="F6F8FB"/>
            <w:tcMar>
              <w:top w:w="70" w:type="dxa"/>
              <w:start w:w="80" w:type="dxa"/>
              <w:bottom w:w="70" w:type="dxa"/>
              <w:end w:w="80" w:type="dxa"/>
            </w:tcMar>
          </w:tcPr>
          <w:p>
            <w:pPr>
              <w:spacing w:after="0"/>
            </w:pPr>
            <w:r>
              <w:rPr>
                <w:color w:val="1F2937"/>
                <w:sz w:val="16"/>
              </w:rPr>
              <w:t>MarketRequirements-2026</w:t>
            </w:r>
          </w:p>
        </w:tc>
        <w:tc>
          <w:tcPr>
            <w:tcW w:type="dxa" w:w="3024"/>
            <w:vAlign w:val="top"/>
            <w:shd w:fill="F6F8FB"/>
            <w:tcMar>
              <w:top w:w="70" w:type="dxa"/>
              <w:start w:w="80" w:type="dxa"/>
              <w:bottom w:w="70" w:type="dxa"/>
              <w:end w:w="80" w:type="dxa"/>
            </w:tcMar>
          </w:tcPr>
          <w:p>
            <w:pPr>
              <w:spacing w:after="0"/>
            </w:pPr>
            <w:r>
              <w:rPr>
                <w:color w:val="1F2937"/>
                <w:sz w:val="16"/>
              </w:rPr>
              <w:t>73,728 rows</w:t>
            </w:r>
          </w:p>
        </w:tc>
        <w:tc>
          <w:tcPr>
            <w:tcW w:type="dxa" w:w="4032"/>
            <w:vAlign w:val="top"/>
            <w:shd w:fill="F6F8FB"/>
            <w:tcMar>
              <w:top w:w="70" w:type="dxa"/>
              <w:start w:w="80" w:type="dxa"/>
              <w:bottom w:w="70" w:type="dxa"/>
              <w:end w:w="80" w:type="dxa"/>
            </w:tcMar>
          </w:tcPr>
          <w:p>
            <w:pPr>
              <w:spacing w:after="0"/>
            </w:pPr>
            <w:r>
              <w:rPr>
                <w:color w:val="1F2937"/>
                <w:sz w:val="16"/>
              </w:rPr>
              <w:t>Separate market-information product, not observed demand.</w:t>
            </w:r>
          </w:p>
        </w:tc>
      </w:tr>
    </w:tbl>
    <w:p>
      <w:pPr>
        <w:pStyle w:val="Heading1"/>
      </w:pPr>
      <w:r>
        <w:t>5. Collaboration and integration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A63"/>
            <w:vAlign w:val="center"/>
            <w:tcMar>
              <w:top w:w="70" w:type="dxa"/>
              <w:start w:w="80" w:type="dxa"/>
              <w:bottom w:w="70" w:type="dxa"/>
              <w:end w:w="80" w:type="dxa"/>
            </w:tcMar>
          </w:tcPr>
          <w:p>
            <w:r>
              <w:rPr>
                <w:b/>
                <w:color w:val="FFFFFF"/>
                <w:sz w:val="17"/>
              </w:rPr>
              <w:t>With / interface</w:t>
            </w:r>
          </w:p>
        </w:tc>
        <w:tc>
          <w:tcPr>
            <w:tcW w:type="dxa" w:w="6912"/>
            <w:shd w:fill="173A63"/>
            <w:vAlign w:val="center"/>
            <w:tcMar>
              <w:top w:w="70" w:type="dxa"/>
              <w:start w:w="80" w:type="dxa"/>
              <w:bottom w:w="70" w:type="dxa"/>
              <w:end w:w="80" w:type="dxa"/>
            </w:tcMar>
          </w:tcPr>
          <w:p>
            <w:r>
              <w:rPr>
                <w:b/>
                <w:color w:val="FFFFFF"/>
                <w:sz w:val="17"/>
              </w:rPr>
              <w:t>How the work connected</w:t>
            </w:r>
          </w:p>
        </w:tc>
      </w:tr>
      <w:tr>
        <w:trPr>
          <w:cantSplit/>
        </w:trPr>
        <w:tc>
          <w:tcPr>
            <w:tcW w:type="dxa" w:w="2592"/>
            <w:vAlign w:val="top"/>
            <w:tcMar>
              <w:top w:w="70" w:type="dxa"/>
              <w:start w:w="80" w:type="dxa"/>
              <w:bottom w:w="70" w:type="dxa"/>
              <w:end w:w="80" w:type="dxa"/>
            </w:tcMar>
          </w:tcPr>
          <w:p>
            <w:pPr>
              <w:spacing w:after="0"/>
            </w:pPr>
            <w:r>
              <w:rPr>
                <w:color w:val="1F2937"/>
                <w:sz w:val="17"/>
              </w:rPr>
              <w:t>Suraj – NEM archive</w:t>
            </w:r>
          </w:p>
        </w:tc>
        <w:tc>
          <w:tcPr>
            <w:tcW w:type="dxa" w:w="6912"/>
            <w:vAlign w:val="top"/>
            <w:tcMar>
              <w:top w:w="70" w:type="dxa"/>
              <w:start w:w="80" w:type="dxa"/>
              <w:bottom w:w="70" w:type="dxa"/>
              <w:end w:w="80" w:type="dxa"/>
            </w:tcMar>
          </w:tcPr>
          <w:p>
            <w:pPr>
              <w:spacing w:after="0"/>
            </w:pPr>
            <w:r>
              <w:rPr>
                <w:color w:val="1F2937"/>
                <w:sz w:val="17"/>
              </w:rPr>
              <w:t>The two workstreams use a common Stage 1 contract while keeping provider-specific retrieval separate.</w:t>
            </w:r>
          </w:p>
        </w:tc>
      </w:tr>
      <w:tr>
        <w:trPr>
          <w:cantSplit/>
        </w:trPr>
        <w:tc>
          <w:tcPr>
            <w:tcW w:type="dxa" w:w="2592"/>
            <w:vAlign w:val="top"/>
            <w:shd w:fill="F6F8FB"/>
            <w:tcMar>
              <w:top w:w="70" w:type="dxa"/>
              <w:start w:w="80" w:type="dxa"/>
              <w:bottom w:w="70" w:type="dxa"/>
              <w:end w:w="80" w:type="dxa"/>
            </w:tcMar>
          </w:tcPr>
          <w:p>
            <w:pPr>
              <w:spacing w:after="0"/>
            </w:pPr>
            <w:r>
              <w:rPr>
                <w:color w:val="1F2937"/>
                <w:sz w:val="17"/>
              </w:rPr>
              <w:t>Ashish – dashboard snapshots</w:t>
            </w:r>
          </w:p>
        </w:tc>
        <w:tc>
          <w:tcPr>
            <w:tcW w:type="dxa" w:w="6912"/>
            <w:vAlign w:val="top"/>
            <w:shd w:fill="F6F8FB"/>
            <w:tcMar>
              <w:top w:w="70" w:type="dxa"/>
              <w:start w:w="80" w:type="dxa"/>
              <w:bottom w:w="70" w:type="dxa"/>
              <w:end w:w="80" w:type="dxa"/>
            </w:tcMar>
          </w:tcPr>
          <w:p>
            <w:pPr>
              <w:spacing w:after="0"/>
            </w:pPr>
            <w:r>
              <w:rPr>
                <w:color w:val="1F2937"/>
                <w:sz w:val="17"/>
              </w:rPr>
              <w:t>WA source delays previously affected time-sensitive dashboard ordering; integration therefore isolates each source step.</w:t>
            </w:r>
          </w:p>
        </w:tc>
      </w:tr>
      <w:tr>
        <w:trPr>
          <w:cantSplit/>
        </w:trPr>
        <w:tc>
          <w:tcPr>
            <w:tcW w:type="dxa" w:w="2592"/>
            <w:vAlign w:val="top"/>
            <w:tcMar>
              <w:top w:w="70" w:type="dxa"/>
              <w:start w:w="80" w:type="dxa"/>
              <w:bottom w:w="70" w:type="dxa"/>
              <w:end w:w="80" w:type="dxa"/>
            </w:tcMar>
          </w:tcPr>
          <w:p>
            <w:pPr>
              <w:spacing w:after="0"/>
            </w:pPr>
            <w:r>
              <w:rPr>
                <w:color w:val="1F2937"/>
                <w:sz w:val="17"/>
              </w:rPr>
              <w:t>Bishal – validation/weather</w:t>
            </w:r>
          </w:p>
        </w:tc>
        <w:tc>
          <w:tcPr>
            <w:tcW w:type="dxa" w:w="6912"/>
            <w:vAlign w:val="top"/>
            <w:tcMar>
              <w:top w:w="70" w:type="dxa"/>
              <w:start w:w="80" w:type="dxa"/>
              <w:bottom w:w="70" w:type="dxa"/>
              <w:end w:w="80" w:type="dxa"/>
            </w:tcMar>
          </w:tcPr>
          <w:p>
            <w:pPr>
              <w:spacing w:after="0"/>
            </w:pPr>
            <w:r>
              <w:rPr>
                <w:color w:val="1F2937"/>
                <w:sz w:val="17"/>
              </w:rPr>
              <w:t>Independent checks use the SOURCE/SOURCE_INTERVAL_MIN fields when judging WA coverage and cutover semantics.</w:t>
            </w:r>
          </w:p>
        </w:tc>
      </w:tr>
      <w:tr>
        <w:trPr>
          <w:cantSplit/>
        </w:trPr>
        <w:tc>
          <w:tcPr>
            <w:tcW w:type="dxa" w:w="2592"/>
            <w:vAlign w:val="top"/>
            <w:shd w:fill="F6F8FB"/>
            <w:tcMar>
              <w:top w:w="70" w:type="dxa"/>
              <w:start w:w="80" w:type="dxa"/>
              <w:bottom w:w="70" w:type="dxa"/>
              <w:end w:w="80" w:type="dxa"/>
            </w:tcMar>
          </w:tcPr>
          <w:p>
            <w:pPr>
              <w:spacing w:after="0"/>
            </w:pPr>
            <w:r>
              <w:rPr>
                <w:color w:val="1F2937"/>
                <w:sz w:val="17"/>
              </w:rPr>
              <w:t>Dan6 integration</w:t>
            </w:r>
          </w:p>
        </w:tc>
        <w:tc>
          <w:tcPr>
            <w:tcW w:type="dxa" w:w="6912"/>
            <w:vAlign w:val="top"/>
            <w:shd w:fill="F6F8FB"/>
            <w:tcMar>
              <w:top w:w="70" w:type="dxa"/>
              <w:start w:w="80" w:type="dxa"/>
              <w:bottom w:w="70" w:type="dxa"/>
              <w:end w:w="80" w:type="dxa"/>
            </w:tcMar>
          </w:tcPr>
          <w:p>
            <w:pPr>
              <w:spacing w:after="0"/>
            </w:pPr>
            <w:r>
              <w:rPr>
                <w:color w:val="1F2937"/>
                <w:sz w:val="17"/>
              </w:rPr>
              <w:t>The final source hierarchy and folder separation were agreed as a group because they affect every later stage.</w:t>
            </w:r>
          </w:p>
        </w:tc>
      </w:tr>
    </w:tbl>
    <w:p>
      <w:pPr>
        <w:pStyle w:val="Heading1"/>
      </w:pPr>
      <w:r>
        <w:t>6. Technical decisions and limitations</w:t>
      </w:r>
    </w:p>
    <w:p>
      <w:r>
        <w:t>The final source module is intentionally conservative: it preserves what the provider published, adds provenance only where needed to disambiguate source meaning, and avoids performing later-stage analytical transformations inside acquisition. Where the original proposal could not be implemented reproducibly, the limitation is documented rather than hidden.</w:t>
      </w:r>
    </w:p>
    <w:p>
      <w:pPr>
        <w:pStyle w:val="Heading1"/>
      </w:pPr>
      <w:r>
        <w:t>7. Status at Stage 1 close-out</w:t>
      </w:r>
    </w:p>
    <w:tbl>
      <w:tblPr>
        <w:tblStyle w:val="TableGrid"/>
        <w:tblW w:type="auto" w:w="0"/>
        <w:jc w:val="center"/>
        <w:tblLook w:firstColumn="1" w:firstRow="1" w:lastColumn="0" w:lastRow="0" w:noHBand="0" w:noVBand="1" w:val="04A0"/>
      </w:tblPr>
      <w:tblGrid>
        <w:gridCol w:w="10166"/>
      </w:tblGrid>
      <w:tr>
        <w:tc>
          <w:tcPr>
            <w:tcW w:type="dxa" w:w="10166"/>
            <w:shd w:fill="EDF7F4"/>
            <w:tcMar>
              <w:top w:w="100" w:type="dxa"/>
              <w:start w:w="130" w:type="dxa"/>
              <w:bottom w:w="100" w:type="dxa"/>
              <w:end w:w="130" w:type="dxa"/>
            </w:tcMar>
          </w:tcPr>
          <w:p>
            <w:r>
              <w:rPr>
                <w:b/>
                <w:color w:val="4F7E56"/>
                <w:sz w:val="20"/>
              </w:rPr>
              <w:t>INDIVIDUAL WP1 STATUS: INTEGRATED</w:t>
              <w:br/>
            </w:r>
            <w:r>
              <w:rPr>
                <w:color w:val="1F2937"/>
                <w:sz w:val="19"/>
              </w:rPr>
              <w:t>The assigned acquisition workstream is represented in the final Stage 1 pipeline and its outputs are present in the verified Data.zip. Remaining analytical transformations belong to later stages, not this module.</w:t>
            </w:r>
          </w:p>
        </w:tc>
      </w:tr>
    </w:tbl>
    <w:p>
      <w:pPr>
        <w:pStyle w:val="Heading1"/>
      </w:pPr>
      <w:r>
        <w:t>8. Professional reflection</w:t>
      </w:r>
    </w:p>
    <w:p>
      <w:r>
        <w:t>WA showed why source knowledge matters as much as Python syntax. A naïve pipeline could have treated the old 30-minute regime as missing five-minute data or selected the wrong demand/withdrawal field. Keeping source semantics visible made the raw output more honest and prevented acquisition from inventing detail that the provider never published.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Dan6 – Australian Electricity Demand Forecasting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PRT661 – Data Science Practice | WP1 Sudip Lamichhane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A63"/>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D6CA2"/>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2B8C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A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