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WP2 Individual Contribution</w:t>
        <w:br/>
        <w:t>and Progress Report</w:t>
      </w:r>
    </w:p>
    <w:p>
      <w:pPr>
        <w:jc w:val="center"/>
      </w:pPr>
      <w:r>
        <w:rPr>
          <w:b/>
          <w:sz w:val="24"/>
        </w:rPr>
        <w:t>Australian Electricity Demand Forecasting</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Pr>
                <w:b/>
                <w:sz w:val="18"/>
              </w:rPr>
              <w:t>Field</w:t>
            </w:r>
          </w:p>
        </w:tc>
        <w:tc>
          <w:tcPr>
            <w:tcW w:type="dxa" w:w="6803"/>
            <w:shd w:fill="D9EAF7"/>
            <w:vAlign w:val="center"/>
          </w:tcPr>
          <w:p>
            <w:r>
              <w:rPr>
                <w:b/>
                <w:sz w:val="18"/>
              </w:rPr>
              <w:t>Detail</w:t>
            </w:r>
          </w:p>
        </w:tc>
      </w:tr>
      <w:tr>
        <w:tc>
          <w:tcPr>
            <w:tcW w:type="dxa" w:w="2268"/>
            <w:vAlign w:val="top"/>
            <w:tcMar>
              <w:top w:w="90" w:type="dxa"/>
              <w:start w:w="90" w:type="dxa"/>
              <w:bottom w:w="90" w:type="dxa"/>
              <w:end w:w="90" w:type="dxa"/>
            </w:tcMar>
          </w:tcPr>
          <w:p>
            <w:r>
              <w:rPr>
                <w:sz w:val="18"/>
              </w:rPr>
              <w:t>Student</w:t>
            </w:r>
          </w:p>
        </w:tc>
        <w:tc>
          <w:tcPr>
            <w:tcW w:type="dxa" w:w="6803"/>
            <w:vAlign w:val="top"/>
            <w:tcMar>
              <w:top w:w="90" w:type="dxa"/>
              <w:start w:w="90" w:type="dxa"/>
              <w:bottom w:w="90" w:type="dxa"/>
              <w:end w:w="90" w:type="dxa"/>
            </w:tcMar>
          </w:tcPr>
          <w:p>
            <w:r>
              <w:rPr>
                <w:sz w:val="18"/>
              </w:rPr>
              <w:t>Sudip Lamichhane</w:t>
            </w:r>
          </w:p>
        </w:tc>
      </w:tr>
      <w:tr>
        <w:tc>
          <w:tcPr>
            <w:tcW w:type="dxa" w:w="2268"/>
            <w:vAlign w:val="top"/>
            <w:tcMar>
              <w:top w:w="90" w:type="dxa"/>
              <w:start w:w="90" w:type="dxa"/>
              <w:bottom w:w="90" w:type="dxa"/>
              <w:end w:w="90" w:type="dxa"/>
            </w:tcMar>
          </w:tcPr>
          <w:p>
            <w:r>
              <w:rPr>
                <w:sz w:val="18"/>
              </w:rPr>
              <w:t>Student ID</w:t>
            </w:r>
          </w:p>
        </w:tc>
        <w:tc>
          <w:tcPr>
            <w:tcW w:type="dxa" w:w="6803"/>
            <w:vAlign w:val="top"/>
            <w:tcMar>
              <w:top w:w="90" w:type="dxa"/>
              <w:start w:w="90" w:type="dxa"/>
              <w:bottom w:w="90" w:type="dxa"/>
              <w:end w:w="90" w:type="dxa"/>
            </w:tcMar>
          </w:tcPr>
          <w:p>
            <w:r>
              <w:rPr>
                <w:sz w:val="18"/>
              </w:rPr>
              <w:t>S388085</w:t>
            </w:r>
          </w:p>
        </w:tc>
      </w:tr>
      <w:tr>
        <w:tc>
          <w:tcPr>
            <w:tcW w:type="dxa" w:w="2268"/>
            <w:vAlign w:val="top"/>
            <w:tcMar>
              <w:top w:w="90" w:type="dxa"/>
              <w:start w:w="90" w:type="dxa"/>
              <w:bottom w:w="90" w:type="dxa"/>
              <w:end w:w="90" w:type="dxa"/>
            </w:tcMar>
          </w:tcPr>
          <w:p>
            <w:r>
              <w:rPr>
                <w:sz w:val="18"/>
              </w:rPr>
              <w:t>Role</w:t>
            </w:r>
          </w:p>
        </w:tc>
        <w:tc>
          <w:tcPr>
            <w:tcW w:type="dxa" w:w="6803"/>
            <w:vAlign w:val="top"/>
            <w:tcMar>
              <w:top w:w="90" w:type="dxa"/>
              <w:start w:w="90" w:type="dxa"/>
              <w:bottom w:w="90" w:type="dxa"/>
              <w:end w:w="90" w:type="dxa"/>
            </w:tcMar>
          </w:tcPr>
          <w:p>
            <w:r>
              <w:rPr>
                <w:sz w:val="18"/>
              </w:rPr>
              <w:t>Data Acquisition &amp; Correction Handling Lead</w:t>
            </w:r>
          </w:p>
        </w:tc>
      </w:tr>
      <w:tr>
        <w:tc>
          <w:tcPr>
            <w:tcW w:type="dxa" w:w="2268"/>
            <w:vAlign w:val="top"/>
            <w:tcMar>
              <w:top w:w="90" w:type="dxa"/>
              <w:start w:w="90" w:type="dxa"/>
              <w:bottom w:w="90" w:type="dxa"/>
              <w:end w:w="90" w:type="dxa"/>
            </w:tcMar>
          </w:tcPr>
          <w:p>
            <w:r>
              <w:rPr>
                <w:sz w:val="18"/>
              </w:rPr>
              <w:t>Group</w:t>
            </w:r>
          </w:p>
        </w:tc>
        <w:tc>
          <w:tcPr>
            <w:tcW w:type="dxa" w:w="6803"/>
            <w:vAlign w:val="top"/>
            <w:tcMar>
              <w:top w:w="90" w:type="dxa"/>
              <w:start w:w="90" w:type="dxa"/>
              <w:bottom w:w="90" w:type="dxa"/>
              <w:end w:w="90" w:type="dxa"/>
            </w:tcMar>
          </w:tcPr>
          <w:p>
            <w:r>
              <w:rPr>
                <w:sz w:val="18"/>
              </w:rPr>
              <w:t>Dan6 – Theme 2</w:t>
            </w:r>
          </w:p>
        </w:tc>
      </w:tr>
      <w:tr>
        <w:tc>
          <w:tcPr>
            <w:tcW w:type="dxa" w:w="2268"/>
            <w:vAlign w:val="top"/>
            <w:tcMar>
              <w:top w:w="90" w:type="dxa"/>
              <w:start w:w="90" w:type="dxa"/>
              <w:bottom w:w="90" w:type="dxa"/>
              <w:end w:w="90" w:type="dxa"/>
            </w:tcMar>
          </w:tcPr>
          <w:p>
            <w:r>
              <w:rPr>
                <w:sz w:val="18"/>
              </w:rPr>
              <w:t>WP2 code artefact</w:t>
            </w:r>
          </w:p>
        </w:tc>
        <w:tc>
          <w:tcPr>
            <w:tcW w:type="dxa" w:w="6803"/>
            <w:vAlign w:val="top"/>
            <w:tcMar>
              <w:top w:w="90" w:type="dxa"/>
              <w:start w:w="90" w:type="dxa"/>
              <w:bottom w:w="90" w:type="dxa"/>
              <w:end w:w="90" w:type="dxa"/>
            </w:tcMar>
          </w:tcPr>
          <w:p>
            <w:r>
              <w:rPr>
                <w:sz w:val="18"/>
              </w:rPr>
              <w:t>WP2_Sudip_Lamichhane_Preprocessing.py</w:t>
            </w:r>
          </w:p>
        </w:tc>
      </w:tr>
      <w:tr>
        <w:tc>
          <w:tcPr>
            <w:tcW w:type="dxa" w:w="2268"/>
            <w:vAlign w:val="top"/>
            <w:tcMar>
              <w:top w:w="90" w:type="dxa"/>
              <w:start w:w="90" w:type="dxa"/>
              <w:bottom w:w="90" w:type="dxa"/>
              <w:end w:w="90" w:type="dxa"/>
            </w:tcMar>
          </w:tcPr>
          <w:p>
            <w:r>
              <w:rPr>
                <w:sz w:val="18"/>
              </w:rPr>
              <w:t>Integrated pipeline</w:t>
            </w:r>
          </w:p>
        </w:tc>
        <w:tc>
          <w:tcPr>
            <w:tcW w:type="dxa" w:w="6803"/>
            <w:vAlign w:val="top"/>
            <w:tcMar>
              <w:top w:w="90" w:type="dxa"/>
              <w:start w:w="90" w:type="dxa"/>
              <w:bottom w:w="90" w:type="dxa"/>
              <w:end w:w="90" w:type="dxa"/>
            </w:tcMar>
          </w:tcPr>
          <w:p>
            <w:r>
              <w:rPr>
                <w:sz w:val="18"/>
              </w:rPr>
              <w:t>Preprocessing Final.py</w:t>
            </w:r>
          </w:p>
        </w:tc>
      </w:tr>
      <w:tr>
        <w:tc>
          <w:tcPr>
            <w:tcW w:type="dxa" w:w="2268"/>
            <w:vAlign w:val="top"/>
            <w:tcMar>
              <w:top w:w="90" w:type="dxa"/>
              <w:start w:w="90" w:type="dxa"/>
              <w:bottom w:w="90" w:type="dxa"/>
              <w:end w:w="90" w:type="dxa"/>
            </w:tcMar>
          </w:tcPr>
          <w:p>
            <w:r>
              <w:rPr>
                <w:sz w:val="18"/>
              </w:rPr>
              <w:t>Verified output</w:t>
            </w:r>
          </w:p>
        </w:tc>
        <w:tc>
          <w:tcPr>
            <w:tcW w:type="dxa" w:w="6803"/>
            <w:vAlign w:val="top"/>
            <w:tcMar>
              <w:top w:w="90" w:type="dxa"/>
              <w:start w:w="90" w:type="dxa"/>
              <w:bottom w:w="90" w:type="dxa"/>
              <w:end w:w="90" w:type="dxa"/>
            </w:tcMar>
          </w:tcPr>
          <w:p>
            <w:r>
              <w:rPr>
                <w:sz w:val="18"/>
              </w:rPr>
              <w:t>Stage2_Preprocessing_Output_20260914_150854.zip</w:t>
            </w:r>
          </w:p>
        </w:tc>
      </w:tr>
    </w:tbl>
    <w:p/>
    <w:p>
      <w:pPr>
        <w:pStyle w:val="Heading1"/>
      </w:pPr>
      <w:r>
        <w:t>1. Contribution overview</w:t>
      </w:r>
    </w:p>
    <w:p>
      <w:pPr>
        <w:spacing w:after="120" w:line="259" w:lineRule="auto"/>
      </w:pPr>
      <w:r>
        <w:t>My Stage 2 workstream focused on source quality and correction handling. In plain terms, I was responsible for deciding what the pipeline is allowed to clean, what must remain visible as missing or unusual, and how source context such as public holidays and AEMO benchmark files can be retained without contaminating the modelling features.</w:t>
      </w:r>
    </w:p>
    <w:p>
      <w:r>
        <w:rPr>
          <w:b/>
        </w:rPr>
        <w:t xml:space="preserve">Contribution boundary. </w:t>
      </w:r>
      <w:r>
        <w:t>The final Stage 2 pipeline is a joint integration. This report identifies the student's primary workstream and the technical interfaces it contributed, but it does not claim that one person independently authored the complete preprocessing or feature-engineering pipeline. Feature engineering is intentionally collaborative: reliable time structure, source-quality controls, calendar/holiday context, forecasting features and independent validation are combined before the final handoff to Stage 3.</w:t>
      </w:r>
    </w:p>
    <w:p>
      <w:pPr>
        <w:pStyle w:val="Heading1"/>
      </w:pPr>
      <w:r>
        <w:t>2. How the initial preprocessing plan became my workstream</w:t>
      </w:r>
    </w:p>
    <w:tbl>
      <w:tblPr>
        <w:tblStyle w:val="TableGrid"/>
        <w:tblW w:type="auto" w:w="0"/>
        <w:jc w:val="center"/>
        <w:tblLook w:firstColumn="1" w:firstRow="1" w:lastColumn="0" w:lastRow="0" w:noHBand="0" w:noVBand="1" w:val="04A0"/>
      </w:tblPr>
      <w:tblGrid>
        <w:gridCol w:w="5156"/>
        <w:gridCol w:w="5156"/>
      </w:tblGrid>
      <w:tr>
        <w:tc>
          <w:tcPr>
            <w:tcW w:type="dxa" w:w="2948"/>
            <w:shd w:fill="D9EAF7"/>
            <w:vAlign w:val="center"/>
          </w:tcPr>
          <w:p>
            <w:r>
              <w:rPr>
                <w:b/>
                <w:sz w:val="18"/>
              </w:rPr>
              <w:t>Initial design requirement</w:t>
            </w:r>
          </w:p>
        </w:tc>
        <w:tc>
          <w:tcPr>
            <w:tcW w:type="dxa" w:w="6123"/>
            <w:shd w:fill="D9EAF7"/>
            <w:vAlign w:val="center"/>
          </w:tcPr>
          <w:p>
            <w:r>
              <w:rPr>
                <w:b/>
                <w:sz w:val="18"/>
              </w:rPr>
              <w:t>How it shaped this workstream</w:t>
            </w:r>
          </w:p>
        </w:tc>
      </w:tr>
      <w:tr>
        <w:tc>
          <w:tcPr>
            <w:tcW w:type="dxa" w:w="2948"/>
            <w:vAlign w:val="top"/>
            <w:tcMar>
              <w:top w:w="90" w:type="dxa"/>
              <w:start w:w="90" w:type="dxa"/>
              <w:bottom w:w="90" w:type="dxa"/>
              <w:end w:w="90" w:type="dxa"/>
            </w:tcMar>
          </w:tcPr>
          <w:p>
            <w:r>
              <w:rPr>
                <w:sz w:val="18"/>
              </w:rPr>
              <w:t>Missing-value analysis</w:t>
            </w:r>
          </w:p>
        </w:tc>
        <w:tc>
          <w:tcPr>
            <w:tcW w:type="dxa" w:w="6123"/>
            <w:vAlign w:val="top"/>
            <w:tcMar>
              <w:top w:w="90" w:type="dxa"/>
              <w:start w:w="90" w:type="dxa"/>
              <w:bottom w:w="90" w:type="dxa"/>
              <w:end w:w="90" w:type="dxa"/>
            </w:tcMar>
          </w:tcPr>
          <w:p>
            <w:r>
              <w:rPr>
                <w:sz w:val="18"/>
              </w:rPr>
              <w:t>Measure missing blocks first; only very small gaps should be considered for interpolation.</w:t>
            </w:r>
          </w:p>
        </w:tc>
      </w:tr>
      <w:tr>
        <w:tc>
          <w:tcPr>
            <w:tcW w:type="dxa" w:w="2948"/>
            <w:vAlign w:val="top"/>
            <w:tcMar>
              <w:top w:w="90" w:type="dxa"/>
              <w:start w:w="90" w:type="dxa"/>
              <w:bottom w:w="90" w:type="dxa"/>
              <w:end w:w="90" w:type="dxa"/>
            </w:tcMar>
          </w:tcPr>
          <w:p>
            <w:r>
              <w:rPr>
                <w:sz w:val="18"/>
              </w:rPr>
              <w:t>Duplicate and anomaly checks</w:t>
            </w:r>
          </w:p>
        </w:tc>
        <w:tc>
          <w:tcPr>
            <w:tcW w:type="dxa" w:w="6123"/>
            <w:vAlign w:val="top"/>
            <w:tcMar>
              <w:top w:w="90" w:type="dxa"/>
              <w:start w:w="90" w:type="dxa"/>
              <w:bottom w:w="90" w:type="dxa"/>
              <w:end w:w="90" w:type="dxa"/>
            </w:tcMar>
          </w:tcPr>
          <w:p>
            <w:r>
              <w:rPr>
                <w:sz w:val="18"/>
              </w:rPr>
              <w:t>Identify duplicates, impossible values and suspicious discontinuities rather than deleting unusual peaks automatically.</w:t>
            </w:r>
          </w:p>
        </w:tc>
      </w:tr>
      <w:tr>
        <w:tc>
          <w:tcPr>
            <w:tcW w:type="dxa" w:w="2948"/>
            <w:vAlign w:val="top"/>
            <w:tcMar>
              <w:top w:w="90" w:type="dxa"/>
              <w:start w:w="90" w:type="dxa"/>
              <w:bottom w:w="90" w:type="dxa"/>
              <w:end w:w="90" w:type="dxa"/>
            </w:tcMar>
          </w:tcPr>
          <w:p>
            <w:r>
              <w:rPr>
                <w:sz w:val="18"/>
              </w:rPr>
              <w:t>Holiday preprocessing</w:t>
            </w:r>
          </w:p>
        </w:tc>
        <w:tc>
          <w:tcPr>
            <w:tcW w:type="dxa" w:w="6123"/>
            <w:vAlign w:val="top"/>
            <w:tcMar>
              <w:top w:w="90" w:type="dxa"/>
              <w:start w:w="90" w:type="dxa"/>
              <w:bottom w:w="90" w:type="dxa"/>
              <w:end w:w="90" w:type="dxa"/>
            </w:tcMar>
          </w:tcPr>
          <w:p>
            <w:r>
              <w:rPr>
                <w:sz w:val="18"/>
              </w:rPr>
              <w:t>Join state-specific holidays by local date and build useful calendar context.</w:t>
            </w:r>
          </w:p>
        </w:tc>
      </w:tr>
      <w:tr>
        <w:tc>
          <w:tcPr>
            <w:tcW w:type="dxa" w:w="2948"/>
            <w:vAlign w:val="top"/>
            <w:tcMar>
              <w:top w:w="90" w:type="dxa"/>
              <w:start w:w="90" w:type="dxa"/>
              <w:bottom w:w="90" w:type="dxa"/>
              <w:end w:w="90" w:type="dxa"/>
            </w:tcMar>
          </w:tcPr>
          <w:p>
            <w:r>
              <w:rPr>
                <w:sz w:val="18"/>
              </w:rPr>
              <w:t>Source preservation</w:t>
            </w:r>
          </w:p>
        </w:tc>
        <w:tc>
          <w:tcPr>
            <w:tcW w:type="dxa" w:w="6123"/>
            <w:vAlign w:val="top"/>
            <w:tcMar>
              <w:top w:w="90" w:type="dxa"/>
              <w:start w:w="90" w:type="dxa"/>
              <w:bottom w:w="90" w:type="dxa"/>
              <w:end w:w="90" w:type="dxa"/>
            </w:tcMar>
          </w:tcPr>
          <w:p>
            <w:r>
              <w:rPr>
                <w:sz w:val="18"/>
              </w:rPr>
              <w:t>Keep source-level evidence intact so transformations can be traced and reproduced.</w:t>
            </w:r>
          </w:p>
        </w:tc>
      </w:tr>
    </w:tbl>
    <w:p/>
    <w:p>
      <w:pPr>
        <w:pStyle w:val="Heading1"/>
      </w:pPr>
      <w:r>
        <w:t>3. Work completed</w:t>
      </w:r>
    </w:p>
    <w:p>
      <w:pPr>
        <w:pStyle w:val="Heading2"/>
      </w:pPr>
      <w:r>
        <w:t>3.1 Non-technical explanation</w:t>
      </w:r>
    </w:p>
    <w:p>
      <w:pPr>
        <w:pStyle w:val="ListBullet"/>
        <w:spacing w:after="60"/>
      </w:pPr>
      <w:r>
        <w:rPr>
          <w:b/>
        </w:rPr>
        <w:t xml:space="preserve">Remove duplicate timestamps carefully. </w:t>
      </w:r>
      <w:r>
        <w:t>The unique region/timestamp key is checked and duplicates are removed deterministically.</w:t>
      </w:r>
    </w:p>
    <w:p>
      <w:pPr>
        <w:pStyle w:val="ListBullet"/>
        <w:spacing w:after="60"/>
      </w:pPr>
      <w:r>
        <w:rPr>
          <w:b/>
        </w:rPr>
        <w:t xml:space="preserve">Measure gaps using the correct native interval. </w:t>
      </w:r>
      <w:r>
        <w:t>WA's older 30-minute data is not judged against a five-minute expectation.</w:t>
      </w:r>
    </w:p>
    <w:p>
      <w:pPr>
        <w:pStyle w:val="ListBullet"/>
        <w:spacing w:after="60"/>
      </w:pPr>
      <w:r>
        <w:rPr>
          <w:b/>
        </w:rPr>
        <w:t xml:space="preserve">Interpolate only short gaps. </w:t>
      </w:r>
      <w:r>
        <w:t>Runs of at most two native intervals can be interpolated and are explicitly flagged; larger gaps remain missing.</w:t>
      </w:r>
    </w:p>
    <w:p>
      <w:pPr>
        <w:pStyle w:val="ListBullet"/>
        <w:spacing w:after="60"/>
      </w:pPr>
      <w:r>
        <w:rPr>
          <w:b/>
        </w:rPr>
        <w:t xml:space="preserve">Flag unusual values instead of deleting them. </w:t>
      </w:r>
      <w:r>
        <w:t>Statistical extremes may represent real heat, cold or solar-driven behaviour, so the pipeline distinguishes impossible/isolated/sustained cases and preserves them.</w:t>
      </w:r>
    </w:p>
    <w:p>
      <w:pPr>
        <w:pStyle w:val="ListBullet"/>
        <w:spacing w:after="60"/>
      </w:pPr>
      <w:r>
        <w:rPr>
          <w:b/>
        </w:rPr>
        <w:t xml:space="preserve">Extend holidays to the whole forecast horizon. </w:t>
      </w:r>
      <w:r>
        <w:t>State calendars are checked and, where necessary, extended using the same holidays library while marking generated provenance.</w:t>
      </w:r>
    </w:p>
    <w:p>
      <w:pPr>
        <w:pStyle w:val="ListBullet"/>
        <w:spacing w:after="60"/>
      </w:pPr>
      <w:r>
        <w:rPr>
          <w:b/>
        </w:rPr>
        <w:t xml:space="preserve">Keep AEMO pre-dispatch separate from predictors. </w:t>
      </w:r>
      <w:r>
        <w:t>ACTUAL and FORECAST rows are retained only as secondary benchmark/context because the dashboard target is not automatically identical to project Operational Demand.</w:t>
      </w:r>
    </w:p>
    <w:p>
      <w:pPr>
        <w:pStyle w:val="Heading2"/>
      </w:pPr>
      <w:r>
        <w:t>3.2 Technical code artefact</w:t>
      </w:r>
    </w:p>
    <w:p>
      <w:pPr>
        <w:spacing w:after="120" w:line="259" w:lineRule="auto"/>
      </w:pPr>
      <w:r>
        <w:t>The accompanying `WP2_Sudip_Lamichhane_Preprocessing.py` is an updated individual contribution module reconstructed from the supplied WP2 module and aligned to the final Stage 2 architecture. It is intentionally narrower than the final integrated pipeline. Its main functions are:</w:t>
      </w:r>
    </w:p>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Pr>
                <w:b/>
                <w:sz w:val="18"/>
              </w:rPr>
              <w:t>Function / component</w:t>
            </w:r>
          </w:p>
        </w:tc>
        <w:tc>
          <w:tcPr>
            <w:tcW w:type="dxa" w:w="5669"/>
            <w:shd w:fill="D9EAF7"/>
            <w:vAlign w:val="center"/>
          </w:tcPr>
          <w:p>
            <w:r>
              <w:rPr>
                <w:b/>
                <w:sz w:val="18"/>
              </w:rPr>
              <w:t>Role in the workstream</w:t>
            </w:r>
          </w:p>
        </w:tc>
      </w:tr>
      <w:tr>
        <w:tc>
          <w:tcPr>
            <w:tcW w:type="dxa" w:w="3402"/>
            <w:vAlign w:val="top"/>
            <w:tcMar>
              <w:top w:w="90" w:type="dxa"/>
              <w:start w:w="90" w:type="dxa"/>
              <w:bottom w:w="90" w:type="dxa"/>
              <w:end w:w="90" w:type="dxa"/>
            </w:tcMar>
          </w:tcPr>
          <w:p>
            <w:r>
              <w:rPr>
                <w:sz w:val="18"/>
              </w:rPr>
              <w:t>detect_resolution</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report_duplicates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drop_duplicates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find_missing_intervals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reindex_and_flag_gaps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flag_invalid_and_outliers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load_holidays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load_holidays_covering</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add_holiday_features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process_predispatch</w:t>
            </w:r>
          </w:p>
        </w:tc>
        <w:tc>
          <w:tcPr>
            <w:tcW w:type="dxa" w:w="5669"/>
            <w:vAlign w:val="top"/>
            <w:tcMar>
              <w:top w:w="90" w:type="dxa"/>
              <w:start w:w="90" w:type="dxa"/>
              <w:bottom w:w="90" w:type="dxa"/>
              <w:end w:w="90" w:type="dxa"/>
            </w:tcMar>
          </w:tcPr>
          <w:p>
            <w:r>
              <w:rPr>
                <w:sz w:val="18"/>
              </w:rPr>
              <w:t>See code comments/docstring; integrated through Preprocessing Final.py.</w:t>
            </w:r>
          </w:p>
        </w:tc>
      </w:tr>
    </w:tbl>
    <w:p/>
    <w:p>
      <w:pPr>
        <w:pStyle w:val="Heading1"/>
      </w:pPr>
      <w:r>
        <w:t>4. Collaborative feature engineering and integration</w:t>
      </w:r>
    </w:p>
    <w:p>
      <w:pPr>
        <w:spacing w:after="120" w:line="259" w:lineRule="auto"/>
      </w:pPr>
      <w:r>
        <w:t>My work contributes data-quality and holiday context to the shared feature space. Suraj's native-frequency inference is reused by the gap logic so cleaning and harmonisation cannot disagree about what an interval is. Ashish consumes my holiday fields inside the future feature frame, and Bishal independently verifies the duplicate/gap and benchmark-isolation rules. The final feature set is therefore collaborative rather than an individual feature-engineering product.</w:t>
      </w:r>
    </w:p>
    <w:tbl>
      <w:tblPr>
        <w:tblStyle w:val="TableGrid"/>
        <w:tblW w:type="auto" w:w="0"/>
        <w:jc w:val="center"/>
        <w:tblLook w:firstColumn="1" w:firstRow="1" w:lastColumn="0" w:lastRow="0" w:noHBand="0" w:noVBand="1" w:val="04A0"/>
      </w:tblPr>
      <w:tblGrid>
        <w:gridCol w:w="5156"/>
        <w:gridCol w:w="5156"/>
      </w:tblGrid>
      <w:tr>
        <w:tc>
          <w:tcPr>
            <w:tcW w:type="dxa" w:w="2551"/>
            <w:shd w:fill="D9EAF7"/>
            <w:vAlign w:val="center"/>
          </w:tcPr>
          <w:p>
            <w:r>
              <w:rPr>
                <w:b/>
                <w:sz w:val="18"/>
              </w:rPr>
              <w:t>Contributor interface</w:t>
            </w:r>
          </w:p>
        </w:tc>
        <w:tc>
          <w:tcPr>
            <w:tcW w:type="dxa" w:w="6520"/>
            <w:shd w:fill="D9EAF7"/>
            <w:vAlign w:val="center"/>
          </w:tcPr>
          <w:p>
            <w:r>
              <w:rPr>
                <w:b/>
                <w:sz w:val="18"/>
              </w:rPr>
              <w:t>What enters the final shared pipeline</w:t>
            </w:r>
          </w:p>
        </w:tc>
      </w:tr>
      <w:tr>
        <w:tc>
          <w:tcPr>
            <w:tcW w:type="dxa" w:w="2551"/>
            <w:vAlign w:val="top"/>
            <w:tcMar>
              <w:top w:w="90" w:type="dxa"/>
              <w:start w:w="90" w:type="dxa"/>
              <w:bottom w:w="90" w:type="dxa"/>
              <w:end w:w="90" w:type="dxa"/>
            </w:tcMar>
          </w:tcPr>
          <w:p>
            <w:r>
              <w:rPr>
                <w:sz w:val="18"/>
              </w:rPr>
              <w:t>Suraj – engineering</w:t>
            </w:r>
          </w:p>
        </w:tc>
        <w:tc>
          <w:tcPr>
            <w:tcW w:type="dxa" w:w="6520"/>
            <w:vAlign w:val="top"/>
            <w:tcMar>
              <w:top w:w="90" w:type="dxa"/>
              <w:start w:w="90" w:type="dxa"/>
              <w:bottom w:w="90" w:type="dxa"/>
              <w:end w:w="90" w:type="dxa"/>
            </w:tcMar>
          </w:tcPr>
          <w:p>
            <w:r>
              <w:rPr>
                <w:sz w:val="18"/>
              </w:rPr>
              <w:t>30-minute grid, local/canonical clock structure, calendar/cyclical features</w:t>
            </w:r>
          </w:p>
        </w:tc>
      </w:tr>
      <w:tr>
        <w:tc>
          <w:tcPr>
            <w:tcW w:type="dxa" w:w="2551"/>
            <w:vAlign w:val="top"/>
            <w:tcMar>
              <w:top w:w="90" w:type="dxa"/>
              <w:start w:w="90" w:type="dxa"/>
              <w:bottom w:w="90" w:type="dxa"/>
              <w:end w:w="90" w:type="dxa"/>
            </w:tcMar>
          </w:tcPr>
          <w:p>
            <w:r>
              <w:rPr>
                <w:sz w:val="18"/>
              </w:rPr>
              <w:t>Sudip – quality/context</w:t>
            </w:r>
          </w:p>
        </w:tc>
        <w:tc>
          <w:tcPr>
            <w:tcW w:type="dxa" w:w="6520"/>
            <w:vAlign w:val="top"/>
            <w:tcMar>
              <w:top w:w="90" w:type="dxa"/>
              <w:start w:w="90" w:type="dxa"/>
              <w:bottom w:w="90" w:type="dxa"/>
              <w:end w:w="90" w:type="dxa"/>
            </w:tcMar>
          </w:tcPr>
          <w:p>
            <w:r>
              <w:rPr>
                <w:sz w:val="18"/>
              </w:rPr>
              <w:t>gap and anomaly decisions, holiday fields, benchmark separation</w:t>
            </w:r>
          </w:p>
        </w:tc>
      </w:tr>
      <w:tr>
        <w:tc>
          <w:tcPr>
            <w:tcW w:type="dxa" w:w="2551"/>
            <w:vAlign w:val="top"/>
            <w:tcMar>
              <w:top w:w="90" w:type="dxa"/>
              <w:start w:w="90" w:type="dxa"/>
              <w:bottom w:w="90" w:type="dxa"/>
              <w:end w:w="90" w:type="dxa"/>
            </w:tcMar>
          </w:tcPr>
          <w:p>
            <w:r>
              <w:rPr>
                <w:sz w:val="18"/>
              </w:rPr>
              <w:t>Ashish – forecasting features</w:t>
            </w:r>
          </w:p>
        </w:tc>
        <w:tc>
          <w:tcPr>
            <w:tcW w:type="dxa" w:w="6520"/>
            <w:vAlign w:val="top"/>
            <w:tcMar>
              <w:top w:w="90" w:type="dxa"/>
              <w:start w:w="90" w:type="dxa"/>
              <w:bottom w:w="90" w:type="dxa"/>
              <w:end w:w="90" w:type="dxa"/>
            </w:tcMar>
          </w:tcPr>
          <w:p>
            <w:r>
              <w:rPr>
                <w:sz w:val="18"/>
              </w:rPr>
              <w:t>demand history, historical profiles, weather features, future frame, A/B contract</w:t>
            </w:r>
          </w:p>
        </w:tc>
      </w:tr>
      <w:tr>
        <w:tc>
          <w:tcPr>
            <w:tcW w:type="dxa" w:w="2551"/>
            <w:vAlign w:val="top"/>
            <w:tcMar>
              <w:top w:w="90" w:type="dxa"/>
              <w:start w:w="90" w:type="dxa"/>
              <w:bottom w:w="90" w:type="dxa"/>
              <w:end w:w="90" w:type="dxa"/>
            </w:tcMar>
          </w:tcPr>
          <w:p>
            <w:r>
              <w:rPr>
                <w:sz w:val="18"/>
              </w:rPr>
              <w:t>Bishal – verification</w:t>
            </w:r>
          </w:p>
        </w:tc>
        <w:tc>
          <w:tcPr>
            <w:tcW w:type="dxa" w:w="6520"/>
            <w:vAlign w:val="top"/>
            <w:tcMar>
              <w:top w:w="90" w:type="dxa"/>
              <w:start w:w="90" w:type="dxa"/>
              <w:bottom w:w="90" w:type="dxa"/>
              <w:end w:w="90" w:type="dxa"/>
            </w:tcMar>
          </w:tcPr>
          <w:p>
            <w:r>
              <w:rPr>
                <w:sz w:val="18"/>
              </w:rPr>
              <w:t>independent tests, weather/cutoff validation, readiness decision</w:t>
            </w:r>
          </w:p>
        </w:tc>
      </w:tr>
      <w:tr>
        <w:tc>
          <w:tcPr>
            <w:tcW w:type="dxa" w:w="2551"/>
            <w:vAlign w:val="top"/>
            <w:tcMar>
              <w:top w:w="90" w:type="dxa"/>
              <w:start w:w="90" w:type="dxa"/>
              <w:bottom w:w="90" w:type="dxa"/>
              <w:end w:w="90" w:type="dxa"/>
            </w:tcMar>
          </w:tcPr>
          <w:p>
            <w:r>
              <w:rPr>
                <w:sz w:val="18"/>
              </w:rPr>
              <w:t>Joint integration</w:t>
            </w:r>
          </w:p>
        </w:tc>
        <w:tc>
          <w:tcPr>
            <w:tcW w:type="dxa" w:w="6520"/>
            <w:vAlign w:val="top"/>
            <w:tcMar>
              <w:top w:w="90" w:type="dxa"/>
              <w:start w:w="90" w:type="dxa"/>
              <w:bottom w:w="90" w:type="dxa"/>
              <w:end w:w="90" w:type="dxa"/>
            </w:tcMar>
          </w:tcPr>
          <w:p>
            <w:r>
              <w:rPr>
                <w:sz w:val="18"/>
              </w:rPr>
              <w:t>strict previous-month cutoff, shared feature contract, Stage 2 handoff to Stage 3</w:t>
            </w:r>
          </w:p>
        </w:tc>
      </w:tr>
    </w:tbl>
    <w:p/>
    <w:p>
      <w:pPr>
        <w:pStyle w:val="Heading1"/>
      </w:pPr>
      <w:r>
        <w:t>5. Evidence from the final integrated Stage 2 run</w:t>
      </w:r>
    </w:p>
    <w:tbl>
      <w:tblPr>
        <w:tblStyle w:val="TableGrid"/>
        <w:tblW w:type="auto" w:w="0"/>
        <w:jc w:val="center"/>
        <w:tblLook w:firstColumn="1" w:firstRow="1" w:lastColumn="0" w:lastRow="0" w:noHBand="0" w:noVBand="1" w:val="04A0"/>
      </w:tblPr>
      <w:tblGrid>
        <w:gridCol w:w="3437"/>
        <w:gridCol w:w="3437"/>
        <w:gridCol w:w="3437"/>
      </w:tblGrid>
      <w:tr>
        <w:tc>
          <w:tcPr>
            <w:tcW w:type="dxa" w:w="2381"/>
            <w:shd w:fill="D9EAF7"/>
            <w:vAlign w:val="center"/>
          </w:tcPr>
          <w:p>
            <w:r>
              <w:rPr>
                <w:b/>
                <w:sz w:val="18"/>
              </w:rPr>
              <w:t>Evidence</w:t>
            </w:r>
          </w:p>
        </w:tc>
        <w:tc>
          <w:tcPr>
            <w:tcW w:type="dxa" w:w="2551"/>
            <w:shd w:fill="D9EAF7"/>
            <w:vAlign w:val="center"/>
          </w:tcPr>
          <w:p>
            <w:r>
              <w:rPr>
                <w:b/>
                <w:sz w:val="18"/>
              </w:rPr>
              <w:t>Observed result</w:t>
            </w:r>
          </w:p>
        </w:tc>
        <w:tc>
          <w:tcPr>
            <w:tcW w:type="dxa" w:w="4139"/>
            <w:shd w:fill="D9EAF7"/>
            <w:vAlign w:val="center"/>
          </w:tcPr>
          <w:p>
            <w:r>
              <w:rPr>
                <w:b/>
                <w:sz w:val="18"/>
              </w:rPr>
              <w:t>What it demonstrates</w:t>
            </w:r>
          </w:p>
        </w:tc>
      </w:tr>
      <w:tr>
        <w:tc>
          <w:tcPr>
            <w:tcW w:type="dxa" w:w="2381"/>
            <w:vAlign w:val="top"/>
            <w:tcMar>
              <w:top w:w="90" w:type="dxa"/>
              <w:start w:w="90" w:type="dxa"/>
              <w:bottom w:w="90" w:type="dxa"/>
              <w:end w:w="90" w:type="dxa"/>
            </w:tcMar>
          </w:tcPr>
          <w:p>
            <w:r>
              <w:rPr>
                <w:sz w:val="18"/>
              </w:rPr>
              <w:t>Duplicate/gap validation</w:t>
            </w:r>
          </w:p>
        </w:tc>
        <w:tc>
          <w:tcPr>
            <w:tcW w:type="dxa" w:w="2551"/>
            <w:vAlign w:val="top"/>
            <w:tcMar>
              <w:top w:w="90" w:type="dxa"/>
              <w:start w:w="90" w:type="dxa"/>
              <w:bottom w:w="90" w:type="dxa"/>
              <w:end w:w="90" w:type="dxa"/>
            </w:tcMar>
          </w:tcPr>
          <w:p>
            <w:r>
              <w:rPr>
                <w:sz w:val="18"/>
              </w:rPr>
              <w:t>24/24 checks PASS</w:t>
            </w:r>
          </w:p>
        </w:tc>
        <w:tc>
          <w:tcPr>
            <w:tcW w:type="dxa" w:w="4139"/>
            <w:vAlign w:val="top"/>
            <w:tcMar>
              <w:top w:w="90" w:type="dxa"/>
              <w:start w:w="90" w:type="dxa"/>
              <w:bottom w:w="90" w:type="dxa"/>
              <w:end w:w="90" w:type="dxa"/>
            </w:tcMar>
          </w:tcPr>
          <w:p>
            <w:r>
              <w:rPr>
                <w:sz w:val="18"/>
              </w:rPr>
              <w:t>The integrated run found no unresolved duplicate-timestamp problem and preserved long gaps explicitly.</w:t>
            </w:r>
          </w:p>
        </w:tc>
      </w:tr>
      <w:tr>
        <w:tc>
          <w:tcPr>
            <w:tcW w:type="dxa" w:w="2381"/>
            <w:vAlign w:val="top"/>
            <w:tcMar>
              <w:top w:w="90" w:type="dxa"/>
              <w:start w:w="90" w:type="dxa"/>
              <w:bottom w:w="90" w:type="dxa"/>
              <w:end w:w="90" w:type="dxa"/>
            </w:tcMar>
          </w:tcPr>
          <w:p>
            <w:r>
              <w:rPr>
                <w:sz w:val="18"/>
              </w:rPr>
              <w:t>WA regime treatment</w:t>
            </w:r>
          </w:p>
        </w:tc>
        <w:tc>
          <w:tcPr>
            <w:tcW w:type="dxa" w:w="2551"/>
            <w:vAlign w:val="top"/>
            <w:tcMar>
              <w:top w:w="90" w:type="dxa"/>
              <w:start w:w="90" w:type="dxa"/>
              <w:bottom w:w="90" w:type="dxa"/>
              <w:end w:w="90" w:type="dxa"/>
            </w:tcMar>
          </w:tcPr>
          <w:p>
            <w:r>
              <w:rPr>
                <w:sz w:val="18"/>
              </w:rPr>
              <w:t>Legacy 30-minute + modern 5-minute</w:t>
            </w:r>
          </w:p>
        </w:tc>
        <w:tc>
          <w:tcPr>
            <w:tcW w:type="dxa" w:w="4139"/>
            <w:vAlign w:val="top"/>
            <w:tcMar>
              <w:top w:w="90" w:type="dxa"/>
              <w:start w:w="90" w:type="dxa"/>
              <w:bottom w:w="90" w:type="dxa"/>
              <w:end w:w="90" w:type="dxa"/>
            </w:tcMar>
          </w:tcPr>
          <w:p>
            <w:r>
              <w:rPr>
                <w:sz w:val="18"/>
              </w:rPr>
              <w:t>The final engineering path respects the source change rather than imposing one global spacing.</w:t>
            </w:r>
          </w:p>
        </w:tc>
      </w:tr>
      <w:tr>
        <w:tc>
          <w:tcPr>
            <w:tcW w:type="dxa" w:w="2381"/>
            <w:vAlign w:val="top"/>
            <w:tcMar>
              <w:top w:w="90" w:type="dxa"/>
              <w:start w:w="90" w:type="dxa"/>
              <w:bottom w:w="90" w:type="dxa"/>
              <w:end w:w="90" w:type="dxa"/>
            </w:tcMar>
          </w:tcPr>
          <w:p>
            <w:r>
              <w:rPr>
                <w:sz w:val="18"/>
              </w:rPr>
              <w:t>WA unresolved demand gap</w:t>
            </w:r>
          </w:p>
        </w:tc>
        <w:tc>
          <w:tcPr>
            <w:tcW w:type="dxa" w:w="2551"/>
            <w:vAlign w:val="top"/>
            <w:tcMar>
              <w:top w:w="90" w:type="dxa"/>
              <w:start w:w="90" w:type="dxa"/>
              <w:bottom w:w="90" w:type="dxa"/>
              <w:end w:w="90" w:type="dxa"/>
            </w:tcMar>
          </w:tcPr>
          <w:p>
            <w:r>
              <w:rPr>
                <w:sz w:val="18"/>
              </w:rPr>
              <w:t>16 half-hours</w:t>
            </w:r>
          </w:p>
        </w:tc>
        <w:tc>
          <w:tcPr>
            <w:tcW w:type="dxa" w:w="4139"/>
            <w:vAlign w:val="top"/>
            <w:tcMar>
              <w:top w:w="90" w:type="dxa"/>
              <w:start w:w="90" w:type="dxa"/>
              <w:bottom w:w="90" w:type="dxa"/>
              <w:end w:w="90" w:type="dxa"/>
            </w:tcMar>
          </w:tcPr>
          <w:p>
            <w:r>
              <w:rPr>
                <w:sz w:val="18"/>
              </w:rPr>
              <w:t>These rows remain missing and visible rather than being silently reconstructed.</w:t>
            </w:r>
          </w:p>
        </w:tc>
      </w:tr>
      <w:tr>
        <w:tc>
          <w:tcPr>
            <w:tcW w:type="dxa" w:w="2381"/>
            <w:vAlign w:val="top"/>
            <w:tcMar>
              <w:top w:w="90" w:type="dxa"/>
              <w:start w:w="90" w:type="dxa"/>
              <w:bottom w:w="90" w:type="dxa"/>
              <w:end w:w="90" w:type="dxa"/>
            </w:tcMar>
          </w:tcPr>
          <w:p>
            <w:r>
              <w:rPr>
                <w:sz w:val="18"/>
              </w:rPr>
              <w:t>Holiday horizon</w:t>
            </w:r>
          </w:p>
        </w:tc>
        <w:tc>
          <w:tcPr>
            <w:tcW w:type="dxa" w:w="2551"/>
            <w:vAlign w:val="top"/>
            <w:tcMar>
              <w:top w:w="90" w:type="dxa"/>
              <w:start w:w="90" w:type="dxa"/>
              <w:bottom w:w="90" w:type="dxa"/>
              <w:end w:w="90" w:type="dxa"/>
            </w:tcMar>
          </w:tcPr>
          <w:p>
            <w:r>
              <w:rPr>
                <w:sz w:val="18"/>
              </w:rPr>
              <w:t>2–5 public-holiday dates represented by region in the Sep–Dec window</w:t>
            </w:r>
          </w:p>
        </w:tc>
        <w:tc>
          <w:tcPr>
            <w:tcW w:type="dxa" w:w="4139"/>
            <w:vAlign w:val="top"/>
            <w:tcMar>
              <w:top w:w="90" w:type="dxa"/>
              <w:start w:w="90" w:type="dxa"/>
              <w:bottom w:w="90" w:type="dxa"/>
              <w:end w:w="90" w:type="dxa"/>
            </w:tcMar>
          </w:tcPr>
          <w:p>
            <w:r>
              <w:rPr>
                <w:sz w:val="18"/>
              </w:rPr>
              <w:t>Holiday features remain available throughout the forecast period.</w:t>
            </w:r>
          </w:p>
        </w:tc>
      </w:tr>
      <w:tr>
        <w:tc>
          <w:tcPr>
            <w:tcW w:type="dxa" w:w="2381"/>
            <w:vAlign w:val="top"/>
            <w:tcMar>
              <w:top w:w="90" w:type="dxa"/>
              <w:start w:w="90" w:type="dxa"/>
              <w:bottom w:w="90" w:type="dxa"/>
              <w:end w:w="90" w:type="dxa"/>
            </w:tcMar>
          </w:tcPr>
          <w:p>
            <w:r>
              <w:rPr>
                <w:sz w:val="18"/>
              </w:rPr>
              <w:t>Benchmark isolation</w:t>
            </w:r>
          </w:p>
        </w:tc>
        <w:tc>
          <w:tcPr>
            <w:tcW w:type="dxa" w:w="2551"/>
            <w:vAlign w:val="top"/>
            <w:tcMar>
              <w:top w:w="90" w:type="dxa"/>
              <w:start w:w="90" w:type="dxa"/>
              <w:bottom w:w="90" w:type="dxa"/>
              <w:end w:w="90" w:type="dxa"/>
            </w:tcMar>
          </w:tcPr>
          <w:p>
            <w:r>
              <w:rPr>
                <w:sz w:val="18"/>
              </w:rPr>
              <w:t>AEMO data retained outside predictor sets</w:t>
            </w:r>
          </w:p>
        </w:tc>
        <w:tc>
          <w:tcPr>
            <w:tcW w:type="dxa" w:w="4139"/>
            <w:vAlign w:val="top"/>
            <w:tcMar>
              <w:top w:w="90" w:type="dxa"/>
              <w:start w:w="90" w:type="dxa"/>
              <w:bottom w:w="90" w:type="dxa"/>
              <w:end w:w="90" w:type="dxa"/>
            </w:tcMar>
          </w:tcPr>
          <w:p>
            <w:r>
              <w:rPr>
                <w:sz w:val="18"/>
              </w:rPr>
              <w:t>The final feature contract contains no AEMO forecast/MarketRequirements predictor.</w:t>
            </w:r>
          </w:p>
        </w:tc>
      </w:tr>
    </w:tbl>
    <w:p/>
    <w:p>
      <w:pPr>
        <w:spacing w:after="120" w:line="259" w:lineRule="auto"/>
      </w:pPr>
      <w:r>
        <w:t>Across the complete Stage 2 run, 162/162 core checks and 60/60 live-weather checks passed, with 6/6 regions marked READY. These are integrated-pipeline results; they demonstrate that the combined team implementation passed validation, not that one individual module alone produced the outcome.</w:t>
      </w:r>
    </w:p>
    <w:p>
      <w:pPr>
        <w:pStyle w:val="Heading1"/>
      </w:pPr>
      <w:r>
        <w:t>6. Changes from the initial plan</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D9EAF7"/>
            <w:vAlign w:val="center"/>
          </w:tcPr>
          <w:p>
            <w:r>
              <w:rPr>
                <w:b/>
                <w:sz w:val="18"/>
              </w:rPr>
              <w:t>Initial position</w:t>
            </w:r>
          </w:p>
        </w:tc>
        <w:tc>
          <w:tcPr>
            <w:tcW w:type="dxa" w:w="2835"/>
            <w:shd w:fill="D9EAF7"/>
            <w:vAlign w:val="center"/>
          </w:tcPr>
          <w:p>
            <w:r>
              <w:rPr>
                <w:b/>
                <w:sz w:val="18"/>
              </w:rPr>
              <w:t>Final implementation</w:t>
            </w:r>
          </w:p>
        </w:tc>
        <w:tc>
          <w:tcPr>
            <w:tcW w:type="dxa" w:w="3685"/>
            <w:shd w:fill="D9EAF7"/>
            <w:vAlign w:val="center"/>
          </w:tcPr>
          <w:p>
            <w:r>
              <w:rPr>
                <w:b/>
                <w:sz w:val="18"/>
              </w:rPr>
              <w:t>Reason for change</w:t>
            </w:r>
          </w:p>
        </w:tc>
      </w:tr>
      <w:tr>
        <w:tc>
          <w:tcPr>
            <w:tcW w:type="dxa" w:w="2551"/>
            <w:vAlign w:val="top"/>
            <w:tcMar>
              <w:top w:w="90" w:type="dxa"/>
              <w:start w:w="90" w:type="dxa"/>
              <w:bottom w:w="90" w:type="dxa"/>
              <w:end w:w="90" w:type="dxa"/>
            </w:tcMar>
          </w:tcPr>
          <w:p>
            <w:r>
              <w:rPr>
                <w:sz w:val="18"/>
              </w:rPr>
              <w:t>Generic missing-value treatment</w:t>
            </w:r>
          </w:p>
        </w:tc>
        <w:tc>
          <w:tcPr>
            <w:tcW w:type="dxa" w:w="2835"/>
            <w:vAlign w:val="top"/>
            <w:tcMar>
              <w:top w:w="90" w:type="dxa"/>
              <w:start w:w="90" w:type="dxa"/>
              <w:bottom w:w="90" w:type="dxa"/>
              <w:end w:w="90" w:type="dxa"/>
            </w:tcMar>
          </w:tcPr>
          <w:p>
            <w:r>
              <w:rPr>
                <w:sz w:val="18"/>
              </w:rPr>
              <w:t>Regime-aware gap measurement</w:t>
            </w:r>
          </w:p>
        </w:tc>
        <w:tc>
          <w:tcPr>
            <w:tcW w:type="dxa" w:w="3685"/>
            <w:vAlign w:val="top"/>
            <w:tcMar>
              <w:top w:w="90" w:type="dxa"/>
              <w:start w:w="90" w:type="dxa"/>
              <w:bottom w:w="90" w:type="dxa"/>
              <w:end w:w="90" w:type="dxa"/>
            </w:tcMar>
          </w:tcPr>
          <w:p>
            <w:r>
              <w:rPr>
                <w:sz w:val="18"/>
              </w:rPr>
              <w:t>Prevents legitimate 30-minute WA history from being misclassified as missing five-minute data.</w:t>
            </w:r>
          </w:p>
        </w:tc>
      </w:tr>
      <w:tr>
        <w:tc>
          <w:tcPr>
            <w:tcW w:type="dxa" w:w="2551"/>
            <w:vAlign w:val="top"/>
            <w:tcMar>
              <w:top w:w="90" w:type="dxa"/>
              <w:start w:w="90" w:type="dxa"/>
              <w:bottom w:w="90" w:type="dxa"/>
              <w:end w:w="90" w:type="dxa"/>
            </w:tcMar>
          </w:tcPr>
          <w:p>
            <w:r>
              <w:rPr>
                <w:sz w:val="18"/>
              </w:rPr>
              <w:t>Potential outlier removal</w:t>
            </w:r>
          </w:p>
        </w:tc>
        <w:tc>
          <w:tcPr>
            <w:tcW w:type="dxa" w:w="2835"/>
            <w:vAlign w:val="top"/>
            <w:tcMar>
              <w:top w:w="90" w:type="dxa"/>
              <w:start w:w="90" w:type="dxa"/>
              <w:bottom w:w="90" w:type="dxa"/>
              <w:end w:w="90" w:type="dxa"/>
            </w:tcMar>
          </w:tcPr>
          <w:p>
            <w:r>
              <w:rPr>
                <w:sz w:val="18"/>
              </w:rPr>
              <w:t>Flag-don't-delete policy</w:t>
            </w:r>
          </w:p>
        </w:tc>
        <w:tc>
          <w:tcPr>
            <w:tcW w:type="dxa" w:w="3685"/>
            <w:vAlign w:val="top"/>
            <w:tcMar>
              <w:top w:w="90" w:type="dxa"/>
              <w:start w:w="90" w:type="dxa"/>
              <w:bottom w:w="90" w:type="dxa"/>
              <w:end w:w="90" w:type="dxa"/>
            </w:tcMar>
          </w:tcPr>
          <w:p>
            <w:r>
              <w:rPr>
                <w:sz w:val="18"/>
              </w:rPr>
              <w:t>Preserves genuine demand extremes while still marking suspicious values.</w:t>
            </w:r>
          </w:p>
        </w:tc>
      </w:tr>
      <w:tr>
        <w:tc>
          <w:tcPr>
            <w:tcW w:type="dxa" w:w="2551"/>
            <w:vAlign w:val="top"/>
            <w:tcMar>
              <w:top w:w="90" w:type="dxa"/>
              <w:start w:w="90" w:type="dxa"/>
              <w:bottom w:w="90" w:type="dxa"/>
              <w:end w:w="90" w:type="dxa"/>
            </w:tcMar>
          </w:tcPr>
          <w:p>
            <w:r>
              <w:rPr>
                <w:sz w:val="18"/>
              </w:rPr>
              <w:t>Holiday files only as acquired</w:t>
            </w:r>
          </w:p>
        </w:tc>
        <w:tc>
          <w:tcPr>
            <w:tcW w:type="dxa" w:w="2835"/>
            <w:vAlign w:val="top"/>
            <w:tcMar>
              <w:top w:w="90" w:type="dxa"/>
              <w:start w:w="90" w:type="dxa"/>
              <w:bottom w:w="90" w:type="dxa"/>
              <w:end w:w="90" w:type="dxa"/>
            </w:tcMar>
          </w:tcPr>
          <w:p>
            <w:r>
              <w:rPr>
                <w:sz w:val="18"/>
              </w:rPr>
              <w:t>Horizon extension with provenance</w:t>
            </w:r>
          </w:p>
        </w:tc>
        <w:tc>
          <w:tcPr>
            <w:tcW w:type="dxa" w:w="3685"/>
            <w:vAlign w:val="top"/>
            <w:tcMar>
              <w:top w:w="90" w:type="dxa"/>
              <w:start w:w="90" w:type="dxa"/>
              <w:bottom w:w="90" w:type="dxa"/>
              <w:end w:w="90" w:type="dxa"/>
            </w:tcMar>
          </w:tcPr>
          <w:p>
            <w:r>
              <w:rPr>
                <w:sz w:val="18"/>
              </w:rPr>
              <w:t>Avoids silently treating future public holidays as ordinary days.</w:t>
            </w:r>
          </w:p>
        </w:tc>
      </w:tr>
      <w:tr>
        <w:tc>
          <w:tcPr>
            <w:tcW w:type="dxa" w:w="2551"/>
            <w:vAlign w:val="top"/>
            <w:tcMar>
              <w:top w:w="90" w:type="dxa"/>
              <w:start w:w="90" w:type="dxa"/>
              <w:bottom w:w="90" w:type="dxa"/>
              <w:end w:w="90" w:type="dxa"/>
            </w:tcMar>
          </w:tcPr>
          <w:p>
            <w:r>
              <w:rPr>
                <w:sz w:val="18"/>
              </w:rPr>
              <w:t>Market snapshots as possible context</w:t>
            </w:r>
          </w:p>
        </w:tc>
        <w:tc>
          <w:tcPr>
            <w:tcW w:type="dxa" w:w="2835"/>
            <w:vAlign w:val="top"/>
            <w:tcMar>
              <w:top w:w="90" w:type="dxa"/>
              <w:start w:w="90" w:type="dxa"/>
              <w:bottom w:w="90" w:type="dxa"/>
              <w:end w:w="90" w:type="dxa"/>
            </w:tcMar>
          </w:tcPr>
          <w:p>
            <w:r>
              <w:rPr>
                <w:sz w:val="18"/>
              </w:rPr>
              <w:t>Benchmark-only separation</w:t>
            </w:r>
          </w:p>
        </w:tc>
        <w:tc>
          <w:tcPr>
            <w:tcW w:type="dxa" w:w="3685"/>
            <w:vAlign w:val="top"/>
            <w:tcMar>
              <w:top w:w="90" w:type="dxa"/>
              <w:start w:w="90" w:type="dxa"/>
              <w:bottom w:w="90" w:type="dxa"/>
              <w:end w:w="90" w:type="dxa"/>
            </w:tcMar>
          </w:tcPr>
          <w:p>
            <w:r>
              <w:rPr>
                <w:sz w:val="18"/>
              </w:rPr>
              <w:t>Prevents circular comparison and target leakage.</w:t>
            </w:r>
          </w:p>
        </w:tc>
      </w:tr>
    </w:tbl>
    <w:p/>
    <w:p>
      <w:pPr>
        <w:pStyle w:val="Heading1"/>
      </w:pPr>
      <w:r>
        <w:t>7. Progress, handoff and reflection</w:t>
      </w:r>
    </w:p>
    <w:p>
      <w:pPr>
        <w:spacing w:after="120" w:line="259" w:lineRule="auto"/>
      </w:pPr>
      <w:r>
        <w:t>The strongest lesson from this stage is that cleaning is not the same as making data look smooth. A pipeline can become less trustworthy if it hides gaps or deletes genuine extremes. My contribution therefore emphasised traceability: every correction should either be limited and flagged, or the uncertainty should remain visible for later modelling and validation.</w:t>
      </w:r>
    </w:p>
    <w:p>
      <w:pPr>
        <w:pStyle w:val="Heading2"/>
      </w:pPr>
      <w:r>
        <w:t>7.1 Handoff to final integration</w:t>
      </w:r>
    </w:p>
    <w:p>
      <w:pPr>
        <w:pStyle w:val="ListBullet"/>
        <w:spacing w:after="60"/>
      </w:pPr>
      <w:r>
        <w:rPr>
          <w:b/>
        </w:rPr>
        <w:t xml:space="preserve">Individual artefact: </w:t>
      </w:r>
      <w:r>
        <w:t>WP2_Sudip_Lamichhane_Preprocessing.py</w:t>
      </w:r>
    </w:p>
    <w:p>
      <w:pPr>
        <w:pStyle w:val="ListBullet"/>
        <w:spacing w:after="60"/>
      </w:pPr>
      <w:r>
        <w:rPr>
          <w:b/>
        </w:rPr>
        <w:t xml:space="preserve">Final integrated code: </w:t>
      </w:r>
      <w:r>
        <w:t>Preprocessing Final.py</w:t>
      </w:r>
    </w:p>
    <w:p>
      <w:pPr>
        <w:pStyle w:val="ListBullet"/>
        <w:spacing w:after="60"/>
      </w:pPr>
      <w:r>
        <w:rPr>
          <w:b/>
        </w:rPr>
        <w:t xml:space="preserve">Verified Stage 2 output: </w:t>
      </w:r>
      <w:r>
        <w:t>Stage2_Preprocessing_Output_20260914_150854.zip</w:t>
      </w:r>
    </w:p>
    <w:p>
      <w:pPr>
        <w:pStyle w:val="ListBullet"/>
        <w:spacing w:after="60"/>
      </w:pPr>
      <w:r>
        <w:rPr>
          <w:b/>
        </w:rPr>
        <w:t xml:space="preserve">Stage 3 contract: </w:t>
      </w:r>
      <w:r>
        <w:t>30-minute regional modelling files, 39-feature Model A, 54-feature Model B, future feature frame, validation and provenance files.</w:t>
      </w:r>
    </w:p>
    <w:p>
      <w:pPr>
        <w:pStyle w:val="ListBullet"/>
        <w:spacing w:after="60"/>
      </w:pPr>
      <w:r>
        <w:rPr>
          <w:b/>
        </w:rPr>
        <w:t xml:space="preserve">Evidence principle: </w:t>
      </w:r>
      <w:r>
        <w:t>Git/GitHub history should be used where the assessment requires dated authorship or commit evidence; this WP2 report does not invent commits or timestamps.</w:t>
      </w:r>
    </w:p>
    <w:p>
      <w:pPr>
        <w:pStyle w:val="Heading1"/>
      </w:pPr>
      <w:r>
        <w:t>8. Evidence sources used for this update</w:t>
      </w:r>
    </w:p>
    <w:tbl>
      <w:tblPr>
        <w:tblStyle w:val="TableGrid"/>
        <w:tblW w:type="auto" w:w="0"/>
        <w:jc w:val="center"/>
        <w:tblLook w:firstColumn="1" w:firstRow="1" w:lastColumn="0" w:lastRow="0" w:noHBand="0" w:noVBand="1" w:val="04A0"/>
      </w:tblPr>
      <w:tblGrid>
        <w:gridCol w:w="5156"/>
        <w:gridCol w:w="5156"/>
      </w:tblGrid>
      <w:tr>
        <w:tc>
          <w:tcPr>
            <w:tcW w:type="dxa" w:w="4252"/>
            <w:shd w:fill="D9EAF7"/>
            <w:vAlign w:val="center"/>
          </w:tcPr>
          <w:p>
            <w:r>
              <w:rPr>
                <w:b/>
                <w:sz w:val="18"/>
              </w:rPr>
              <w:t>Artefact</w:t>
            </w:r>
          </w:p>
        </w:tc>
        <w:tc>
          <w:tcPr>
            <w:tcW w:type="dxa" w:w="4819"/>
            <w:shd w:fill="D9EAF7"/>
            <w:vAlign w:val="center"/>
          </w:tcPr>
          <w:p>
            <w:r>
              <w:rPr>
                <w:b/>
                <w:sz w:val="18"/>
              </w:rPr>
              <w:t>Use</w:t>
            </w:r>
          </w:p>
        </w:tc>
      </w:tr>
      <w:tr>
        <w:tc>
          <w:tcPr>
            <w:tcW w:type="dxa" w:w="4252"/>
            <w:vAlign w:val="top"/>
            <w:tcMar>
              <w:top w:w="90" w:type="dxa"/>
              <w:start w:w="90" w:type="dxa"/>
              <w:bottom w:w="90" w:type="dxa"/>
              <w:end w:w="90" w:type="dxa"/>
            </w:tcMar>
          </w:tcPr>
          <w:p>
            <w:r>
              <w:rPr>
                <w:sz w:val="18"/>
              </w:rPr>
              <w:t>Preprocessing Design(1).docx</w:t>
            </w:r>
          </w:p>
        </w:tc>
        <w:tc>
          <w:tcPr>
            <w:tcW w:type="dxa" w:w="4819"/>
            <w:vAlign w:val="top"/>
            <w:tcMar>
              <w:top w:w="90" w:type="dxa"/>
              <w:start w:w="90" w:type="dxa"/>
              <w:bottom w:w="90" w:type="dxa"/>
              <w:end w:w="90" w:type="dxa"/>
            </w:tcMar>
          </w:tcPr>
          <w:p>
            <w:r>
              <w:rPr>
                <w:sz w:val="18"/>
              </w:rPr>
              <w:t>Initial Stage 2 design, proposed sequence, leakage and feature-engineering plan</w:t>
            </w:r>
          </w:p>
        </w:tc>
      </w:tr>
      <w:tr>
        <w:tc>
          <w:tcPr>
            <w:tcW w:type="dxa" w:w="4252"/>
            <w:vAlign w:val="top"/>
            <w:tcMar>
              <w:top w:w="90" w:type="dxa"/>
              <w:start w:w="90" w:type="dxa"/>
              <w:bottom w:w="90" w:type="dxa"/>
              <w:end w:w="90" w:type="dxa"/>
            </w:tcMar>
          </w:tcPr>
          <w:p>
            <w:r>
              <w:rPr>
                <w:sz w:val="18"/>
              </w:rPr>
              <w:t>Preprocessing Final.py</w:t>
            </w:r>
          </w:p>
        </w:tc>
        <w:tc>
          <w:tcPr>
            <w:tcW w:type="dxa" w:w="4819"/>
            <w:vAlign w:val="top"/>
            <w:tcMar>
              <w:top w:w="90" w:type="dxa"/>
              <w:start w:w="90" w:type="dxa"/>
              <w:bottom w:w="90" w:type="dxa"/>
              <w:end w:w="90" w:type="dxa"/>
            </w:tcMar>
          </w:tcPr>
          <w:p>
            <w:r>
              <w:rPr>
                <w:sz w:val="18"/>
              </w:rPr>
              <w:t>Final integrated preprocessing and feature-engineering implementation</w:t>
            </w:r>
          </w:p>
        </w:tc>
      </w:tr>
      <w:tr>
        <w:tc>
          <w:tcPr>
            <w:tcW w:type="dxa" w:w="4252"/>
            <w:vAlign w:val="top"/>
            <w:tcMar>
              <w:top w:w="90" w:type="dxa"/>
              <w:start w:w="90" w:type="dxa"/>
              <w:bottom w:w="90" w:type="dxa"/>
              <w:end w:w="90" w:type="dxa"/>
            </w:tcMar>
          </w:tcPr>
          <w:p>
            <w:r>
              <w:rPr>
                <w:sz w:val="18"/>
              </w:rPr>
              <w:t>Stage2_Preprocessing_Output_20260914_150854.zip</w:t>
            </w:r>
          </w:p>
        </w:tc>
        <w:tc>
          <w:tcPr>
            <w:tcW w:type="dxa" w:w="4819"/>
            <w:vAlign w:val="top"/>
            <w:tcMar>
              <w:top w:w="90" w:type="dxa"/>
              <w:start w:w="90" w:type="dxa"/>
              <w:bottom w:w="90" w:type="dxa"/>
              <w:end w:w="90" w:type="dxa"/>
            </w:tcMar>
          </w:tcPr>
          <w:p>
            <w:r>
              <w:rPr>
                <w:sz w:val="18"/>
              </w:rPr>
              <w:t>Final test, readiness, feature, forecast-weather and cutoff evidence</w:t>
            </w:r>
          </w:p>
        </w:tc>
      </w:tr>
      <w:tr>
        <w:tc>
          <w:tcPr>
            <w:tcW w:type="dxa" w:w="4252"/>
            <w:vAlign w:val="top"/>
            <w:tcMar>
              <w:top w:w="90" w:type="dxa"/>
              <w:start w:w="90" w:type="dxa"/>
              <w:bottom w:w="90" w:type="dxa"/>
              <w:end w:w="90" w:type="dxa"/>
            </w:tcMar>
          </w:tcPr>
          <w:p>
            <w:r>
              <w:rPr>
                <w:sz w:val="18"/>
              </w:rPr>
              <w:t>PRT661_Group2_WP2_Preprocessing.zip</w:t>
            </w:r>
          </w:p>
        </w:tc>
        <w:tc>
          <w:tcPr>
            <w:tcW w:type="dxa" w:w="4819"/>
            <w:vAlign w:val="top"/>
            <w:tcMar>
              <w:top w:w="90" w:type="dxa"/>
              <w:start w:w="90" w:type="dxa"/>
              <w:bottom w:w="90" w:type="dxa"/>
              <w:end w:w="90" w:type="dxa"/>
            </w:tcMar>
          </w:tcPr>
          <w:p>
            <w:r>
              <w:rPr>
                <w:sz w:val="18"/>
              </w:rPr>
              <w:t>Earlier individual WP2 reports and contribution modules used as the baseline for revision</w:t>
            </w:r>
          </w:p>
        </w:tc>
      </w:tr>
      <w:tr>
        <w:tc>
          <w:tcPr>
            <w:tcW w:type="dxa" w:w="4252"/>
            <w:vAlign w:val="top"/>
            <w:tcMar>
              <w:top w:w="90" w:type="dxa"/>
              <w:start w:w="90" w:type="dxa"/>
              <w:bottom w:w="90" w:type="dxa"/>
              <w:end w:w="90" w:type="dxa"/>
            </w:tcMar>
          </w:tcPr>
          <w:p>
            <w:r>
              <w:rPr>
                <w:sz w:val="18"/>
              </w:rPr>
              <w:t>WP2_Sudip_Lamichhane_Preprocessing.py</w:t>
            </w:r>
          </w:p>
        </w:tc>
        <w:tc>
          <w:tcPr>
            <w:tcW w:type="dxa" w:w="4819"/>
            <w:vAlign w:val="top"/>
            <w:tcMar>
              <w:top w:w="90" w:type="dxa"/>
              <w:start w:w="90" w:type="dxa"/>
              <w:bottom w:w="90" w:type="dxa"/>
              <w:end w:w="90" w:type="dxa"/>
            </w:tcMar>
          </w:tcPr>
          <w:p>
            <w:r>
              <w:rPr>
                <w:sz w:val="18"/>
              </w:rPr>
              <w:t>Updated individual contribution code supplied with this report</w:t>
            </w:r>
          </w:p>
        </w:tc>
      </w:tr>
    </w:tbl>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Sudip Lamichhane | Individual Contribution and Progress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WP2 Stage 2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