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2B8C82"/>
          <w:sz w:val="20"/>
        </w:rPr>
        <w:t>PRT661 – DATA SCIENCE PRACTICE</w:t>
      </w:r>
    </w:p>
    <w:p>
      <w:pPr>
        <w:jc w:val="center"/>
      </w:pPr>
      <w:r>
        <w:rPr>
          <w:b/>
          <w:color w:val="173A63"/>
          <w:sz w:val="48"/>
        </w:rPr>
        <w:t>WP1 Individual Contribution</w:t>
        <w:br/>
        <w:t>and Progress Report</w:t>
      </w:r>
    </w:p>
    <w:p>
      <w:pPr>
        <w:jc w:val="center"/>
      </w:pPr>
      <w:r>
        <w:rPr>
          <w:color w:val="667085"/>
          <w:sz w:val="22"/>
        </w:rPr>
        <w:t>Suraj Raut · Data Engineering Lead</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A63"/>
            <w:vAlign w:val="center"/>
            <w:tcMar>
              <w:top w:w="70" w:type="dxa"/>
              <w:start w:w="80" w:type="dxa"/>
              <w:bottom w:w="70" w:type="dxa"/>
              <w:end w:w="80" w:type="dxa"/>
            </w:tcMar>
          </w:tcPr>
          <w:p>
            <w:r>
              <w:rPr>
                <w:b/>
                <w:color w:val="FFFFFF"/>
                <w:sz w:val="17"/>
              </w:rPr>
              <w:t>Field</w:t>
            </w:r>
          </w:p>
        </w:tc>
        <w:tc>
          <w:tcPr>
            <w:tcW w:type="dxa" w:w="7056"/>
            <w:shd w:fill="173A63"/>
            <w:vAlign w:val="center"/>
            <w:tcMar>
              <w:top w:w="70" w:type="dxa"/>
              <w:start w:w="80" w:type="dxa"/>
              <w:bottom w:w="70" w:type="dxa"/>
              <w:end w:w="80" w:type="dxa"/>
            </w:tcMar>
          </w:tcPr>
          <w:p>
            <w:r>
              <w:rPr>
                <w:b/>
                <w:color w:val="FFFFFF"/>
                <w:sz w:val="17"/>
              </w:rPr>
              <w:t>Detail</w:t>
            </w:r>
          </w:p>
        </w:tc>
      </w:tr>
      <w:tr>
        <w:trPr>
          <w:cantSplit/>
        </w:trPr>
        <w:tc>
          <w:tcPr>
            <w:tcW w:type="dxa" w:w="2448"/>
            <w:vAlign w:val="top"/>
            <w:tcMar>
              <w:top w:w="70" w:type="dxa"/>
              <w:start w:w="80" w:type="dxa"/>
              <w:bottom w:w="70" w:type="dxa"/>
              <w:end w:w="80" w:type="dxa"/>
            </w:tcMar>
          </w:tcPr>
          <w:p>
            <w:pPr>
              <w:spacing w:after="0"/>
            </w:pPr>
            <w:r>
              <w:rPr>
                <w:color w:val="1F2937"/>
                <w:sz w:val="17"/>
              </w:rPr>
              <w:t>Student</w:t>
            </w:r>
          </w:p>
        </w:tc>
        <w:tc>
          <w:tcPr>
            <w:tcW w:type="dxa" w:w="7056"/>
            <w:vAlign w:val="top"/>
            <w:tcMar>
              <w:top w:w="70" w:type="dxa"/>
              <w:start w:w="80" w:type="dxa"/>
              <w:bottom w:w="70" w:type="dxa"/>
              <w:end w:w="80" w:type="dxa"/>
            </w:tcMar>
          </w:tcPr>
          <w:p>
            <w:pPr>
              <w:spacing w:after="0"/>
            </w:pPr>
            <w:r>
              <w:rPr>
                <w:color w:val="1F2937"/>
                <w:sz w:val="17"/>
              </w:rPr>
              <w:t>Suraj Raut</w:t>
            </w:r>
          </w:p>
        </w:tc>
      </w:tr>
      <w:tr>
        <w:trPr>
          <w:cantSplit/>
        </w:trPr>
        <w:tc>
          <w:tcPr>
            <w:tcW w:type="dxa" w:w="2448"/>
            <w:vAlign w:val="top"/>
            <w:shd w:fill="F6F8FB"/>
            <w:tcMar>
              <w:top w:w="70" w:type="dxa"/>
              <w:start w:w="80" w:type="dxa"/>
              <w:bottom w:w="70" w:type="dxa"/>
              <w:end w:w="80" w:type="dxa"/>
            </w:tcMar>
          </w:tcPr>
          <w:p>
            <w:pPr>
              <w:spacing w:after="0"/>
            </w:pPr>
            <w:r>
              <w:rPr>
                <w:color w:val="1F2937"/>
                <w:sz w:val="17"/>
              </w:rPr>
              <w:t>Student ID</w:t>
            </w:r>
          </w:p>
        </w:tc>
        <w:tc>
          <w:tcPr>
            <w:tcW w:type="dxa" w:w="7056"/>
            <w:vAlign w:val="top"/>
            <w:shd w:fill="F6F8FB"/>
            <w:tcMar>
              <w:top w:w="70" w:type="dxa"/>
              <w:start w:w="80" w:type="dxa"/>
              <w:bottom w:w="70" w:type="dxa"/>
              <w:end w:w="80" w:type="dxa"/>
            </w:tcMar>
          </w:tcPr>
          <w:p>
            <w:pPr>
              <w:spacing w:after="0"/>
            </w:pPr>
            <w:r>
              <w:rPr>
                <w:color w:val="1F2937"/>
                <w:sz w:val="17"/>
              </w:rPr>
              <w:t>S391201</w:t>
            </w:r>
          </w:p>
        </w:tc>
      </w:tr>
      <w:tr>
        <w:trPr>
          <w:cantSplit/>
        </w:trPr>
        <w:tc>
          <w:tcPr>
            <w:tcW w:type="dxa" w:w="2448"/>
            <w:vAlign w:val="top"/>
            <w:tcMar>
              <w:top w:w="70" w:type="dxa"/>
              <w:start w:w="80" w:type="dxa"/>
              <w:bottom w:w="70" w:type="dxa"/>
              <w:end w:w="80" w:type="dxa"/>
            </w:tcMar>
          </w:tcPr>
          <w:p>
            <w:pPr>
              <w:spacing w:after="0"/>
            </w:pPr>
            <w:r>
              <w:rPr>
                <w:color w:val="1F2937"/>
                <w:sz w:val="17"/>
              </w:rPr>
              <w:t>Role</w:t>
            </w:r>
          </w:p>
        </w:tc>
        <w:tc>
          <w:tcPr>
            <w:tcW w:type="dxa" w:w="7056"/>
            <w:vAlign w:val="top"/>
            <w:tcMar>
              <w:top w:w="70" w:type="dxa"/>
              <w:start w:w="80" w:type="dxa"/>
              <w:bottom w:w="70" w:type="dxa"/>
              <w:end w:w="80" w:type="dxa"/>
            </w:tcMar>
          </w:tcPr>
          <w:p>
            <w:pPr>
              <w:spacing w:after="0"/>
            </w:pPr>
            <w:r>
              <w:rPr>
                <w:color w:val="1F2937"/>
                <w:sz w:val="17"/>
              </w:rPr>
              <w:t>Data Engineering Lead</w:t>
            </w:r>
          </w:p>
        </w:tc>
      </w:tr>
      <w:tr>
        <w:trPr>
          <w:cantSplit/>
        </w:trPr>
        <w:tc>
          <w:tcPr>
            <w:tcW w:type="dxa" w:w="2448"/>
            <w:vAlign w:val="top"/>
            <w:shd w:fill="F6F8FB"/>
            <w:tcMar>
              <w:top w:w="70" w:type="dxa"/>
              <w:start w:w="80" w:type="dxa"/>
              <w:bottom w:w="70" w:type="dxa"/>
              <w:end w:w="80" w:type="dxa"/>
            </w:tcMar>
          </w:tcPr>
          <w:p>
            <w:pPr>
              <w:spacing w:after="0"/>
            </w:pPr>
            <w:r>
              <w:rPr>
                <w:color w:val="1F2937"/>
                <w:sz w:val="17"/>
              </w:rPr>
              <w:t>Work package</w:t>
            </w:r>
          </w:p>
        </w:tc>
        <w:tc>
          <w:tcPr>
            <w:tcW w:type="dxa" w:w="7056"/>
            <w:vAlign w:val="top"/>
            <w:shd w:fill="F6F8FB"/>
            <w:tcMar>
              <w:top w:w="70" w:type="dxa"/>
              <w:start w:w="80" w:type="dxa"/>
              <w:bottom w:w="70" w:type="dxa"/>
              <w:end w:w="80" w:type="dxa"/>
            </w:tcMar>
          </w:tcPr>
          <w:p>
            <w:pPr>
              <w:spacing w:after="0"/>
            </w:pPr>
            <w:r>
              <w:rPr>
                <w:color w:val="1F2937"/>
                <w:sz w:val="17"/>
              </w:rPr>
              <w:t>WP1 – Stage 1 Data Acquisition</w:t>
            </w:r>
          </w:p>
        </w:tc>
      </w:tr>
      <w:tr>
        <w:trPr>
          <w:cantSplit/>
        </w:trPr>
        <w:tc>
          <w:tcPr>
            <w:tcW w:type="dxa" w:w="2448"/>
            <w:vAlign w:val="top"/>
            <w:tcMar>
              <w:top w:w="70" w:type="dxa"/>
              <w:start w:w="80" w:type="dxa"/>
              <w:bottom w:w="70" w:type="dxa"/>
              <w:end w:w="80" w:type="dxa"/>
            </w:tcMar>
          </w:tcPr>
          <w:p>
            <w:pPr>
              <w:spacing w:after="0"/>
            </w:pPr>
            <w:r>
              <w:rPr>
                <w:color w:val="1F2937"/>
                <w:sz w:val="17"/>
              </w:rPr>
              <w:t>Individual code artefact</w:t>
            </w:r>
          </w:p>
        </w:tc>
        <w:tc>
          <w:tcPr>
            <w:tcW w:type="dxa" w:w="7056"/>
            <w:vAlign w:val="top"/>
            <w:tcMar>
              <w:top w:w="70" w:type="dxa"/>
              <w:start w:w="80" w:type="dxa"/>
              <w:bottom w:w="70" w:type="dxa"/>
              <w:end w:w="80" w:type="dxa"/>
            </w:tcMar>
          </w:tcPr>
          <w:p>
            <w:pPr>
              <w:spacing w:after="0"/>
            </w:pPr>
            <w:r>
              <w:rPr>
                <w:color w:val="1F2937"/>
                <w:sz w:val="17"/>
              </w:rPr>
              <w:t>01_Suraj_Raut_NEM_Historical_Acquisition.py</w:t>
            </w:r>
          </w:p>
        </w:tc>
      </w:tr>
      <w:tr>
        <w:trPr>
          <w:cantSplit/>
        </w:trPr>
        <w:tc>
          <w:tcPr>
            <w:tcW w:type="dxa" w:w="2448"/>
            <w:vAlign w:val="top"/>
            <w:shd w:fill="F6F8FB"/>
            <w:tcMar>
              <w:top w:w="70" w:type="dxa"/>
              <w:start w:w="80" w:type="dxa"/>
              <w:bottom w:w="70" w:type="dxa"/>
              <w:end w:w="80" w:type="dxa"/>
            </w:tcMar>
          </w:tcPr>
          <w:p>
            <w:pPr>
              <w:spacing w:after="0"/>
            </w:pPr>
            <w:r>
              <w:rPr>
                <w:color w:val="1F2937"/>
                <w:sz w:val="17"/>
              </w:rPr>
              <w:t>Integrated pipeline</w:t>
            </w:r>
          </w:p>
        </w:tc>
        <w:tc>
          <w:tcPr>
            <w:tcW w:type="dxa" w:w="7056"/>
            <w:vAlign w:val="top"/>
            <w:shd w:fill="F6F8FB"/>
            <w:tcMar>
              <w:top w:w="70" w:type="dxa"/>
              <w:start w:w="80" w:type="dxa"/>
              <w:bottom w:w="70" w:type="dxa"/>
              <w:end w:w="80" w:type="dxa"/>
            </w:tcMar>
          </w:tcPr>
          <w:p>
            <w:pPr>
              <w:spacing w:after="0"/>
            </w:pPr>
            <w:r>
              <w:rPr>
                <w:color w:val="1F2937"/>
                <w:sz w:val="17"/>
              </w:rPr>
              <w:t>01_Data_Acquisition_Final_Integrated.py</w:t>
            </w:r>
          </w:p>
        </w:tc>
      </w:tr>
      <w:tr>
        <w:trPr>
          <w:cantSplit/>
        </w:trPr>
        <w:tc>
          <w:tcPr>
            <w:tcW w:type="dxa" w:w="2448"/>
            <w:vAlign w:val="top"/>
            <w:tcMar>
              <w:top w:w="70" w:type="dxa"/>
              <w:start w:w="80" w:type="dxa"/>
              <w:bottom w:w="70" w:type="dxa"/>
              <w:end w:w="80" w:type="dxa"/>
            </w:tcMar>
          </w:tcPr>
          <w:p>
            <w:pPr>
              <w:spacing w:after="0"/>
            </w:pPr>
            <w:r>
              <w:rPr>
                <w:color w:val="1F2937"/>
                <w:sz w:val="17"/>
              </w:rPr>
              <w:t>Evidence run</w:t>
            </w:r>
          </w:p>
        </w:tc>
        <w:tc>
          <w:tcPr>
            <w:tcW w:type="dxa" w:w="7056"/>
            <w:vAlign w:val="top"/>
            <w:tcMar>
              <w:top w:w="70" w:type="dxa"/>
              <w:start w:w="80" w:type="dxa"/>
              <w:bottom w:w="70" w:type="dxa"/>
              <w:end w:w="80" w:type="dxa"/>
            </w:tcMar>
          </w:tcPr>
          <w:p>
            <w:pPr>
              <w:spacing w:after="0"/>
            </w:pPr>
            <w:r>
              <w:rPr>
                <w:color w:val="1F2937"/>
                <w:sz w:val="17"/>
              </w:rPr>
              <w:t>Data.zip – current verified acquisition output</w:t>
            </w:r>
          </w:p>
        </w:tc>
      </w:tr>
    </w:tbl>
    <w:p>
      <w:pPr>
        <w:pStyle w:val="Heading1"/>
      </w:pPr>
      <w:r>
        <w:t>1. Contribution overview</w:t>
      </w:r>
    </w:p>
    <w:p>
      <w:r>
        <w:t>My Stage 1 contribution focused on building the repeatable deep-history path for the five National Electricity Market regions. In plain terms, I made sure the project could rebuild the NEM history from monthly AEMO files without manually copying files, without mistaking an HTML error page for data, and without rewriting source fields before later stages had a chance to validate them.</w:t>
      </w:r>
    </w:p>
    <w:tbl>
      <w:tblPr>
        <w:tblStyle w:val="TableGrid"/>
        <w:tblW w:type="auto" w:w="0"/>
        <w:jc w:val="center"/>
        <w:tblLook w:firstColumn="1" w:firstRow="1" w:lastColumn="0" w:lastRow="0" w:noHBand="0" w:noVBand="1" w:val="04A0"/>
      </w:tblPr>
      <w:tblGrid>
        <w:gridCol w:w="10166"/>
      </w:tblGrid>
      <w:tr>
        <w:tc>
          <w:tcPr>
            <w:tcW w:type="dxa" w:w="10166"/>
            <w:shd w:fill="EFF4F8"/>
            <w:tcMar>
              <w:top w:w="100" w:type="dxa"/>
              <w:start w:w="130" w:type="dxa"/>
              <w:bottom w:w="100" w:type="dxa"/>
              <w:end w:w="130" w:type="dxa"/>
            </w:tcMar>
          </w:tcPr>
          <w:p>
            <w:r>
              <w:rPr>
                <w:b/>
                <w:color w:val="2D6CA2"/>
                <w:sz w:val="20"/>
              </w:rPr>
              <w:t>Contribution boundary</w:t>
              <w:br/>
            </w:r>
            <w:r>
              <w:rPr>
                <w:color w:val="1F2937"/>
                <w:sz w:val="19"/>
              </w:rPr>
              <w:t>This report records the member’s primary source workstream and the functions carried into the integrated pipeline. Shared CLI, directories, source contract, final integration and cross-source decisions are team responsibilities. The individual code module is a role-aligned reconstruction from the final integrated code and WP1 records; it is not presented as an invented historical Git snapshot.</w:t>
            </w:r>
          </w:p>
        </w:tc>
      </w:tr>
    </w:tbl>
    <w:p>
      <w:pPr>
        <w:pStyle w:val="Heading1"/>
      </w:pPr>
      <w:r>
        <w:t>2. From the initial design to the final source module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173A63"/>
            <w:vAlign w:val="center"/>
            <w:tcMar>
              <w:top w:w="70" w:type="dxa"/>
              <w:start w:w="80" w:type="dxa"/>
              <w:bottom w:w="70" w:type="dxa"/>
              <w:end w:w="80" w:type="dxa"/>
            </w:tcMar>
          </w:tcPr>
          <w:p>
            <w:r>
              <w:rPr>
                <w:b/>
                <w:color w:val="FFFFFF"/>
                <w:sz w:val="17"/>
              </w:rPr>
              <w:t>Initial plan / requirement</w:t>
            </w:r>
          </w:p>
        </w:tc>
        <w:tc>
          <w:tcPr>
            <w:tcW w:type="dxa" w:w="5616"/>
            <w:shd w:fill="173A63"/>
            <w:vAlign w:val="center"/>
            <w:tcMar>
              <w:top w:w="70" w:type="dxa"/>
              <w:start w:w="80" w:type="dxa"/>
              <w:bottom w:w="70" w:type="dxa"/>
              <w:end w:w="80" w:type="dxa"/>
            </w:tcMar>
          </w:tcPr>
          <w:p>
            <w:r>
              <w:rPr>
                <w:b/>
                <w:color w:val="FFFFFF"/>
                <w:sz w:val="17"/>
              </w:rPr>
              <w:t>How it evolved in Stage 1</w:t>
            </w:r>
          </w:p>
        </w:tc>
      </w:tr>
      <w:tr>
        <w:trPr>
          <w:cantSplit/>
        </w:trPr>
        <w:tc>
          <w:tcPr>
            <w:tcW w:type="dxa" w:w="3888"/>
            <w:vAlign w:val="top"/>
            <w:tcMar>
              <w:top w:w="70" w:type="dxa"/>
              <w:start w:w="80" w:type="dxa"/>
              <w:bottom w:w="70" w:type="dxa"/>
              <w:end w:w="80" w:type="dxa"/>
            </w:tcMar>
          </w:tcPr>
          <w:p>
            <w:pPr>
              <w:spacing w:after="0"/>
            </w:pPr>
            <w:r>
              <w:rPr>
                <w:color w:val="1F2937"/>
                <w:sz w:val="17"/>
              </w:rPr>
              <w:t>Assessment 1 required NEM Operational Demand for the core regions.</w:t>
            </w:r>
          </w:p>
        </w:tc>
        <w:tc>
          <w:tcPr>
            <w:tcW w:type="dxa" w:w="5616"/>
            <w:vAlign w:val="top"/>
            <w:tcMar>
              <w:top w:w="70" w:type="dxa"/>
              <w:start w:w="80" w:type="dxa"/>
              <w:bottom w:w="70" w:type="dxa"/>
              <w:end w:w="80" w:type="dxa"/>
            </w:tcMar>
          </w:tcPr>
          <w:p>
            <w:pPr>
              <w:spacing w:after="0"/>
            </w:pPr>
            <w:r>
              <w:rPr>
                <w:color w:val="1F2937"/>
                <w:sz w:val="17"/>
              </w:rPr>
              <w:t>Implemented a monthly AEMO archive path that consolidates one source-aligned file per NEM region.</w:t>
            </w:r>
          </w:p>
        </w:tc>
      </w:tr>
      <w:tr>
        <w:trPr>
          <w:cantSplit/>
        </w:trPr>
        <w:tc>
          <w:tcPr>
            <w:tcW w:type="dxa" w:w="3888"/>
            <w:vAlign w:val="top"/>
            <w:shd w:fill="F6F8FB"/>
            <w:tcMar>
              <w:top w:w="70" w:type="dxa"/>
              <w:start w:w="80" w:type="dxa"/>
              <w:bottom w:w="70" w:type="dxa"/>
              <w:end w:w="80" w:type="dxa"/>
            </w:tcMar>
          </w:tcPr>
          <w:p>
            <w:pPr>
              <w:spacing w:after="0"/>
            </w:pPr>
            <w:r>
              <w:rPr>
                <w:color w:val="1F2937"/>
                <w:sz w:val="17"/>
              </w:rPr>
              <w:t>Raw lineage had to be preserved.</w:t>
            </w:r>
          </w:p>
        </w:tc>
        <w:tc>
          <w:tcPr>
            <w:tcW w:type="dxa" w:w="5616"/>
            <w:vAlign w:val="top"/>
            <w:shd w:fill="F6F8FB"/>
            <w:tcMar>
              <w:top w:w="70" w:type="dxa"/>
              <w:start w:w="80" w:type="dxa"/>
              <w:bottom w:w="70" w:type="dxa"/>
              <w:end w:w="80" w:type="dxa"/>
            </w:tcMar>
          </w:tcPr>
          <w:p>
            <w:pPr>
              <w:spacing w:after="0"/>
            </w:pPr>
            <w:r>
              <w:rPr>
                <w:color w:val="1F2937"/>
                <w:sz w:val="17"/>
              </w:rPr>
              <w:t>Provider columns and timestamp text remain in the output; timestamps are parsed internally only for validation, sorting and duplicate control.</w:t>
            </w:r>
          </w:p>
        </w:tc>
      </w:tr>
      <w:tr>
        <w:trPr>
          <w:cantSplit/>
        </w:trPr>
        <w:tc>
          <w:tcPr>
            <w:tcW w:type="dxa" w:w="3888"/>
            <w:vAlign w:val="top"/>
            <w:tcMar>
              <w:top w:w="70" w:type="dxa"/>
              <w:start w:w="80" w:type="dxa"/>
              <w:bottom w:w="70" w:type="dxa"/>
              <w:end w:w="80" w:type="dxa"/>
            </w:tcMar>
          </w:tcPr>
          <w:p>
            <w:pPr>
              <w:spacing w:after="0"/>
            </w:pPr>
            <w:r>
              <w:rPr>
                <w:color w:val="1F2937"/>
                <w:sz w:val="17"/>
              </w:rPr>
              <w:t>Current history should not depend on stitching live dispatch onto the tail.</w:t>
            </w:r>
          </w:p>
        </w:tc>
        <w:tc>
          <w:tcPr>
            <w:tcW w:type="dxa" w:w="5616"/>
            <w:vAlign w:val="top"/>
            <w:tcMar>
              <w:top w:w="70" w:type="dxa"/>
              <w:start w:w="80" w:type="dxa"/>
              <w:bottom w:w="70" w:type="dxa"/>
              <w:end w:w="80" w:type="dxa"/>
            </w:tcMar>
          </w:tcPr>
          <w:p>
            <w:pPr>
              <w:spacing w:after="0"/>
            </w:pPr>
            <w:r>
              <w:rPr>
                <w:color w:val="1F2937"/>
                <w:sz w:val="17"/>
              </w:rPr>
              <w:t>The current AEMO monthly archive was verified to extend through the active month, so the deep-history source stands alone.</w:t>
            </w:r>
          </w:p>
        </w:tc>
      </w:tr>
      <w:tr>
        <w:trPr>
          <w:cantSplit/>
        </w:trPr>
        <w:tc>
          <w:tcPr>
            <w:tcW w:type="dxa" w:w="3888"/>
            <w:vAlign w:val="top"/>
            <w:shd w:fill="F6F8FB"/>
            <w:tcMar>
              <w:top w:w="70" w:type="dxa"/>
              <w:start w:w="80" w:type="dxa"/>
              <w:bottom w:w="70" w:type="dxa"/>
              <w:end w:w="80" w:type="dxa"/>
            </w:tcMar>
          </w:tcPr>
          <w:p>
            <w:pPr>
              <w:spacing w:after="0"/>
            </w:pPr>
            <w:r>
              <w:rPr>
                <w:color w:val="1F2937"/>
                <w:sz w:val="17"/>
              </w:rPr>
              <w:t>Acquisition needed to be rerunnable.</w:t>
            </w:r>
          </w:p>
        </w:tc>
        <w:tc>
          <w:tcPr>
            <w:tcW w:type="dxa" w:w="5616"/>
            <w:vAlign w:val="top"/>
            <w:shd w:fill="F6F8FB"/>
            <w:tcMar>
              <w:top w:w="70" w:type="dxa"/>
              <w:start w:w="80" w:type="dxa"/>
              <w:bottom w:w="70" w:type="dxa"/>
              <w:end w:w="80" w:type="dxa"/>
            </w:tcMar>
          </w:tcPr>
          <w:p>
            <w:pPr>
              <w:spacing w:after="0"/>
            </w:pPr>
            <w:r>
              <w:rPr>
                <w:color w:val="1F2937"/>
                <w:sz w:val="17"/>
              </w:rPr>
              <w:t>One requests session is reused across many monthly files and malformed HTML responses are detected before pandas parsing.</w:t>
            </w:r>
          </w:p>
        </w:tc>
      </w:tr>
    </w:tbl>
    <w:p>
      <w:pPr>
        <w:pStyle w:val="Heading1"/>
      </w:pPr>
      <w:r>
        <w:t>3. Work completed</w:t>
      </w:r>
    </w:p>
    <w:p>
      <w:pPr>
        <w:pStyle w:val="Heading2"/>
      </w:pPr>
      <w:r>
        <w:t>3.1 Non-technical explanation</w:t>
      </w:r>
    </w:p>
    <w:p>
      <w:pPr>
        <w:pStyle w:val="ListBullet"/>
        <w:spacing w:after="60"/>
      </w:pPr>
      <w:r>
        <w:t>Download the monthly AEMO PRICE_AND_DEMAND files for NSW1, QLD1, VIC1, SA1 and TAS1.</w:t>
      </w:r>
    </w:p>
    <w:p>
      <w:pPr>
        <w:pStyle w:val="ListBullet"/>
        <w:spacing w:after="60"/>
      </w:pPr>
      <w:r>
        <w:t>Check that the response is real tabular data before accepting it as evidence.</w:t>
      </w:r>
    </w:p>
    <w:p>
      <w:pPr>
        <w:pStyle w:val="ListBullet"/>
        <w:spacing w:after="60"/>
      </w:pPr>
      <w:r>
        <w:t>Combine months by region, remove duplicate timestamps deterministically and keep the original provider fields.</w:t>
      </w:r>
    </w:p>
    <w:p>
      <w:pPr>
        <w:pStyle w:val="ListBullet"/>
        <w:spacing w:after="60"/>
      </w:pPr>
      <w:r>
        <w:t>Write one consolidated history file per NEM region so later stages do not have to manage dozens of monthly files.</w:t>
      </w:r>
    </w:p>
    <w:p>
      <w:pPr>
        <w:pStyle w:val="ListBullet"/>
        <w:spacing w:after="60"/>
      </w:pPr>
      <w:r>
        <w:t>Keep acquisition at the native five-minute source resolution; do not perform the later 30-minute modelling conversion here.</w:t>
      </w:r>
    </w:p>
    <w:p>
      <w:pPr>
        <w:pStyle w:val="Heading2"/>
      </w:pPr>
      <w:r>
        <w:t>3.2 Technical code responsibility</w:t>
      </w:r>
    </w:p>
    <w:p>
      <w:r>
        <w:t>The accompanying 01_Suraj_Raut_NEM_Historical_Acquisition.py isolates this workstream from the final integrated acquisition file so the source logic can be read and tested independently before merge.</w:t>
      </w:r>
    </w:p>
    <w:p>
      <w:pPr>
        <w:pStyle w:val="Heading1"/>
      </w:pPr>
      <w:r>
        <w:t>4. Evidence from the current verified acquisition output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A63"/>
            <w:vAlign w:val="center"/>
            <w:tcMar>
              <w:top w:w="70" w:type="dxa"/>
              <w:start w:w="80" w:type="dxa"/>
              <w:bottom w:w="70" w:type="dxa"/>
              <w:end w:w="80" w:type="dxa"/>
            </w:tcMar>
          </w:tcPr>
          <w:p>
            <w:r>
              <w:rPr>
                <w:b/>
                <w:color w:val="FFFFFF"/>
                <w:sz w:val="16"/>
              </w:rPr>
              <w:t>Evidence</w:t>
            </w:r>
          </w:p>
        </w:tc>
        <w:tc>
          <w:tcPr>
            <w:tcW w:type="dxa" w:w="3024"/>
            <w:shd w:fill="173A63"/>
            <w:vAlign w:val="center"/>
            <w:tcMar>
              <w:top w:w="70" w:type="dxa"/>
              <w:start w:w="80" w:type="dxa"/>
              <w:bottom w:w="70" w:type="dxa"/>
              <w:end w:w="80" w:type="dxa"/>
            </w:tcMar>
          </w:tcPr>
          <w:p>
            <w:r>
              <w:rPr>
                <w:b/>
                <w:color w:val="FFFFFF"/>
                <w:sz w:val="16"/>
              </w:rPr>
              <w:t>Current verified result</w:t>
            </w:r>
          </w:p>
        </w:tc>
        <w:tc>
          <w:tcPr>
            <w:tcW w:type="dxa" w:w="4032"/>
            <w:shd w:fill="173A63"/>
            <w:vAlign w:val="center"/>
            <w:tcMar>
              <w:top w:w="70" w:type="dxa"/>
              <w:start w:w="80" w:type="dxa"/>
              <w:bottom w:w="70" w:type="dxa"/>
              <w:end w:w="80" w:type="dxa"/>
            </w:tcMar>
          </w:tcPr>
          <w:p>
            <w:r>
              <w:rPr>
                <w:b/>
                <w:color w:val="FFFFFF"/>
                <w:sz w:val="16"/>
              </w:rPr>
              <w:t>What it demonstrates</w:t>
            </w:r>
          </w:p>
        </w:tc>
      </w:tr>
      <w:tr>
        <w:trPr>
          <w:cantSplit/>
        </w:trPr>
        <w:tc>
          <w:tcPr>
            <w:tcW w:type="dxa" w:w="2448"/>
            <w:vAlign w:val="top"/>
            <w:tcMar>
              <w:top w:w="70" w:type="dxa"/>
              <w:start w:w="80" w:type="dxa"/>
              <w:bottom w:w="70" w:type="dxa"/>
              <w:end w:w="80" w:type="dxa"/>
            </w:tcMar>
          </w:tcPr>
          <w:p>
            <w:pPr>
              <w:spacing w:after="0"/>
            </w:pPr>
            <w:r>
              <w:rPr>
                <w:color w:val="1F2937"/>
                <w:sz w:val="16"/>
              </w:rPr>
              <w:t>NSW1</w:t>
            </w:r>
          </w:p>
        </w:tc>
        <w:tc>
          <w:tcPr>
            <w:tcW w:type="dxa" w:w="3024"/>
            <w:vAlign w:val="top"/>
            <w:tcMar>
              <w:top w:w="70" w:type="dxa"/>
              <w:start w:w="80" w:type="dxa"/>
              <w:bottom w:w="70" w:type="dxa"/>
              <w:end w:w="80" w:type="dxa"/>
            </w:tcMar>
          </w:tcPr>
          <w:p>
            <w:pPr>
              <w:spacing w:after="0"/>
            </w:pPr>
            <w:r>
              <w:rPr>
                <w:color w:val="1F2937"/>
                <w:sz w:val="16"/>
              </w:rPr>
              <w:t>494,496 rows; 0 duplicate timestamps</w:t>
            </w:r>
          </w:p>
        </w:tc>
        <w:tc>
          <w:tcPr>
            <w:tcW w:type="dxa" w:w="4032"/>
            <w:vAlign w:val="top"/>
            <w:tcMar>
              <w:top w:w="70" w:type="dxa"/>
              <w:start w:w="80" w:type="dxa"/>
              <w:bottom w:w="70" w:type="dxa"/>
              <w:end w:w="80" w:type="dxa"/>
            </w:tcMar>
          </w:tcPr>
          <w:p>
            <w:pPr>
              <w:spacing w:after="0"/>
            </w:pPr>
            <w:r>
              <w:rPr>
                <w:color w:val="1F2937"/>
                <w:sz w:val="16"/>
              </w:rPr>
              <w:t>Deep-history file reaches 2026-09-14 00:00:00 at native five-minute spacing.</w:t>
            </w:r>
          </w:p>
        </w:tc>
      </w:tr>
      <w:tr>
        <w:trPr>
          <w:cantSplit/>
        </w:trPr>
        <w:tc>
          <w:tcPr>
            <w:tcW w:type="dxa" w:w="2448"/>
            <w:vAlign w:val="top"/>
            <w:shd w:fill="F6F8FB"/>
            <w:tcMar>
              <w:top w:w="70" w:type="dxa"/>
              <w:start w:w="80" w:type="dxa"/>
              <w:bottom w:w="70" w:type="dxa"/>
              <w:end w:w="80" w:type="dxa"/>
            </w:tcMar>
          </w:tcPr>
          <w:p>
            <w:pPr>
              <w:spacing w:after="0"/>
            </w:pPr>
            <w:r>
              <w:rPr>
                <w:color w:val="1F2937"/>
                <w:sz w:val="16"/>
              </w:rPr>
              <w:t>QLD1</w:t>
            </w:r>
          </w:p>
        </w:tc>
        <w:tc>
          <w:tcPr>
            <w:tcW w:type="dxa" w:w="3024"/>
            <w:vAlign w:val="top"/>
            <w:shd w:fill="F6F8FB"/>
            <w:tcMar>
              <w:top w:w="70" w:type="dxa"/>
              <w:start w:w="80" w:type="dxa"/>
              <w:bottom w:w="70" w:type="dxa"/>
              <w:end w:w="80" w:type="dxa"/>
            </w:tcMar>
          </w:tcPr>
          <w:p>
            <w:pPr>
              <w:spacing w:after="0"/>
            </w:pPr>
            <w:r>
              <w:rPr>
                <w:color w:val="1F2937"/>
                <w:sz w:val="16"/>
              </w:rPr>
              <w:t>494,496 rows; 0 duplicate timestamps</w:t>
            </w:r>
          </w:p>
        </w:tc>
        <w:tc>
          <w:tcPr>
            <w:tcW w:type="dxa" w:w="4032"/>
            <w:vAlign w:val="top"/>
            <w:shd w:fill="F6F8FB"/>
            <w:tcMar>
              <w:top w:w="70" w:type="dxa"/>
              <w:start w:w="80" w:type="dxa"/>
              <w:bottom w:w="70" w:type="dxa"/>
              <w:end w:w="80" w:type="dxa"/>
            </w:tcMar>
          </w:tcPr>
          <w:p>
            <w:pPr>
              <w:spacing w:after="0"/>
            </w:pPr>
            <w:r>
              <w:rPr>
                <w:color w:val="1F2937"/>
                <w:sz w:val="16"/>
              </w:rPr>
              <w:t>Deep-history file reaches 2026-09-14 00:00:00 at native five-minute spacing.</w:t>
            </w:r>
          </w:p>
        </w:tc>
      </w:tr>
      <w:tr>
        <w:trPr>
          <w:cantSplit/>
        </w:trPr>
        <w:tc>
          <w:tcPr>
            <w:tcW w:type="dxa" w:w="2448"/>
            <w:vAlign w:val="top"/>
            <w:tcMar>
              <w:top w:w="70" w:type="dxa"/>
              <w:start w:w="80" w:type="dxa"/>
              <w:bottom w:w="70" w:type="dxa"/>
              <w:end w:w="80" w:type="dxa"/>
            </w:tcMar>
          </w:tcPr>
          <w:p>
            <w:pPr>
              <w:spacing w:after="0"/>
            </w:pPr>
            <w:r>
              <w:rPr>
                <w:color w:val="1F2937"/>
                <w:sz w:val="16"/>
              </w:rPr>
              <w:t>VIC1</w:t>
            </w:r>
          </w:p>
        </w:tc>
        <w:tc>
          <w:tcPr>
            <w:tcW w:type="dxa" w:w="3024"/>
            <w:vAlign w:val="top"/>
            <w:tcMar>
              <w:top w:w="70" w:type="dxa"/>
              <w:start w:w="80" w:type="dxa"/>
              <w:bottom w:w="70" w:type="dxa"/>
              <w:end w:w="80" w:type="dxa"/>
            </w:tcMar>
          </w:tcPr>
          <w:p>
            <w:pPr>
              <w:spacing w:after="0"/>
            </w:pPr>
            <w:r>
              <w:rPr>
                <w:color w:val="1F2937"/>
                <w:sz w:val="16"/>
              </w:rPr>
              <w:t>494,496 rows; 0 duplicate timestamps</w:t>
            </w:r>
          </w:p>
        </w:tc>
        <w:tc>
          <w:tcPr>
            <w:tcW w:type="dxa" w:w="4032"/>
            <w:vAlign w:val="top"/>
            <w:tcMar>
              <w:top w:w="70" w:type="dxa"/>
              <w:start w:w="80" w:type="dxa"/>
              <w:bottom w:w="70" w:type="dxa"/>
              <w:end w:w="80" w:type="dxa"/>
            </w:tcMar>
          </w:tcPr>
          <w:p>
            <w:pPr>
              <w:spacing w:after="0"/>
            </w:pPr>
            <w:r>
              <w:rPr>
                <w:color w:val="1F2937"/>
                <w:sz w:val="16"/>
              </w:rPr>
              <w:t>Deep-history file reaches 2026-09-14 00:00:00 at native five-minute spacing.</w:t>
            </w:r>
          </w:p>
        </w:tc>
      </w:tr>
      <w:tr>
        <w:trPr>
          <w:cantSplit/>
        </w:trPr>
        <w:tc>
          <w:tcPr>
            <w:tcW w:type="dxa" w:w="2448"/>
            <w:vAlign w:val="top"/>
            <w:shd w:fill="F6F8FB"/>
            <w:tcMar>
              <w:top w:w="70" w:type="dxa"/>
              <w:start w:w="80" w:type="dxa"/>
              <w:bottom w:w="70" w:type="dxa"/>
              <w:end w:w="80" w:type="dxa"/>
            </w:tcMar>
          </w:tcPr>
          <w:p>
            <w:pPr>
              <w:spacing w:after="0"/>
            </w:pPr>
            <w:r>
              <w:rPr>
                <w:color w:val="1F2937"/>
                <w:sz w:val="16"/>
              </w:rPr>
              <w:t>SA1</w:t>
            </w:r>
          </w:p>
        </w:tc>
        <w:tc>
          <w:tcPr>
            <w:tcW w:type="dxa" w:w="3024"/>
            <w:vAlign w:val="top"/>
            <w:shd w:fill="F6F8FB"/>
            <w:tcMar>
              <w:top w:w="70" w:type="dxa"/>
              <w:start w:w="80" w:type="dxa"/>
              <w:bottom w:w="70" w:type="dxa"/>
              <w:end w:w="80" w:type="dxa"/>
            </w:tcMar>
          </w:tcPr>
          <w:p>
            <w:pPr>
              <w:spacing w:after="0"/>
            </w:pPr>
            <w:r>
              <w:rPr>
                <w:color w:val="1F2937"/>
                <w:sz w:val="16"/>
              </w:rPr>
              <w:t>494,496 rows; 0 duplicate timestamps</w:t>
            </w:r>
          </w:p>
        </w:tc>
        <w:tc>
          <w:tcPr>
            <w:tcW w:type="dxa" w:w="4032"/>
            <w:vAlign w:val="top"/>
            <w:shd w:fill="F6F8FB"/>
            <w:tcMar>
              <w:top w:w="70" w:type="dxa"/>
              <w:start w:w="80" w:type="dxa"/>
              <w:bottom w:w="70" w:type="dxa"/>
              <w:end w:w="80" w:type="dxa"/>
            </w:tcMar>
          </w:tcPr>
          <w:p>
            <w:pPr>
              <w:spacing w:after="0"/>
            </w:pPr>
            <w:r>
              <w:rPr>
                <w:color w:val="1F2937"/>
                <w:sz w:val="16"/>
              </w:rPr>
              <w:t>Deep-history file reaches 2026-09-14 00:00:00 at native five-minute spacing.</w:t>
            </w:r>
          </w:p>
        </w:tc>
      </w:tr>
      <w:tr>
        <w:trPr>
          <w:cantSplit/>
        </w:trPr>
        <w:tc>
          <w:tcPr>
            <w:tcW w:type="dxa" w:w="2448"/>
            <w:vAlign w:val="top"/>
            <w:tcMar>
              <w:top w:w="70" w:type="dxa"/>
              <w:start w:w="80" w:type="dxa"/>
              <w:bottom w:w="70" w:type="dxa"/>
              <w:end w:w="80" w:type="dxa"/>
            </w:tcMar>
          </w:tcPr>
          <w:p>
            <w:pPr>
              <w:spacing w:after="0"/>
            </w:pPr>
            <w:r>
              <w:rPr>
                <w:color w:val="1F2937"/>
                <w:sz w:val="16"/>
              </w:rPr>
              <w:t>TAS1</w:t>
            </w:r>
          </w:p>
        </w:tc>
        <w:tc>
          <w:tcPr>
            <w:tcW w:type="dxa" w:w="3024"/>
            <w:vAlign w:val="top"/>
            <w:tcMar>
              <w:top w:w="70" w:type="dxa"/>
              <w:start w:w="80" w:type="dxa"/>
              <w:bottom w:w="70" w:type="dxa"/>
              <w:end w:w="80" w:type="dxa"/>
            </w:tcMar>
          </w:tcPr>
          <w:p>
            <w:pPr>
              <w:spacing w:after="0"/>
            </w:pPr>
            <w:r>
              <w:rPr>
                <w:color w:val="1F2937"/>
                <w:sz w:val="16"/>
              </w:rPr>
              <w:t>494,496 rows; 0 duplicate timestamps</w:t>
            </w:r>
          </w:p>
        </w:tc>
        <w:tc>
          <w:tcPr>
            <w:tcW w:type="dxa" w:w="4032"/>
            <w:vAlign w:val="top"/>
            <w:tcMar>
              <w:top w:w="70" w:type="dxa"/>
              <w:start w:w="80" w:type="dxa"/>
              <w:bottom w:w="70" w:type="dxa"/>
              <w:end w:w="80" w:type="dxa"/>
            </w:tcMar>
          </w:tcPr>
          <w:p>
            <w:pPr>
              <w:spacing w:after="0"/>
            </w:pPr>
            <w:r>
              <w:rPr>
                <w:color w:val="1F2937"/>
                <w:sz w:val="16"/>
              </w:rPr>
              <w:t>Deep-history file reaches 2026-09-14 00:00:00 at native five-minute spacing.</w:t>
            </w:r>
          </w:p>
        </w:tc>
      </w:tr>
    </w:tbl>
    <w:p>
      <w:pPr>
        <w:pStyle w:val="Heading1"/>
      </w:pPr>
      <w:r>
        <w:t>5. Collaboration and integration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A63"/>
            <w:vAlign w:val="center"/>
            <w:tcMar>
              <w:top w:w="70" w:type="dxa"/>
              <w:start w:w="80" w:type="dxa"/>
              <w:bottom w:w="70" w:type="dxa"/>
              <w:end w:w="80" w:type="dxa"/>
            </w:tcMar>
          </w:tcPr>
          <w:p>
            <w:r>
              <w:rPr>
                <w:b/>
                <w:color w:val="FFFFFF"/>
                <w:sz w:val="17"/>
              </w:rPr>
              <w:t>With / interface</w:t>
            </w:r>
          </w:p>
        </w:tc>
        <w:tc>
          <w:tcPr>
            <w:tcW w:type="dxa" w:w="6912"/>
            <w:shd w:fill="173A63"/>
            <w:vAlign w:val="center"/>
            <w:tcMar>
              <w:top w:w="70" w:type="dxa"/>
              <w:start w:w="80" w:type="dxa"/>
              <w:bottom w:w="70" w:type="dxa"/>
              <w:end w:w="80" w:type="dxa"/>
            </w:tcMar>
          </w:tcPr>
          <w:p>
            <w:r>
              <w:rPr>
                <w:b/>
                <w:color w:val="FFFFFF"/>
                <w:sz w:val="17"/>
              </w:rPr>
              <w:t>How the work connected</w:t>
            </w:r>
          </w:p>
        </w:tc>
      </w:tr>
      <w:tr>
        <w:trPr>
          <w:cantSplit/>
        </w:trPr>
        <w:tc>
          <w:tcPr>
            <w:tcW w:type="dxa" w:w="2592"/>
            <w:vAlign w:val="top"/>
            <w:tcMar>
              <w:top w:w="70" w:type="dxa"/>
              <w:start w:w="80" w:type="dxa"/>
              <w:bottom w:w="70" w:type="dxa"/>
              <w:end w:w="80" w:type="dxa"/>
            </w:tcMar>
          </w:tcPr>
          <w:p>
            <w:pPr>
              <w:spacing w:after="0"/>
            </w:pPr>
            <w:r>
              <w:rPr>
                <w:color w:val="1F2937"/>
                <w:sz w:val="17"/>
              </w:rPr>
              <w:t>Sudip – WA source module</w:t>
            </w:r>
          </w:p>
        </w:tc>
        <w:tc>
          <w:tcPr>
            <w:tcW w:type="dxa" w:w="6912"/>
            <w:vAlign w:val="top"/>
            <w:tcMar>
              <w:top w:w="70" w:type="dxa"/>
              <w:start w:w="80" w:type="dxa"/>
              <w:bottom w:w="70" w:type="dxa"/>
              <w:end w:w="80" w:type="dxa"/>
            </w:tcMar>
          </w:tcPr>
          <w:p>
            <w:pPr>
              <w:spacing w:after="0"/>
            </w:pPr>
            <w:r>
              <w:rPr>
                <w:color w:val="1F2937"/>
                <w:sz w:val="17"/>
              </w:rPr>
              <w:t>Kept WA as a separate source path instead of forcing WEM into NEM archive assumptions.</w:t>
            </w:r>
          </w:p>
        </w:tc>
      </w:tr>
      <w:tr>
        <w:trPr>
          <w:cantSplit/>
        </w:trPr>
        <w:tc>
          <w:tcPr>
            <w:tcW w:type="dxa" w:w="2592"/>
            <w:vAlign w:val="top"/>
            <w:shd w:fill="F6F8FB"/>
            <w:tcMar>
              <w:top w:w="70" w:type="dxa"/>
              <w:start w:w="80" w:type="dxa"/>
              <w:bottom w:w="70" w:type="dxa"/>
              <w:end w:w="80" w:type="dxa"/>
            </w:tcMar>
          </w:tcPr>
          <w:p>
            <w:pPr>
              <w:spacing w:after="0"/>
            </w:pPr>
            <w:r>
              <w:rPr>
                <w:color w:val="1F2937"/>
                <w:sz w:val="17"/>
              </w:rPr>
              <w:t>Ashish – dashboard module</w:t>
            </w:r>
          </w:p>
        </w:tc>
        <w:tc>
          <w:tcPr>
            <w:tcW w:type="dxa" w:w="6912"/>
            <w:vAlign w:val="top"/>
            <w:shd w:fill="F6F8FB"/>
            <w:tcMar>
              <w:top w:w="70" w:type="dxa"/>
              <w:start w:w="80" w:type="dxa"/>
              <w:bottom w:w="70" w:type="dxa"/>
              <w:end w:w="80" w:type="dxa"/>
            </w:tcMar>
          </w:tcPr>
          <w:p>
            <w:pPr>
              <w:spacing w:after="0"/>
            </w:pPr>
            <w:r>
              <w:rPr>
                <w:color w:val="1F2937"/>
                <w:sz w:val="17"/>
              </w:rPr>
              <w:t>Confirmed live dashboard snapshots are a separate source family, not a history stitch.</w:t>
            </w:r>
          </w:p>
        </w:tc>
      </w:tr>
      <w:tr>
        <w:trPr>
          <w:cantSplit/>
        </w:trPr>
        <w:tc>
          <w:tcPr>
            <w:tcW w:type="dxa" w:w="2592"/>
            <w:vAlign w:val="top"/>
            <w:tcMar>
              <w:top w:w="70" w:type="dxa"/>
              <w:start w:w="80" w:type="dxa"/>
              <w:bottom w:w="70" w:type="dxa"/>
              <w:end w:w="80" w:type="dxa"/>
            </w:tcMar>
          </w:tcPr>
          <w:p>
            <w:pPr>
              <w:spacing w:after="0"/>
            </w:pPr>
            <w:r>
              <w:rPr>
                <w:color w:val="1F2937"/>
                <w:sz w:val="17"/>
              </w:rPr>
              <w:t>Bishal – validation/weather</w:t>
            </w:r>
          </w:p>
        </w:tc>
        <w:tc>
          <w:tcPr>
            <w:tcW w:type="dxa" w:w="6912"/>
            <w:vAlign w:val="top"/>
            <w:tcMar>
              <w:top w:w="70" w:type="dxa"/>
              <w:start w:w="80" w:type="dxa"/>
              <w:bottom w:w="70" w:type="dxa"/>
              <w:end w:w="80" w:type="dxa"/>
            </w:tcMar>
          </w:tcPr>
          <w:p>
            <w:pPr>
              <w:spacing w:after="0"/>
            </w:pPr>
            <w:r>
              <w:rPr>
                <w:color w:val="1F2937"/>
                <w:sz w:val="17"/>
              </w:rPr>
              <w:t>Independent output checks helped distinguish source failure from parsing/format issues.</w:t>
            </w:r>
          </w:p>
        </w:tc>
      </w:tr>
      <w:tr>
        <w:trPr>
          <w:cantSplit/>
        </w:trPr>
        <w:tc>
          <w:tcPr>
            <w:tcW w:type="dxa" w:w="2592"/>
            <w:vAlign w:val="top"/>
            <w:shd w:fill="F6F8FB"/>
            <w:tcMar>
              <w:top w:w="70" w:type="dxa"/>
              <w:start w:w="80" w:type="dxa"/>
              <w:bottom w:w="70" w:type="dxa"/>
              <w:end w:w="80" w:type="dxa"/>
            </w:tcMar>
          </w:tcPr>
          <w:p>
            <w:pPr>
              <w:spacing w:after="0"/>
            </w:pPr>
            <w:r>
              <w:rPr>
                <w:color w:val="1F2937"/>
                <w:sz w:val="17"/>
              </w:rPr>
              <w:t>Dan6 integration</w:t>
            </w:r>
          </w:p>
        </w:tc>
        <w:tc>
          <w:tcPr>
            <w:tcW w:type="dxa" w:w="6912"/>
            <w:vAlign w:val="top"/>
            <w:shd w:fill="F6F8FB"/>
            <w:tcMar>
              <w:top w:w="70" w:type="dxa"/>
              <w:start w:w="80" w:type="dxa"/>
              <w:bottom w:w="70" w:type="dxa"/>
              <w:end w:w="80" w:type="dxa"/>
            </w:tcMar>
          </w:tcPr>
          <w:p>
            <w:pPr>
              <w:spacing w:after="0"/>
            </w:pPr>
            <w:r>
              <w:rPr>
                <w:color w:val="1F2937"/>
                <w:sz w:val="17"/>
              </w:rPr>
              <w:t>Shared output folder and failure-isolation rules allow the NEM archive to be retried independently.</w:t>
            </w:r>
          </w:p>
        </w:tc>
      </w:tr>
    </w:tbl>
    <w:p>
      <w:pPr>
        <w:pStyle w:val="Heading1"/>
      </w:pPr>
      <w:r>
        <w:t>6. Technical decisions and limitations</w:t>
      </w:r>
    </w:p>
    <w:p>
      <w:r>
        <w:t>The final source module is intentionally conservative: it preserves what the provider published, adds provenance only where needed to disambiguate source meaning, and avoids performing later-stage analytical transformations inside acquisition. Where the original proposal could not be implemented reproducibly, the limitation is documented rather than hidden.</w:t>
      </w:r>
    </w:p>
    <w:p>
      <w:pPr>
        <w:pStyle w:val="Heading1"/>
      </w:pPr>
      <w:r>
        <w:t>7. Status at Stage 1 close-out</w:t>
      </w:r>
    </w:p>
    <w:tbl>
      <w:tblPr>
        <w:tblStyle w:val="TableGrid"/>
        <w:tblW w:type="auto" w:w="0"/>
        <w:jc w:val="center"/>
        <w:tblLook w:firstColumn="1" w:firstRow="1" w:lastColumn="0" w:lastRow="0" w:noHBand="0" w:noVBand="1" w:val="04A0"/>
      </w:tblPr>
      <w:tblGrid>
        <w:gridCol w:w="10166"/>
      </w:tblGrid>
      <w:tr>
        <w:tc>
          <w:tcPr>
            <w:tcW w:type="dxa" w:w="10166"/>
            <w:shd w:fill="EDF7F4"/>
            <w:tcMar>
              <w:top w:w="100" w:type="dxa"/>
              <w:start w:w="130" w:type="dxa"/>
              <w:bottom w:w="100" w:type="dxa"/>
              <w:end w:w="130" w:type="dxa"/>
            </w:tcMar>
          </w:tcPr>
          <w:p>
            <w:r>
              <w:rPr>
                <w:b/>
                <w:color w:val="4F7E56"/>
                <w:sz w:val="20"/>
              </w:rPr>
              <w:t>INDIVIDUAL WP1 STATUS: INTEGRATED</w:t>
              <w:br/>
            </w:r>
            <w:r>
              <w:rPr>
                <w:color w:val="1F2937"/>
                <w:sz w:val="19"/>
              </w:rPr>
              <w:t>The assigned acquisition workstream is represented in the final Stage 1 pipeline and its outputs are present in the verified Data.zip. Remaining analytical transformations belong to later stages, not this module.</w:t>
            </w:r>
          </w:p>
        </w:tc>
      </w:tr>
    </w:tbl>
    <w:p>
      <w:pPr>
        <w:pStyle w:val="Heading1"/>
      </w:pPr>
      <w:r>
        <w:t>8. Professional reflection</w:t>
      </w:r>
    </w:p>
    <w:p>
      <w:r>
        <w:t>The main lesson from this workstream was that a download can fail semantically even when the HTTP request itself succeeds. Checking content and preserving the provider representation made the later pipeline easier to audit. It also reinforced why source acquisition and analytical resampling should remain separate responsibilities.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Dan6 – Australian Electricity Demand Forecasting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PRT661 – Data Science Practice | WP1 Suraj Raut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A63"/>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D6CA2"/>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2B8C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A6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