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Suraj Raut — WP3 Individual Contribution &amp; Progress Report</w:t>
      </w:r>
    </w:p>
    <w:p>
      <w:pPr>
        <w:jc w:val="left"/>
      </w:pPr>
      <w:r>
        <w:rPr>
          <w:i/>
          <w:color w:val="2F75B5"/>
          <w:sz w:val="22"/>
        </w:rPr>
        <w:t>PRT661 – Data Science Practice | Dan6 Theme 2 | Modelling, Forecasting and Verification</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2160"/>
            <w:shd w:fill="17365D"/>
            <w:tcMar>
              <w:top w:w="80" w:type="dxa"/>
              <w:start w:w="80" w:type="dxa"/>
              <w:bottom w:w="80" w:type="dxa"/>
              <w:end w:w="80" w:type="dxa"/>
            </w:tcMar>
            <w:vAlign w:val="center"/>
          </w:tcPr>
          <w:p>
            <w:r>
              <w:rPr>
                <w:b/>
                <w:color w:val="FFFFFF"/>
                <w:sz w:val="17"/>
              </w:rPr>
              <w:t>Student</w:t>
            </w:r>
          </w:p>
        </w:tc>
        <w:tc>
          <w:tcPr>
            <w:tcW w:type="dxa" w:w="1440"/>
            <w:shd w:fill="17365D"/>
            <w:tcMar>
              <w:top w:w="80" w:type="dxa"/>
              <w:start w:w="80" w:type="dxa"/>
              <w:bottom w:w="80" w:type="dxa"/>
              <w:end w:w="80" w:type="dxa"/>
            </w:tcMar>
            <w:vAlign w:val="center"/>
          </w:tcPr>
          <w:p>
            <w:r>
              <w:rPr>
                <w:b/>
                <w:color w:val="FFFFFF"/>
                <w:sz w:val="17"/>
              </w:rPr>
              <w:t>ID</w:t>
            </w:r>
          </w:p>
        </w:tc>
        <w:tc>
          <w:tcPr>
            <w:tcW w:type="dxa" w:w="3312"/>
            <w:shd w:fill="17365D"/>
            <w:tcMar>
              <w:top w:w="80" w:type="dxa"/>
              <w:start w:w="80" w:type="dxa"/>
              <w:bottom w:w="80" w:type="dxa"/>
              <w:end w:w="80" w:type="dxa"/>
            </w:tcMar>
            <w:vAlign w:val="center"/>
          </w:tcPr>
          <w:p>
            <w:r>
              <w:rPr>
                <w:b/>
                <w:color w:val="FFFFFF"/>
                <w:sz w:val="17"/>
              </w:rPr>
              <w:t>WP3 role</w:t>
            </w:r>
          </w:p>
        </w:tc>
        <w:tc>
          <w:tcPr>
            <w:tcW w:type="dxa" w:w="3456"/>
            <w:shd w:fill="17365D"/>
            <w:tcMar>
              <w:top w:w="80" w:type="dxa"/>
              <w:start w:w="80" w:type="dxa"/>
              <w:bottom w:w="80" w:type="dxa"/>
              <w:end w:w="80" w:type="dxa"/>
            </w:tcMar>
            <w:vAlign w:val="center"/>
          </w:tcPr>
          <w:p>
            <w:r>
              <w:rPr>
                <w:b/>
                <w:color w:val="FFFFFF"/>
                <w:sz w:val="17"/>
              </w:rPr>
              <w:t>Workstream</w:t>
            </w:r>
          </w:p>
        </w:tc>
      </w:tr>
      <w:tr>
        <w:tc>
          <w:tcPr>
            <w:tcW w:type="dxa" w:w="2160"/>
            <w:tcMar>
              <w:top w:w="80" w:type="dxa"/>
              <w:start w:w="80" w:type="dxa"/>
              <w:bottom w:w="80" w:type="dxa"/>
              <w:end w:w="80" w:type="dxa"/>
            </w:tcMar>
            <w:vAlign w:val="center"/>
          </w:tcPr>
          <w:p>
            <w:pPr>
              <w:spacing w:after="0"/>
            </w:pPr>
            <w:r>
              <w:rPr>
                <w:sz w:val="17"/>
              </w:rPr>
              <w:t>Suraj Raut</w:t>
            </w:r>
          </w:p>
        </w:tc>
        <w:tc>
          <w:tcPr>
            <w:tcW w:type="dxa" w:w="1440"/>
            <w:tcMar>
              <w:top w:w="80" w:type="dxa"/>
              <w:start w:w="80" w:type="dxa"/>
              <w:bottom w:w="80" w:type="dxa"/>
              <w:end w:w="80" w:type="dxa"/>
            </w:tcMar>
            <w:vAlign w:val="center"/>
          </w:tcPr>
          <w:p>
            <w:pPr>
              <w:spacing w:after="0"/>
            </w:pPr>
            <w:r>
              <w:rPr>
                <w:sz w:val="17"/>
              </w:rPr>
              <w:t>S391201</w:t>
            </w:r>
          </w:p>
        </w:tc>
        <w:tc>
          <w:tcPr>
            <w:tcW w:type="dxa" w:w="3312"/>
            <w:tcMar>
              <w:top w:w="80" w:type="dxa"/>
              <w:start w:w="80" w:type="dxa"/>
              <w:bottom w:w="80" w:type="dxa"/>
              <w:end w:w="80" w:type="dxa"/>
            </w:tcMar>
            <w:vAlign w:val="center"/>
          </w:tcPr>
          <w:p>
            <w:pPr>
              <w:spacing w:after="0"/>
            </w:pPr>
            <w:r>
              <w:rPr>
                <w:sz w:val="17"/>
              </w:rPr>
              <w:t>Data Engineering Lead</w:t>
            </w:r>
          </w:p>
        </w:tc>
        <w:tc>
          <w:tcPr>
            <w:tcW w:type="dxa" w:w="3456"/>
            <w:tcMar>
              <w:top w:w="80" w:type="dxa"/>
              <w:start w:w="80" w:type="dxa"/>
              <w:bottom w:w="80" w:type="dxa"/>
              <w:end w:w="80" w:type="dxa"/>
            </w:tcMar>
            <w:vAlign w:val="center"/>
          </w:tcPr>
          <w:p>
            <w:pPr>
              <w:spacing w:after="0"/>
            </w:pPr>
            <w:r>
              <w:rPr>
                <w:sz w:val="17"/>
              </w:rPr>
              <w:t>XGBoost A/B · recursive engine · lag provenance · frozen four-month forecast</w:t>
            </w:r>
          </w:p>
        </w:tc>
      </w:tr>
    </w:tbl>
    <w:p>
      <w:pPr>
        <w:spacing w:after="20"/>
      </w:pP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Evidence note  </w:t>
            </w:r>
            <w:r>
              <w:t>This document is aligned to the verified 14 September Stage 3 run. Contribution descriptions preserve the role boundaries in the existing WP3 documents and describe shared integration as team work rather than assigning the final pipeline to one person.</w:t>
            </w:r>
          </w:p>
        </w:tc>
      </w:tr>
    </w:tbl>
    <w:p>
      <w:pPr>
        <w:spacing w:after="20"/>
      </w:pPr>
    </w:p>
    <w:p>
      <w:pPr>
        <w:pStyle w:val="Heading1"/>
      </w:pPr>
      <w:r>
        <w:t>1. Allocated WP3 responsibility</w:t>
      </w:r>
    </w:p>
    <w:p>
      <w:pPr>
        <w:spacing w:after="100"/>
      </w:pPr>
      <w:r>
        <w:t>Suraj’s Stage 3 responsibility is the long-horizon execution layer: implement the XGBoost A/B challenger family, maintain the recursive time-series state used after forecast origin, record whether lag inputs come from actual history or earlier predictions, and construct the frozen month-start four-month forecast that later verification must score without alteration.</w:t>
      </w:r>
    </w:p>
    <w:p>
      <w:pPr>
        <w:jc w:val="center"/>
      </w:pPr>
      <w:r>
        <w:drawing>
          <wp:inline xmlns:a="http://schemas.openxmlformats.org/drawingml/2006/main" xmlns:pic="http://schemas.openxmlformats.org/drawingml/2006/picture">
            <wp:extent cx="3794760" cy="6551227"/>
            <wp:docPr id="1" name="Picture 1"/>
            <wp:cNvGraphicFramePr>
              <a:graphicFrameLocks noChangeAspect="1"/>
            </wp:cNvGraphicFramePr>
            <a:graphic>
              <a:graphicData uri="http://schemas.openxmlformats.org/drawingml/2006/picture">
                <pic:pic>
                  <pic:nvPicPr>
                    <pic:cNvPr id="0" name="02_stage3_modelling_architecture.png"/>
                    <pic:cNvPicPr/>
                  </pic:nvPicPr>
                  <pic:blipFill>
                    <a:blip r:embed="rId11"/>
                    <a:stretch>
                      <a:fillRect/>
                    </a:stretch>
                  </pic:blipFill>
                  <pic:spPr>
                    <a:xfrm>
                      <a:off x="0" y="0"/>
                      <a:ext cx="3794760" cy="6551227"/>
                    </a:xfrm>
                    <a:prstGeom prst="rect"/>
                  </pic:spPr>
                </pic:pic>
              </a:graphicData>
            </a:graphic>
          </wp:inline>
        </w:drawing>
      </w:r>
    </w:p>
    <w:p>
      <w:pPr>
        <w:pStyle w:val="Caption"/>
        <w:jc w:val="center"/>
      </w:pPr>
      <w:r>
        <w:t>Figure 1. Suraj-owned blocks: XGBoost A/B, recursive time-series mechanics and the frozen 2026 forecast.</w:t>
      </w:r>
    </w:p>
    <w:p>
      <w:r>
        <w:br w:type="page"/>
      </w:r>
    </w:p>
    <w:p>
      <w:pPr>
        <w:pStyle w:val="Heading1"/>
      </w:pPr>
      <w:r>
        <w:t>2. Why XGBoost was included</w:t>
      </w:r>
    </w:p>
    <w:p>
      <w:pPr>
        <w:spacing w:after="100"/>
      </w:pPr>
      <w:r>
        <w:t>XGBoost provides a boosted-tree alternative to Random Forest. Both can capture nonlinear demand patterns, but they learn differently: Random Forest averages many independently sampled trees, while XGBoost sequentially adds trees to correct prior residuals. A/B variants use the same Stage 2 feature contracts as Random Forest so differences reflect the algorithm rather than different input information.</w:t>
      </w:r>
    </w:p>
    <w:tbl>
      <w:tblPr>
        <w:tblW w:type="auto" w:w="0"/>
        <w:jc w:val="center"/>
        <w:tblLayout w:type="autofit"/>
        <w:tblLook w:firstColumn="1" w:firstRow="1" w:lastColumn="0" w:lastRow="0" w:noHBand="0" w:noVBand="1" w:val="04A0"/>
      </w:tblPr>
      <w:tblGrid>
        <w:gridCol w:w="10123"/>
      </w:tblGrid>
      <w:tr>
        <w:tc>
          <w:tcPr>
            <w:tcW w:type="dxa" w:w="10123"/>
            <w:shd w:fill="EDF4FB"/>
            <w:tcMar>
              <w:top w:w="120" w:type="dxa"/>
              <w:start w:w="140" w:type="dxa"/>
              <w:bottom w:w="120" w:type="dxa"/>
              <w:end w:w="140" w:type="dxa"/>
            </w:tcMar>
          </w:tcPr>
          <w:p>
            <w:pPr>
              <w:spacing w:after="0"/>
            </w:pPr>
            <w:r>
              <w:rPr>
                <w:b/>
                <w:color w:val="17365D"/>
              </w:rPr>
              <w:t xml:space="preserve">Implemented full-mode configuration  </w:t>
            </w:r>
            <w:r>
              <w:t>700 boosting rounds, maximum depth 8, learning rate 0.05, 0.8 row subsampling, 0.8 column subsampling, L1/L2 regularisation and histogram tree construction. The random state is fixed for reproducibility.</w:t>
            </w:r>
          </w:p>
        </w:tc>
      </w:tr>
    </w:tbl>
    <w:p>
      <w:pPr>
        <w:spacing w:after="20"/>
      </w:pPr>
    </w:p>
    <w:tbl>
      <w:tblPr>
        <w:tblStyle w:val="TableGrid"/>
        <w:tblW w:type="auto" w:w="0"/>
        <w:jc w:val="center"/>
        <w:tblLayout w:type="fixed"/>
        <w:tblLook w:firstColumn="1" w:firstRow="1" w:lastColumn="0" w:lastRow="0" w:noHBand="0" w:noVBand="1" w:val="04A0"/>
      </w:tblPr>
      <w:tblGrid>
        <w:gridCol w:w="1687"/>
        <w:gridCol w:w="1687"/>
        <w:gridCol w:w="1687"/>
        <w:gridCol w:w="1687"/>
        <w:gridCol w:w="1687"/>
        <w:gridCol w:w="1687"/>
      </w:tblGrid>
      <w:tr>
        <w:trPr>
          <w:tblHeader w:val="true"/>
        </w:trPr>
        <w:tc>
          <w:tcPr>
            <w:tcW w:type="dxa" w:w="1008"/>
            <w:shd w:fill="17365D"/>
            <w:tcMar>
              <w:top w:w="80" w:type="dxa"/>
              <w:start w:w="80" w:type="dxa"/>
              <w:bottom w:w="80" w:type="dxa"/>
              <w:end w:w="80" w:type="dxa"/>
            </w:tcMar>
            <w:vAlign w:val="center"/>
          </w:tcPr>
          <w:p>
            <w:r>
              <w:rPr>
                <w:b/>
                <w:color w:val="FFFFFF"/>
                <w:sz w:val="14"/>
              </w:rPr>
              <w:t>Region</w:t>
            </w:r>
          </w:p>
        </w:tc>
        <w:tc>
          <w:tcPr>
            <w:tcW w:type="dxa" w:w="1728"/>
            <w:shd w:fill="17365D"/>
            <w:tcMar>
              <w:top w:w="80" w:type="dxa"/>
              <w:start w:w="80" w:type="dxa"/>
              <w:bottom w:w="80" w:type="dxa"/>
              <w:end w:w="80" w:type="dxa"/>
            </w:tcMar>
            <w:vAlign w:val="center"/>
          </w:tcPr>
          <w:p>
            <w:r>
              <w:rPr>
                <w:b/>
                <w:color w:val="FFFFFF"/>
                <w:sz w:val="14"/>
              </w:rPr>
              <w:t>Model</w:t>
            </w:r>
          </w:p>
        </w:tc>
        <w:tc>
          <w:tcPr>
            <w:tcW w:type="dxa" w:w="1224"/>
            <w:shd w:fill="17365D"/>
            <w:tcMar>
              <w:top w:w="80" w:type="dxa"/>
              <w:start w:w="80" w:type="dxa"/>
              <w:bottom w:w="80" w:type="dxa"/>
              <w:end w:w="80" w:type="dxa"/>
            </w:tcMar>
            <w:vAlign w:val="center"/>
          </w:tcPr>
          <w:p>
            <w:r>
              <w:rPr>
                <w:b/>
                <w:color w:val="FFFFFF"/>
                <w:sz w:val="14"/>
              </w:rPr>
              <w:t>MAE</w:t>
            </w:r>
          </w:p>
        </w:tc>
        <w:tc>
          <w:tcPr>
            <w:tcW w:type="dxa" w:w="1224"/>
            <w:shd w:fill="17365D"/>
            <w:tcMar>
              <w:top w:w="80" w:type="dxa"/>
              <w:start w:w="80" w:type="dxa"/>
              <w:bottom w:w="80" w:type="dxa"/>
              <w:end w:w="80" w:type="dxa"/>
            </w:tcMar>
            <w:vAlign w:val="center"/>
          </w:tcPr>
          <w:p>
            <w:r>
              <w:rPr>
                <w:b/>
                <w:color w:val="FFFFFF"/>
                <w:sz w:val="14"/>
              </w:rPr>
              <w:t>RMSE</w:t>
            </w:r>
          </w:p>
        </w:tc>
        <w:tc>
          <w:tcPr>
            <w:tcW w:type="dxa" w:w="1296"/>
            <w:shd w:fill="17365D"/>
            <w:tcMar>
              <w:top w:w="80" w:type="dxa"/>
              <w:start w:w="80" w:type="dxa"/>
              <w:bottom w:w="80" w:type="dxa"/>
              <w:end w:w="80" w:type="dxa"/>
            </w:tcMar>
            <w:vAlign w:val="center"/>
          </w:tcPr>
          <w:p>
            <w:r>
              <w:rPr>
                <w:b/>
                <w:color w:val="FFFFFF"/>
                <w:sz w:val="14"/>
              </w:rPr>
              <w:t>sMAPE</w:t>
            </w:r>
          </w:p>
        </w:tc>
        <w:tc>
          <w:tcPr>
            <w:tcW w:type="dxa" w:w="1224"/>
            <w:shd w:fill="17365D"/>
            <w:tcMar>
              <w:top w:w="80" w:type="dxa"/>
              <w:start w:w="80" w:type="dxa"/>
              <w:bottom w:w="80" w:type="dxa"/>
              <w:end w:w="80" w:type="dxa"/>
            </w:tcMar>
            <w:vAlign w:val="center"/>
          </w:tcPr>
          <w:p>
            <w:r>
              <w:rPr>
                <w:b/>
                <w:color w:val="FFFFFF"/>
                <w:sz w:val="14"/>
              </w:rPr>
              <w:t>Bias</w:t>
            </w:r>
          </w:p>
        </w:tc>
      </w:tr>
      <w:tr>
        <w:tc>
          <w:tcPr>
            <w:tcW w:type="dxa" w:w="1008"/>
            <w:tcMar>
              <w:top w:w="80" w:type="dxa"/>
              <w:start w:w="80" w:type="dxa"/>
              <w:bottom w:w="80" w:type="dxa"/>
              <w:end w:w="80" w:type="dxa"/>
            </w:tcMar>
            <w:vAlign w:val="center"/>
          </w:tcPr>
          <w:p>
            <w:pPr>
              <w:spacing w:after="0"/>
            </w:pPr>
            <w:r>
              <w:rPr>
                <w:sz w:val="14"/>
              </w:rPr>
              <w:t>NSW1</w:t>
            </w:r>
          </w:p>
        </w:tc>
        <w:tc>
          <w:tcPr>
            <w:tcW w:type="dxa" w:w="1728"/>
            <w:tcMar>
              <w:top w:w="80" w:type="dxa"/>
              <w:start w:w="80" w:type="dxa"/>
              <w:bottom w:w="80" w:type="dxa"/>
              <w:end w:w="80" w:type="dxa"/>
            </w:tcMar>
            <w:vAlign w:val="center"/>
          </w:tcPr>
          <w:p>
            <w:pPr>
              <w:spacing w:after="0"/>
            </w:pPr>
            <w:r>
              <w:rPr>
                <w:sz w:val="14"/>
              </w:rPr>
              <w:t>XGBoost_A</w:t>
            </w:r>
          </w:p>
        </w:tc>
        <w:tc>
          <w:tcPr>
            <w:tcW w:type="dxa" w:w="1224"/>
            <w:tcMar>
              <w:top w:w="80" w:type="dxa"/>
              <w:start w:w="80" w:type="dxa"/>
              <w:bottom w:w="80" w:type="dxa"/>
              <w:end w:w="80" w:type="dxa"/>
            </w:tcMar>
            <w:vAlign w:val="center"/>
          </w:tcPr>
          <w:p>
            <w:pPr>
              <w:spacing w:after="0"/>
            </w:pPr>
            <w:r>
              <w:rPr>
                <w:sz w:val="14"/>
              </w:rPr>
              <w:t>661.5</w:t>
            </w:r>
          </w:p>
        </w:tc>
        <w:tc>
          <w:tcPr>
            <w:tcW w:type="dxa" w:w="1224"/>
            <w:tcMar>
              <w:top w:w="80" w:type="dxa"/>
              <w:start w:w="80" w:type="dxa"/>
              <w:bottom w:w="80" w:type="dxa"/>
              <w:end w:w="80" w:type="dxa"/>
            </w:tcMar>
            <w:vAlign w:val="center"/>
          </w:tcPr>
          <w:p>
            <w:pPr>
              <w:spacing w:after="0"/>
            </w:pPr>
            <w:r>
              <w:rPr>
                <w:sz w:val="14"/>
              </w:rPr>
              <w:t>939.9</w:t>
            </w:r>
          </w:p>
        </w:tc>
        <w:tc>
          <w:tcPr>
            <w:tcW w:type="dxa" w:w="1296"/>
            <w:tcMar>
              <w:top w:w="80" w:type="dxa"/>
              <w:start w:w="80" w:type="dxa"/>
              <w:bottom w:w="80" w:type="dxa"/>
              <w:end w:w="80" w:type="dxa"/>
            </w:tcMar>
            <w:vAlign w:val="center"/>
          </w:tcPr>
          <w:p>
            <w:pPr>
              <w:spacing w:after="0"/>
            </w:pPr>
            <w:r>
              <w:rPr>
                <w:sz w:val="14"/>
              </w:rPr>
              <w:t>9.87%</w:t>
            </w:r>
          </w:p>
        </w:tc>
        <w:tc>
          <w:tcPr>
            <w:tcW w:type="dxa" w:w="1224"/>
            <w:tcMar>
              <w:top w:w="80" w:type="dxa"/>
              <w:start w:w="80" w:type="dxa"/>
              <w:bottom w:w="80" w:type="dxa"/>
              <w:end w:w="80" w:type="dxa"/>
            </w:tcMar>
            <w:vAlign w:val="center"/>
          </w:tcPr>
          <w:p>
            <w:pPr>
              <w:spacing w:after="0"/>
            </w:pPr>
            <w:r>
              <w:rPr>
                <w:sz w:val="14"/>
              </w:rPr>
              <w:t>+146.0</w:t>
            </w:r>
          </w:p>
        </w:tc>
      </w:tr>
      <w:tr>
        <w:tc>
          <w:tcPr>
            <w:tcW w:type="dxa" w:w="1008"/>
            <w:tcMar>
              <w:top w:w="80" w:type="dxa"/>
              <w:start w:w="80" w:type="dxa"/>
              <w:bottom w:w="80" w:type="dxa"/>
              <w:end w:w="80" w:type="dxa"/>
            </w:tcMar>
            <w:vAlign w:val="center"/>
            <w:shd w:fill="F7F9FB"/>
          </w:tcPr>
          <w:p>
            <w:pPr>
              <w:spacing w:after="0"/>
            </w:pPr>
            <w:r>
              <w:rPr>
                <w:sz w:val="14"/>
              </w:rPr>
              <w:t>NSW1</w:t>
            </w:r>
          </w:p>
        </w:tc>
        <w:tc>
          <w:tcPr>
            <w:tcW w:type="dxa" w:w="1728"/>
            <w:tcMar>
              <w:top w:w="80" w:type="dxa"/>
              <w:start w:w="80" w:type="dxa"/>
              <w:bottom w:w="80" w:type="dxa"/>
              <w:end w:w="80" w:type="dxa"/>
            </w:tcMar>
            <w:vAlign w:val="center"/>
            <w:shd w:fill="F7F9FB"/>
          </w:tcPr>
          <w:p>
            <w:pPr>
              <w:spacing w:after="0"/>
            </w:pPr>
            <w:r>
              <w:rPr>
                <w:sz w:val="14"/>
              </w:rPr>
              <w:t>XGBoost_B</w:t>
            </w:r>
          </w:p>
        </w:tc>
        <w:tc>
          <w:tcPr>
            <w:tcW w:type="dxa" w:w="1224"/>
            <w:tcMar>
              <w:top w:w="80" w:type="dxa"/>
              <w:start w:w="80" w:type="dxa"/>
              <w:bottom w:w="80" w:type="dxa"/>
              <w:end w:w="80" w:type="dxa"/>
            </w:tcMar>
            <w:vAlign w:val="center"/>
            <w:shd w:fill="F7F9FB"/>
          </w:tcPr>
          <w:p>
            <w:pPr>
              <w:spacing w:after="0"/>
            </w:pPr>
            <w:r>
              <w:rPr>
                <w:sz w:val="14"/>
              </w:rPr>
              <w:t>629.7</w:t>
            </w:r>
          </w:p>
        </w:tc>
        <w:tc>
          <w:tcPr>
            <w:tcW w:type="dxa" w:w="1224"/>
            <w:tcMar>
              <w:top w:w="80" w:type="dxa"/>
              <w:start w:w="80" w:type="dxa"/>
              <w:bottom w:w="80" w:type="dxa"/>
              <w:end w:w="80" w:type="dxa"/>
            </w:tcMar>
            <w:vAlign w:val="center"/>
            <w:shd w:fill="F7F9FB"/>
          </w:tcPr>
          <w:p>
            <w:pPr>
              <w:spacing w:after="0"/>
            </w:pPr>
            <w:r>
              <w:rPr>
                <w:sz w:val="14"/>
              </w:rPr>
              <w:t>958.2</w:t>
            </w:r>
          </w:p>
        </w:tc>
        <w:tc>
          <w:tcPr>
            <w:tcW w:type="dxa" w:w="1296"/>
            <w:tcMar>
              <w:top w:w="80" w:type="dxa"/>
              <w:start w:w="80" w:type="dxa"/>
              <w:bottom w:w="80" w:type="dxa"/>
              <w:end w:w="80" w:type="dxa"/>
            </w:tcMar>
            <w:vAlign w:val="center"/>
            <w:shd w:fill="F7F9FB"/>
          </w:tcPr>
          <w:p>
            <w:pPr>
              <w:spacing w:after="0"/>
            </w:pPr>
            <w:r>
              <w:rPr>
                <w:sz w:val="14"/>
              </w:rPr>
              <w:t>9.54%</w:t>
            </w:r>
          </w:p>
        </w:tc>
        <w:tc>
          <w:tcPr>
            <w:tcW w:type="dxa" w:w="1224"/>
            <w:tcMar>
              <w:top w:w="80" w:type="dxa"/>
              <w:start w:w="80" w:type="dxa"/>
              <w:bottom w:w="80" w:type="dxa"/>
              <w:end w:w="80" w:type="dxa"/>
            </w:tcMar>
            <w:vAlign w:val="center"/>
            <w:shd w:fill="F7F9FB"/>
          </w:tcPr>
          <w:p>
            <w:pPr>
              <w:spacing w:after="0"/>
            </w:pPr>
            <w:r>
              <w:rPr>
                <w:sz w:val="14"/>
              </w:rPr>
              <w:t>-159.9</w:t>
            </w:r>
          </w:p>
        </w:tc>
      </w:tr>
      <w:tr>
        <w:tc>
          <w:tcPr>
            <w:tcW w:type="dxa" w:w="1008"/>
            <w:tcMar>
              <w:top w:w="80" w:type="dxa"/>
              <w:start w:w="80" w:type="dxa"/>
              <w:bottom w:w="80" w:type="dxa"/>
              <w:end w:w="80" w:type="dxa"/>
            </w:tcMar>
            <w:vAlign w:val="center"/>
          </w:tcPr>
          <w:p>
            <w:pPr>
              <w:spacing w:after="0"/>
            </w:pPr>
            <w:r>
              <w:rPr>
                <w:sz w:val="14"/>
              </w:rPr>
              <w:t>QLD1</w:t>
            </w:r>
          </w:p>
        </w:tc>
        <w:tc>
          <w:tcPr>
            <w:tcW w:type="dxa" w:w="1728"/>
            <w:tcMar>
              <w:top w:w="80" w:type="dxa"/>
              <w:start w:w="80" w:type="dxa"/>
              <w:bottom w:w="80" w:type="dxa"/>
              <w:end w:w="80" w:type="dxa"/>
            </w:tcMar>
            <w:vAlign w:val="center"/>
          </w:tcPr>
          <w:p>
            <w:pPr>
              <w:spacing w:after="0"/>
            </w:pPr>
            <w:r>
              <w:rPr>
                <w:sz w:val="14"/>
              </w:rPr>
              <w:t>XGBoost_A</w:t>
            </w:r>
          </w:p>
        </w:tc>
        <w:tc>
          <w:tcPr>
            <w:tcW w:type="dxa" w:w="1224"/>
            <w:tcMar>
              <w:top w:w="80" w:type="dxa"/>
              <w:start w:w="80" w:type="dxa"/>
              <w:bottom w:w="80" w:type="dxa"/>
              <w:end w:w="80" w:type="dxa"/>
            </w:tcMar>
            <w:vAlign w:val="center"/>
          </w:tcPr>
          <w:p>
            <w:pPr>
              <w:spacing w:after="0"/>
            </w:pPr>
            <w:r>
              <w:rPr>
                <w:sz w:val="14"/>
              </w:rPr>
              <w:t>463.4</w:t>
            </w:r>
          </w:p>
        </w:tc>
        <w:tc>
          <w:tcPr>
            <w:tcW w:type="dxa" w:w="1224"/>
            <w:tcMar>
              <w:top w:w="80" w:type="dxa"/>
              <w:start w:w="80" w:type="dxa"/>
              <w:bottom w:w="80" w:type="dxa"/>
              <w:end w:w="80" w:type="dxa"/>
            </w:tcMar>
            <w:vAlign w:val="center"/>
          </w:tcPr>
          <w:p>
            <w:pPr>
              <w:spacing w:after="0"/>
            </w:pPr>
            <w:r>
              <w:rPr>
                <w:sz w:val="14"/>
              </w:rPr>
              <w:t>649.6</w:t>
            </w:r>
          </w:p>
        </w:tc>
        <w:tc>
          <w:tcPr>
            <w:tcW w:type="dxa" w:w="1296"/>
            <w:tcMar>
              <w:top w:w="80" w:type="dxa"/>
              <w:start w:w="80" w:type="dxa"/>
              <w:bottom w:w="80" w:type="dxa"/>
              <w:end w:w="80" w:type="dxa"/>
            </w:tcMar>
            <w:vAlign w:val="center"/>
          </w:tcPr>
          <w:p>
            <w:pPr>
              <w:spacing w:after="0"/>
            </w:pPr>
            <w:r>
              <w:rPr>
                <w:sz w:val="14"/>
              </w:rPr>
              <w:t>8.00%</w:t>
            </w:r>
          </w:p>
        </w:tc>
        <w:tc>
          <w:tcPr>
            <w:tcW w:type="dxa" w:w="1224"/>
            <w:tcMar>
              <w:top w:w="80" w:type="dxa"/>
              <w:start w:w="80" w:type="dxa"/>
              <w:bottom w:w="80" w:type="dxa"/>
              <w:end w:w="80" w:type="dxa"/>
            </w:tcMar>
            <w:vAlign w:val="center"/>
          </w:tcPr>
          <w:p>
            <w:pPr>
              <w:spacing w:after="0"/>
            </w:pPr>
            <w:r>
              <w:rPr>
                <w:sz w:val="14"/>
              </w:rPr>
              <w:t>-134.4</w:t>
            </w:r>
          </w:p>
        </w:tc>
      </w:tr>
      <w:tr>
        <w:tc>
          <w:tcPr>
            <w:tcW w:type="dxa" w:w="1008"/>
            <w:tcMar>
              <w:top w:w="80" w:type="dxa"/>
              <w:start w:w="80" w:type="dxa"/>
              <w:bottom w:w="80" w:type="dxa"/>
              <w:end w:w="80" w:type="dxa"/>
            </w:tcMar>
            <w:vAlign w:val="center"/>
            <w:shd w:fill="F7F9FB"/>
          </w:tcPr>
          <w:p>
            <w:pPr>
              <w:spacing w:after="0"/>
            </w:pPr>
            <w:r>
              <w:rPr>
                <w:sz w:val="14"/>
              </w:rPr>
              <w:t>QLD1</w:t>
            </w:r>
          </w:p>
        </w:tc>
        <w:tc>
          <w:tcPr>
            <w:tcW w:type="dxa" w:w="1728"/>
            <w:tcMar>
              <w:top w:w="80" w:type="dxa"/>
              <w:start w:w="80" w:type="dxa"/>
              <w:bottom w:w="80" w:type="dxa"/>
              <w:end w:w="80" w:type="dxa"/>
            </w:tcMar>
            <w:vAlign w:val="center"/>
            <w:shd w:fill="F7F9FB"/>
          </w:tcPr>
          <w:p>
            <w:pPr>
              <w:spacing w:after="0"/>
            </w:pPr>
            <w:r>
              <w:rPr>
                <w:sz w:val="14"/>
              </w:rPr>
              <w:t>XGBoost_B</w:t>
            </w:r>
          </w:p>
        </w:tc>
        <w:tc>
          <w:tcPr>
            <w:tcW w:type="dxa" w:w="1224"/>
            <w:tcMar>
              <w:top w:w="80" w:type="dxa"/>
              <w:start w:w="80" w:type="dxa"/>
              <w:bottom w:w="80" w:type="dxa"/>
              <w:end w:w="80" w:type="dxa"/>
            </w:tcMar>
            <w:vAlign w:val="center"/>
            <w:shd w:fill="F7F9FB"/>
          </w:tcPr>
          <w:p>
            <w:pPr>
              <w:spacing w:after="0"/>
            </w:pPr>
            <w:r>
              <w:rPr>
                <w:sz w:val="14"/>
              </w:rPr>
              <w:t>471.7</w:t>
            </w:r>
          </w:p>
        </w:tc>
        <w:tc>
          <w:tcPr>
            <w:tcW w:type="dxa" w:w="1224"/>
            <w:tcMar>
              <w:top w:w="80" w:type="dxa"/>
              <w:start w:w="80" w:type="dxa"/>
              <w:bottom w:w="80" w:type="dxa"/>
              <w:end w:w="80" w:type="dxa"/>
            </w:tcMar>
            <w:vAlign w:val="center"/>
            <w:shd w:fill="F7F9FB"/>
          </w:tcPr>
          <w:p>
            <w:pPr>
              <w:spacing w:after="0"/>
            </w:pPr>
            <w:r>
              <w:rPr>
                <w:sz w:val="14"/>
              </w:rPr>
              <w:t>670.0</w:t>
            </w:r>
          </w:p>
        </w:tc>
        <w:tc>
          <w:tcPr>
            <w:tcW w:type="dxa" w:w="1296"/>
            <w:tcMar>
              <w:top w:w="80" w:type="dxa"/>
              <w:start w:w="80" w:type="dxa"/>
              <w:bottom w:w="80" w:type="dxa"/>
              <w:end w:w="80" w:type="dxa"/>
            </w:tcMar>
            <w:vAlign w:val="center"/>
            <w:shd w:fill="F7F9FB"/>
          </w:tcPr>
          <w:p>
            <w:pPr>
              <w:spacing w:after="0"/>
            </w:pPr>
            <w:r>
              <w:rPr>
                <w:sz w:val="14"/>
              </w:rPr>
              <w:t>8.16%</w:t>
            </w:r>
          </w:p>
        </w:tc>
        <w:tc>
          <w:tcPr>
            <w:tcW w:type="dxa" w:w="1224"/>
            <w:tcMar>
              <w:top w:w="80" w:type="dxa"/>
              <w:start w:w="80" w:type="dxa"/>
              <w:bottom w:w="80" w:type="dxa"/>
              <w:end w:w="80" w:type="dxa"/>
            </w:tcMar>
            <w:vAlign w:val="center"/>
            <w:shd w:fill="F7F9FB"/>
          </w:tcPr>
          <w:p>
            <w:pPr>
              <w:spacing w:after="0"/>
            </w:pPr>
            <w:r>
              <w:rPr>
                <w:sz w:val="14"/>
              </w:rPr>
              <w:t>-238.0</w:t>
            </w:r>
          </w:p>
        </w:tc>
      </w:tr>
      <w:tr>
        <w:tc>
          <w:tcPr>
            <w:tcW w:type="dxa" w:w="1008"/>
            <w:tcMar>
              <w:top w:w="80" w:type="dxa"/>
              <w:start w:w="80" w:type="dxa"/>
              <w:bottom w:w="80" w:type="dxa"/>
              <w:end w:w="80" w:type="dxa"/>
            </w:tcMar>
            <w:vAlign w:val="center"/>
          </w:tcPr>
          <w:p>
            <w:pPr>
              <w:spacing w:after="0"/>
            </w:pPr>
            <w:r>
              <w:rPr>
                <w:sz w:val="14"/>
              </w:rPr>
              <w:t>SA1</w:t>
            </w:r>
          </w:p>
        </w:tc>
        <w:tc>
          <w:tcPr>
            <w:tcW w:type="dxa" w:w="1728"/>
            <w:tcMar>
              <w:top w:w="80" w:type="dxa"/>
              <w:start w:w="80" w:type="dxa"/>
              <w:bottom w:w="80" w:type="dxa"/>
              <w:end w:w="80" w:type="dxa"/>
            </w:tcMar>
            <w:vAlign w:val="center"/>
          </w:tcPr>
          <w:p>
            <w:pPr>
              <w:spacing w:after="0"/>
            </w:pPr>
            <w:r>
              <w:rPr>
                <w:sz w:val="14"/>
              </w:rPr>
              <w:t>XGBoost_A</w:t>
            </w:r>
          </w:p>
        </w:tc>
        <w:tc>
          <w:tcPr>
            <w:tcW w:type="dxa" w:w="1224"/>
            <w:tcMar>
              <w:top w:w="80" w:type="dxa"/>
              <w:start w:w="80" w:type="dxa"/>
              <w:bottom w:w="80" w:type="dxa"/>
              <w:end w:w="80" w:type="dxa"/>
            </w:tcMar>
            <w:vAlign w:val="center"/>
          </w:tcPr>
          <w:p>
            <w:pPr>
              <w:spacing w:after="0"/>
            </w:pPr>
            <w:r>
              <w:rPr>
                <w:sz w:val="14"/>
              </w:rPr>
              <w:t>218.2</w:t>
            </w:r>
          </w:p>
        </w:tc>
        <w:tc>
          <w:tcPr>
            <w:tcW w:type="dxa" w:w="1224"/>
            <w:tcMar>
              <w:top w:w="80" w:type="dxa"/>
              <w:start w:w="80" w:type="dxa"/>
              <w:bottom w:w="80" w:type="dxa"/>
              <w:end w:w="80" w:type="dxa"/>
            </w:tcMar>
            <w:vAlign w:val="center"/>
          </w:tcPr>
          <w:p>
            <w:pPr>
              <w:spacing w:after="0"/>
            </w:pPr>
            <w:r>
              <w:rPr>
                <w:sz w:val="14"/>
              </w:rPr>
              <w:t>299.2</w:t>
            </w:r>
          </w:p>
        </w:tc>
        <w:tc>
          <w:tcPr>
            <w:tcW w:type="dxa" w:w="1296"/>
            <w:tcMar>
              <w:top w:w="80" w:type="dxa"/>
              <w:start w:w="80" w:type="dxa"/>
              <w:bottom w:w="80" w:type="dxa"/>
              <w:end w:w="80" w:type="dxa"/>
            </w:tcMar>
            <w:vAlign w:val="center"/>
          </w:tcPr>
          <w:p>
            <w:pPr>
              <w:spacing w:after="0"/>
            </w:pPr>
            <w:r>
              <w:rPr>
                <w:sz w:val="14"/>
              </w:rPr>
              <w:t>27.43%</w:t>
            </w:r>
          </w:p>
        </w:tc>
        <w:tc>
          <w:tcPr>
            <w:tcW w:type="dxa" w:w="1224"/>
            <w:tcMar>
              <w:top w:w="80" w:type="dxa"/>
              <w:start w:w="80" w:type="dxa"/>
              <w:bottom w:w="80" w:type="dxa"/>
              <w:end w:w="80" w:type="dxa"/>
            </w:tcMar>
            <w:vAlign w:val="center"/>
          </w:tcPr>
          <w:p>
            <w:pPr>
              <w:spacing w:after="0"/>
            </w:pPr>
            <w:r>
              <w:rPr>
                <w:sz w:val="14"/>
              </w:rPr>
              <w:t>+79.9</w:t>
            </w:r>
          </w:p>
        </w:tc>
      </w:tr>
      <w:tr>
        <w:tc>
          <w:tcPr>
            <w:tcW w:type="dxa" w:w="1008"/>
            <w:tcMar>
              <w:top w:w="80" w:type="dxa"/>
              <w:start w:w="80" w:type="dxa"/>
              <w:bottom w:w="80" w:type="dxa"/>
              <w:end w:w="80" w:type="dxa"/>
            </w:tcMar>
            <w:vAlign w:val="center"/>
            <w:shd w:fill="F7F9FB"/>
          </w:tcPr>
          <w:p>
            <w:pPr>
              <w:spacing w:after="0"/>
            </w:pPr>
            <w:r>
              <w:rPr>
                <w:sz w:val="14"/>
              </w:rPr>
              <w:t>SA1</w:t>
            </w:r>
          </w:p>
        </w:tc>
        <w:tc>
          <w:tcPr>
            <w:tcW w:type="dxa" w:w="1728"/>
            <w:tcMar>
              <w:top w:w="80" w:type="dxa"/>
              <w:start w:w="80" w:type="dxa"/>
              <w:bottom w:w="80" w:type="dxa"/>
              <w:end w:w="80" w:type="dxa"/>
            </w:tcMar>
            <w:vAlign w:val="center"/>
            <w:shd w:fill="F7F9FB"/>
          </w:tcPr>
          <w:p>
            <w:pPr>
              <w:spacing w:after="0"/>
            </w:pPr>
            <w:r>
              <w:rPr>
                <w:sz w:val="14"/>
              </w:rPr>
              <w:t>XGBoost_B</w:t>
            </w:r>
          </w:p>
        </w:tc>
        <w:tc>
          <w:tcPr>
            <w:tcW w:type="dxa" w:w="1224"/>
            <w:tcMar>
              <w:top w:w="80" w:type="dxa"/>
              <w:start w:w="80" w:type="dxa"/>
              <w:bottom w:w="80" w:type="dxa"/>
              <w:end w:w="80" w:type="dxa"/>
            </w:tcMar>
            <w:vAlign w:val="center"/>
            <w:shd w:fill="F7F9FB"/>
          </w:tcPr>
          <w:p>
            <w:pPr>
              <w:spacing w:after="0"/>
            </w:pPr>
            <w:r>
              <w:rPr>
                <w:sz w:val="14"/>
              </w:rPr>
              <w:t>198.5</w:t>
            </w:r>
          </w:p>
        </w:tc>
        <w:tc>
          <w:tcPr>
            <w:tcW w:type="dxa" w:w="1224"/>
            <w:tcMar>
              <w:top w:w="80" w:type="dxa"/>
              <w:start w:w="80" w:type="dxa"/>
              <w:bottom w:w="80" w:type="dxa"/>
              <w:end w:w="80" w:type="dxa"/>
            </w:tcMar>
            <w:vAlign w:val="center"/>
            <w:shd w:fill="F7F9FB"/>
          </w:tcPr>
          <w:p>
            <w:pPr>
              <w:spacing w:after="0"/>
            </w:pPr>
            <w:r>
              <w:rPr>
                <w:sz w:val="14"/>
              </w:rPr>
              <w:t>292.1</w:t>
            </w:r>
          </w:p>
        </w:tc>
        <w:tc>
          <w:tcPr>
            <w:tcW w:type="dxa" w:w="1296"/>
            <w:tcMar>
              <w:top w:w="80" w:type="dxa"/>
              <w:start w:w="80" w:type="dxa"/>
              <w:bottom w:w="80" w:type="dxa"/>
              <w:end w:w="80" w:type="dxa"/>
            </w:tcMar>
            <w:vAlign w:val="center"/>
            <w:shd w:fill="F7F9FB"/>
          </w:tcPr>
          <w:p>
            <w:pPr>
              <w:spacing w:after="0"/>
            </w:pPr>
            <w:r>
              <w:rPr>
                <w:sz w:val="14"/>
              </w:rPr>
              <w:t>26.21%</w:t>
            </w:r>
          </w:p>
        </w:tc>
        <w:tc>
          <w:tcPr>
            <w:tcW w:type="dxa" w:w="1224"/>
            <w:tcMar>
              <w:top w:w="80" w:type="dxa"/>
              <w:start w:w="80" w:type="dxa"/>
              <w:bottom w:w="80" w:type="dxa"/>
              <w:end w:w="80" w:type="dxa"/>
            </w:tcMar>
            <w:vAlign w:val="center"/>
            <w:shd w:fill="F7F9FB"/>
          </w:tcPr>
          <w:p>
            <w:pPr>
              <w:spacing w:after="0"/>
            </w:pPr>
            <w:r>
              <w:rPr>
                <w:sz w:val="14"/>
              </w:rPr>
              <w:t>+27.8</w:t>
            </w:r>
          </w:p>
        </w:tc>
      </w:tr>
      <w:tr>
        <w:tc>
          <w:tcPr>
            <w:tcW w:type="dxa" w:w="1008"/>
            <w:tcMar>
              <w:top w:w="80" w:type="dxa"/>
              <w:start w:w="80" w:type="dxa"/>
              <w:bottom w:w="80" w:type="dxa"/>
              <w:end w:w="80" w:type="dxa"/>
            </w:tcMar>
            <w:vAlign w:val="center"/>
          </w:tcPr>
          <w:p>
            <w:pPr>
              <w:spacing w:after="0"/>
            </w:pPr>
            <w:r>
              <w:rPr>
                <w:sz w:val="14"/>
              </w:rPr>
              <w:t>TAS1</w:t>
            </w:r>
          </w:p>
        </w:tc>
        <w:tc>
          <w:tcPr>
            <w:tcW w:type="dxa" w:w="1728"/>
            <w:tcMar>
              <w:top w:w="80" w:type="dxa"/>
              <w:start w:w="80" w:type="dxa"/>
              <w:bottom w:w="80" w:type="dxa"/>
              <w:end w:w="80" w:type="dxa"/>
            </w:tcMar>
            <w:vAlign w:val="center"/>
          </w:tcPr>
          <w:p>
            <w:pPr>
              <w:spacing w:after="0"/>
            </w:pPr>
            <w:r>
              <w:rPr>
                <w:sz w:val="14"/>
              </w:rPr>
              <w:t>XGBoost_A</w:t>
            </w:r>
          </w:p>
        </w:tc>
        <w:tc>
          <w:tcPr>
            <w:tcW w:type="dxa" w:w="1224"/>
            <w:tcMar>
              <w:top w:w="80" w:type="dxa"/>
              <w:start w:w="80" w:type="dxa"/>
              <w:bottom w:w="80" w:type="dxa"/>
              <w:end w:w="80" w:type="dxa"/>
            </w:tcMar>
            <w:vAlign w:val="center"/>
          </w:tcPr>
          <w:p>
            <w:pPr>
              <w:spacing w:after="0"/>
            </w:pPr>
            <w:r>
              <w:rPr>
                <w:sz w:val="14"/>
              </w:rPr>
              <w:t>76.4</w:t>
            </w:r>
          </w:p>
        </w:tc>
        <w:tc>
          <w:tcPr>
            <w:tcW w:type="dxa" w:w="1224"/>
            <w:tcMar>
              <w:top w:w="80" w:type="dxa"/>
              <w:start w:w="80" w:type="dxa"/>
              <w:bottom w:w="80" w:type="dxa"/>
              <w:end w:w="80" w:type="dxa"/>
            </w:tcMar>
            <w:vAlign w:val="center"/>
          </w:tcPr>
          <w:p>
            <w:pPr>
              <w:spacing w:after="0"/>
            </w:pPr>
            <w:r>
              <w:rPr>
                <w:sz w:val="14"/>
              </w:rPr>
              <w:t>96.9</w:t>
            </w:r>
          </w:p>
        </w:tc>
        <w:tc>
          <w:tcPr>
            <w:tcW w:type="dxa" w:w="1296"/>
            <w:tcMar>
              <w:top w:w="80" w:type="dxa"/>
              <w:start w:w="80" w:type="dxa"/>
              <w:bottom w:w="80" w:type="dxa"/>
              <w:end w:w="80" w:type="dxa"/>
            </w:tcMar>
            <w:vAlign w:val="center"/>
          </w:tcPr>
          <w:p>
            <w:pPr>
              <w:spacing w:after="0"/>
            </w:pPr>
            <w:r>
              <w:rPr>
                <w:sz w:val="14"/>
              </w:rPr>
              <w:t>7.37%</w:t>
            </w:r>
          </w:p>
        </w:tc>
        <w:tc>
          <w:tcPr>
            <w:tcW w:type="dxa" w:w="1224"/>
            <w:tcMar>
              <w:top w:w="80" w:type="dxa"/>
              <w:start w:w="80" w:type="dxa"/>
              <w:bottom w:w="80" w:type="dxa"/>
              <w:end w:w="80" w:type="dxa"/>
            </w:tcMar>
            <w:vAlign w:val="center"/>
          </w:tcPr>
          <w:p>
            <w:pPr>
              <w:spacing w:after="0"/>
            </w:pPr>
            <w:r>
              <w:rPr>
                <w:sz w:val="14"/>
              </w:rPr>
              <w:t>+43.2</w:t>
            </w:r>
          </w:p>
        </w:tc>
      </w:tr>
      <w:tr>
        <w:tc>
          <w:tcPr>
            <w:tcW w:type="dxa" w:w="1008"/>
            <w:tcMar>
              <w:top w:w="80" w:type="dxa"/>
              <w:start w:w="80" w:type="dxa"/>
              <w:bottom w:w="80" w:type="dxa"/>
              <w:end w:w="80" w:type="dxa"/>
            </w:tcMar>
            <w:vAlign w:val="center"/>
            <w:shd w:fill="F7F9FB"/>
          </w:tcPr>
          <w:p>
            <w:pPr>
              <w:spacing w:after="0"/>
            </w:pPr>
            <w:r>
              <w:rPr>
                <w:sz w:val="14"/>
              </w:rPr>
              <w:t>TAS1</w:t>
            </w:r>
          </w:p>
        </w:tc>
        <w:tc>
          <w:tcPr>
            <w:tcW w:type="dxa" w:w="1728"/>
            <w:tcMar>
              <w:top w:w="80" w:type="dxa"/>
              <w:start w:w="80" w:type="dxa"/>
              <w:bottom w:w="80" w:type="dxa"/>
              <w:end w:w="80" w:type="dxa"/>
            </w:tcMar>
            <w:vAlign w:val="center"/>
            <w:shd w:fill="F7F9FB"/>
          </w:tcPr>
          <w:p>
            <w:pPr>
              <w:spacing w:after="0"/>
            </w:pPr>
            <w:r>
              <w:rPr>
                <w:sz w:val="14"/>
              </w:rPr>
              <w:t>XGBoost_B</w:t>
            </w:r>
          </w:p>
        </w:tc>
        <w:tc>
          <w:tcPr>
            <w:tcW w:type="dxa" w:w="1224"/>
            <w:tcMar>
              <w:top w:w="80" w:type="dxa"/>
              <w:start w:w="80" w:type="dxa"/>
              <w:bottom w:w="80" w:type="dxa"/>
              <w:end w:w="80" w:type="dxa"/>
            </w:tcMar>
            <w:vAlign w:val="center"/>
            <w:shd w:fill="F7F9FB"/>
          </w:tcPr>
          <w:p>
            <w:pPr>
              <w:spacing w:after="0"/>
            </w:pPr>
            <w:r>
              <w:rPr>
                <w:sz w:val="14"/>
              </w:rPr>
              <w:t>73.5</w:t>
            </w:r>
          </w:p>
        </w:tc>
        <w:tc>
          <w:tcPr>
            <w:tcW w:type="dxa" w:w="1224"/>
            <w:tcMar>
              <w:top w:w="80" w:type="dxa"/>
              <w:start w:w="80" w:type="dxa"/>
              <w:bottom w:w="80" w:type="dxa"/>
              <w:end w:w="80" w:type="dxa"/>
            </w:tcMar>
            <w:vAlign w:val="center"/>
            <w:shd w:fill="F7F9FB"/>
          </w:tcPr>
          <w:p>
            <w:pPr>
              <w:spacing w:after="0"/>
            </w:pPr>
            <w:r>
              <w:rPr>
                <w:sz w:val="14"/>
              </w:rPr>
              <w:t>92.9</w:t>
            </w:r>
          </w:p>
        </w:tc>
        <w:tc>
          <w:tcPr>
            <w:tcW w:type="dxa" w:w="1296"/>
            <w:tcMar>
              <w:top w:w="80" w:type="dxa"/>
              <w:start w:w="80" w:type="dxa"/>
              <w:bottom w:w="80" w:type="dxa"/>
              <w:end w:w="80" w:type="dxa"/>
            </w:tcMar>
            <w:vAlign w:val="center"/>
            <w:shd w:fill="F7F9FB"/>
          </w:tcPr>
          <w:p>
            <w:pPr>
              <w:spacing w:after="0"/>
            </w:pPr>
            <w:r>
              <w:rPr>
                <w:sz w:val="14"/>
              </w:rPr>
              <w:t>7.12%</w:t>
            </w:r>
          </w:p>
        </w:tc>
        <w:tc>
          <w:tcPr>
            <w:tcW w:type="dxa" w:w="1224"/>
            <w:tcMar>
              <w:top w:w="80" w:type="dxa"/>
              <w:start w:w="80" w:type="dxa"/>
              <w:bottom w:w="80" w:type="dxa"/>
              <w:end w:w="80" w:type="dxa"/>
            </w:tcMar>
            <w:vAlign w:val="center"/>
            <w:shd w:fill="F7F9FB"/>
          </w:tcPr>
          <w:p>
            <w:pPr>
              <w:spacing w:after="0"/>
            </w:pPr>
            <w:r>
              <w:rPr>
                <w:sz w:val="14"/>
              </w:rPr>
              <w:t>+36.3</w:t>
            </w:r>
          </w:p>
        </w:tc>
      </w:tr>
      <w:tr>
        <w:tc>
          <w:tcPr>
            <w:tcW w:type="dxa" w:w="1008"/>
            <w:tcMar>
              <w:top w:w="80" w:type="dxa"/>
              <w:start w:w="80" w:type="dxa"/>
              <w:bottom w:w="80" w:type="dxa"/>
              <w:end w:w="80" w:type="dxa"/>
            </w:tcMar>
            <w:vAlign w:val="center"/>
          </w:tcPr>
          <w:p>
            <w:pPr>
              <w:spacing w:after="0"/>
            </w:pPr>
            <w:r>
              <w:rPr>
                <w:sz w:val="14"/>
              </w:rPr>
              <w:t>VIC1</w:t>
            </w:r>
          </w:p>
        </w:tc>
        <w:tc>
          <w:tcPr>
            <w:tcW w:type="dxa" w:w="1728"/>
            <w:tcMar>
              <w:top w:w="80" w:type="dxa"/>
              <w:start w:w="80" w:type="dxa"/>
              <w:bottom w:w="80" w:type="dxa"/>
              <w:end w:w="80" w:type="dxa"/>
            </w:tcMar>
            <w:vAlign w:val="center"/>
          </w:tcPr>
          <w:p>
            <w:pPr>
              <w:spacing w:after="0"/>
            </w:pPr>
            <w:r>
              <w:rPr>
                <w:sz w:val="14"/>
              </w:rPr>
              <w:t>XGBoost_A</w:t>
            </w:r>
          </w:p>
        </w:tc>
        <w:tc>
          <w:tcPr>
            <w:tcW w:type="dxa" w:w="1224"/>
            <w:tcMar>
              <w:top w:w="80" w:type="dxa"/>
              <w:start w:w="80" w:type="dxa"/>
              <w:bottom w:w="80" w:type="dxa"/>
              <w:end w:w="80" w:type="dxa"/>
            </w:tcMar>
            <w:vAlign w:val="center"/>
          </w:tcPr>
          <w:p>
            <w:pPr>
              <w:spacing w:after="0"/>
            </w:pPr>
            <w:r>
              <w:rPr>
                <w:sz w:val="14"/>
              </w:rPr>
              <w:t>482.6</w:t>
            </w:r>
          </w:p>
        </w:tc>
        <w:tc>
          <w:tcPr>
            <w:tcW w:type="dxa" w:w="1224"/>
            <w:tcMar>
              <w:top w:w="80" w:type="dxa"/>
              <w:start w:w="80" w:type="dxa"/>
              <w:bottom w:w="80" w:type="dxa"/>
              <w:end w:w="80" w:type="dxa"/>
            </w:tcMar>
            <w:vAlign w:val="center"/>
          </w:tcPr>
          <w:p>
            <w:pPr>
              <w:spacing w:after="0"/>
            </w:pPr>
            <w:r>
              <w:rPr>
                <w:sz w:val="14"/>
              </w:rPr>
              <w:t>676.4</w:t>
            </w:r>
          </w:p>
        </w:tc>
        <w:tc>
          <w:tcPr>
            <w:tcW w:type="dxa" w:w="1296"/>
            <w:tcMar>
              <w:top w:w="80" w:type="dxa"/>
              <w:start w:w="80" w:type="dxa"/>
              <w:bottom w:w="80" w:type="dxa"/>
              <w:end w:w="80" w:type="dxa"/>
            </w:tcMar>
            <w:vAlign w:val="center"/>
          </w:tcPr>
          <w:p>
            <w:pPr>
              <w:spacing w:after="0"/>
            </w:pPr>
            <w:r>
              <w:rPr>
                <w:sz w:val="14"/>
              </w:rPr>
              <w:t>11.91%</w:t>
            </w:r>
          </w:p>
        </w:tc>
        <w:tc>
          <w:tcPr>
            <w:tcW w:type="dxa" w:w="1224"/>
            <w:tcMar>
              <w:top w:w="80" w:type="dxa"/>
              <w:start w:w="80" w:type="dxa"/>
              <w:bottom w:w="80" w:type="dxa"/>
              <w:end w:w="80" w:type="dxa"/>
            </w:tcMar>
            <w:vAlign w:val="center"/>
          </w:tcPr>
          <w:p>
            <w:pPr>
              <w:spacing w:after="0"/>
            </w:pPr>
            <w:r>
              <w:rPr>
                <w:sz w:val="14"/>
              </w:rPr>
              <w:t>+45.6</w:t>
            </w:r>
          </w:p>
        </w:tc>
      </w:tr>
      <w:tr>
        <w:tc>
          <w:tcPr>
            <w:tcW w:type="dxa" w:w="1008"/>
            <w:tcMar>
              <w:top w:w="80" w:type="dxa"/>
              <w:start w:w="80" w:type="dxa"/>
              <w:bottom w:w="80" w:type="dxa"/>
              <w:end w:w="80" w:type="dxa"/>
            </w:tcMar>
            <w:vAlign w:val="center"/>
            <w:shd w:fill="F7F9FB"/>
          </w:tcPr>
          <w:p>
            <w:pPr>
              <w:spacing w:after="0"/>
            </w:pPr>
            <w:r>
              <w:rPr>
                <w:sz w:val="14"/>
              </w:rPr>
              <w:t>VIC1</w:t>
            </w:r>
          </w:p>
        </w:tc>
        <w:tc>
          <w:tcPr>
            <w:tcW w:type="dxa" w:w="1728"/>
            <w:tcMar>
              <w:top w:w="80" w:type="dxa"/>
              <w:start w:w="80" w:type="dxa"/>
              <w:bottom w:w="80" w:type="dxa"/>
              <w:end w:w="80" w:type="dxa"/>
            </w:tcMar>
            <w:vAlign w:val="center"/>
            <w:shd w:fill="F7F9FB"/>
          </w:tcPr>
          <w:p>
            <w:pPr>
              <w:spacing w:after="0"/>
            </w:pPr>
            <w:r>
              <w:rPr>
                <w:sz w:val="14"/>
              </w:rPr>
              <w:t>XGBoost_B</w:t>
            </w:r>
          </w:p>
        </w:tc>
        <w:tc>
          <w:tcPr>
            <w:tcW w:type="dxa" w:w="1224"/>
            <w:tcMar>
              <w:top w:w="80" w:type="dxa"/>
              <w:start w:w="80" w:type="dxa"/>
              <w:bottom w:w="80" w:type="dxa"/>
              <w:end w:w="80" w:type="dxa"/>
            </w:tcMar>
            <w:vAlign w:val="center"/>
            <w:shd w:fill="F7F9FB"/>
          </w:tcPr>
          <w:p>
            <w:pPr>
              <w:spacing w:after="0"/>
            </w:pPr>
            <w:r>
              <w:rPr>
                <w:sz w:val="14"/>
              </w:rPr>
              <w:t>483.1</w:t>
            </w:r>
          </w:p>
        </w:tc>
        <w:tc>
          <w:tcPr>
            <w:tcW w:type="dxa" w:w="1224"/>
            <w:tcMar>
              <w:top w:w="80" w:type="dxa"/>
              <w:start w:w="80" w:type="dxa"/>
              <w:bottom w:w="80" w:type="dxa"/>
              <w:end w:w="80" w:type="dxa"/>
            </w:tcMar>
            <w:vAlign w:val="center"/>
            <w:shd w:fill="F7F9FB"/>
          </w:tcPr>
          <w:p>
            <w:pPr>
              <w:spacing w:after="0"/>
            </w:pPr>
            <w:r>
              <w:rPr>
                <w:sz w:val="14"/>
              </w:rPr>
              <w:t>691.6</w:t>
            </w:r>
          </w:p>
        </w:tc>
        <w:tc>
          <w:tcPr>
            <w:tcW w:type="dxa" w:w="1296"/>
            <w:tcMar>
              <w:top w:w="80" w:type="dxa"/>
              <w:start w:w="80" w:type="dxa"/>
              <w:bottom w:w="80" w:type="dxa"/>
              <w:end w:w="80" w:type="dxa"/>
            </w:tcMar>
            <w:vAlign w:val="center"/>
            <w:shd w:fill="F7F9FB"/>
          </w:tcPr>
          <w:p>
            <w:pPr>
              <w:spacing w:after="0"/>
            </w:pPr>
            <w:r>
              <w:rPr>
                <w:sz w:val="14"/>
              </w:rPr>
              <w:t>12.01%</w:t>
            </w:r>
          </w:p>
        </w:tc>
        <w:tc>
          <w:tcPr>
            <w:tcW w:type="dxa" w:w="1224"/>
            <w:tcMar>
              <w:top w:w="80" w:type="dxa"/>
              <w:start w:w="80" w:type="dxa"/>
              <w:bottom w:w="80" w:type="dxa"/>
              <w:end w:w="80" w:type="dxa"/>
            </w:tcMar>
            <w:vAlign w:val="center"/>
            <w:shd w:fill="F7F9FB"/>
          </w:tcPr>
          <w:p>
            <w:pPr>
              <w:spacing w:after="0"/>
            </w:pPr>
            <w:r>
              <w:rPr>
                <w:sz w:val="14"/>
              </w:rPr>
              <w:t>+3.6</w:t>
            </w:r>
          </w:p>
        </w:tc>
      </w:tr>
      <w:tr>
        <w:tc>
          <w:tcPr>
            <w:tcW w:type="dxa" w:w="1008"/>
            <w:tcMar>
              <w:top w:w="80" w:type="dxa"/>
              <w:start w:w="80" w:type="dxa"/>
              <w:bottom w:w="80" w:type="dxa"/>
              <w:end w:w="80" w:type="dxa"/>
            </w:tcMar>
            <w:vAlign w:val="center"/>
          </w:tcPr>
          <w:p>
            <w:pPr>
              <w:spacing w:after="0"/>
            </w:pPr>
            <w:r>
              <w:rPr>
                <w:sz w:val="14"/>
              </w:rPr>
              <w:t>WA</w:t>
            </w:r>
          </w:p>
        </w:tc>
        <w:tc>
          <w:tcPr>
            <w:tcW w:type="dxa" w:w="1728"/>
            <w:tcMar>
              <w:top w:w="80" w:type="dxa"/>
              <w:start w:w="80" w:type="dxa"/>
              <w:bottom w:w="80" w:type="dxa"/>
              <w:end w:w="80" w:type="dxa"/>
            </w:tcMar>
            <w:vAlign w:val="center"/>
          </w:tcPr>
          <w:p>
            <w:pPr>
              <w:spacing w:after="0"/>
            </w:pPr>
            <w:r>
              <w:rPr>
                <w:sz w:val="14"/>
              </w:rPr>
              <w:t>XGBoost_A</w:t>
            </w:r>
          </w:p>
        </w:tc>
        <w:tc>
          <w:tcPr>
            <w:tcW w:type="dxa" w:w="1224"/>
            <w:tcMar>
              <w:top w:w="80" w:type="dxa"/>
              <w:start w:w="80" w:type="dxa"/>
              <w:bottom w:w="80" w:type="dxa"/>
              <w:end w:w="80" w:type="dxa"/>
            </w:tcMar>
            <w:vAlign w:val="center"/>
          </w:tcPr>
          <w:p>
            <w:pPr>
              <w:spacing w:after="0"/>
            </w:pPr>
            <w:r>
              <w:rPr>
                <w:sz w:val="14"/>
              </w:rPr>
              <w:t>273.5</w:t>
            </w:r>
          </w:p>
        </w:tc>
        <w:tc>
          <w:tcPr>
            <w:tcW w:type="dxa" w:w="1224"/>
            <w:tcMar>
              <w:top w:w="80" w:type="dxa"/>
              <w:start w:w="80" w:type="dxa"/>
              <w:bottom w:w="80" w:type="dxa"/>
              <w:end w:w="80" w:type="dxa"/>
            </w:tcMar>
            <w:vAlign w:val="center"/>
          </w:tcPr>
          <w:p>
            <w:pPr>
              <w:spacing w:after="0"/>
            </w:pPr>
            <w:r>
              <w:rPr>
                <w:sz w:val="14"/>
              </w:rPr>
              <w:t>363.8</w:t>
            </w:r>
          </w:p>
        </w:tc>
        <w:tc>
          <w:tcPr>
            <w:tcW w:type="dxa" w:w="1296"/>
            <w:tcMar>
              <w:top w:w="80" w:type="dxa"/>
              <w:start w:w="80" w:type="dxa"/>
              <w:bottom w:w="80" w:type="dxa"/>
              <w:end w:w="80" w:type="dxa"/>
            </w:tcMar>
            <w:vAlign w:val="center"/>
          </w:tcPr>
          <w:p>
            <w:pPr>
              <w:spacing w:after="0"/>
            </w:pPr>
            <w:r>
              <w:rPr>
                <w:sz w:val="14"/>
              </w:rPr>
              <w:t>15.26%</w:t>
            </w:r>
          </w:p>
        </w:tc>
        <w:tc>
          <w:tcPr>
            <w:tcW w:type="dxa" w:w="1224"/>
            <w:tcMar>
              <w:top w:w="80" w:type="dxa"/>
              <w:start w:w="80" w:type="dxa"/>
              <w:bottom w:w="80" w:type="dxa"/>
              <w:end w:w="80" w:type="dxa"/>
            </w:tcMar>
            <w:vAlign w:val="center"/>
          </w:tcPr>
          <w:p>
            <w:pPr>
              <w:spacing w:after="0"/>
            </w:pPr>
            <w:r>
              <w:rPr>
                <w:sz w:val="14"/>
              </w:rPr>
              <w:t>-38.4</w:t>
            </w:r>
          </w:p>
        </w:tc>
      </w:tr>
      <w:tr>
        <w:tc>
          <w:tcPr>
            <w:tcW w:type="dxa" w:w="1008"/>
            <w:tcMar>
              <w:top w:w="80" w:type="dxa"/>
              <w:start w:w="80" w:type="dxa"/>
              <w:bottom w:w="80" w:type="dxa"/>
              <w:end w:w="80" w:type="dxa"/>
            </w:tcMar>
            <w:vAlign w:val="center"/>
            <w:shd w:fill="F7F9FB"/>
          </w:tcPr>
          <w:p>
            <w:pPr>
              <w:spacing w:after="0"/>
            </w:pPr>
            <w:r>
              <w:rPr>
                <w:sz w:val="14"/>
              </w:rPr>
              <w:t>WA</w:t>
            </w:r>
          </w:p>
        </w:tc>
        <w:tc>
          <w:tcPr>
            <w:tcW w:type="dxa" w:w="1728"/>
            <w:tcMar>
              <w:top w:w="80" w:type="dxa"/>
              <w:start w:w="80" w:type="dxa"/>
              <w:bottom w:w="80" w:type="dxa"/>
              <w:end w:w="80" w:type="dxa"/>
            </w:tcMar>
            <w:vAlign w:val="center"/>
            <w:shd w:fill="F7F9FB"/>
          </w:tcPr>
          <w:p>
            <w:pPr>
              <w:spacing w:after="0"/>
            </w:pPr>
            <w:r>
              <w:rPr>
                <w:sz w:val="14"/>
              </w:rPr>
              <w:t>XGBoost_B</w:t>
            </w:r>
          </w:p>
        </w:tc>
        <w:tc>
          <w:tcPr>
            <w:tcW w:type="dxa" w:w="1224"/>
            <w:tcMar>
              <w:top w:w="80" w:type="dxa"/>
              <w:start w:w="80" w:type="dxa"/>
              <w:bottom w:w="80" w:type="dxa"/>
              <w:end w:w="80" w:type="dxa"/>
            </w:tcMar>
            <w:vAlign w:val="center"/>
            <w:shd w:fill="F7F9FB"/>
          </w:tcPr>
          <w:p>
            <w:pPr>
              <w:spacing w:after="0"/>
            </w:pPr>
            <w:r>
              <w:rPr>
                <w:sz w:val="14"/>
              </w:rPr>
              <w:t>220.3</w:t>
            </w:r>
          </w:p>
        </w:tc>
        <w:tc>
          <w:tcPr>
            <w:tcW w:type="dxa" w:w="1224"/>
            <w:tcMar>
              <w:top w:w="80" w:type="dxa"/>
              <w:start w:w="80" w:type="dxa"/>
              <w:bottom w:w="80" w:type="dxa"/>
              <w:end w:w="80" w:type="dxa"/>
            </w:tcMar>
            <w:vAlign w:val="center"/>
            <w:shd w:fill="F7F9FB"/>
          </w:tcPr>
          <w:p>
            <w:pPr>
              <w:spacing w:after="0"/>
            </w:pPr>
            <w:r>
              <w:rPr>
                <w:sz w:val="14"/>
              </w:rPr>
              <w:t>322.5</w:t>
            </w:r>
          </w:p>
        </w:tc>
        <w:tc>
          <w:tcPr>
            <w:tcW w:type="dxa" w:w="1296"/>
            <w:tcMar>
              <w:top w:w="80" w:type="dxa"/>
              <w:start w:w="80" w:type="dxa"/>
              <w:bottom w:w="80" w:type="dxa"/>
              <w:end w:w="80" w:type="dxa"/>
            </w:tcMar>
            <w:vAlign w:val="center"/>
            <w:shd w:fill="F7F9FB"/>
          </w:tcPr>
          <w:p>
            <w:pPr>
              <w:spacing w:after="0"/>
            </w:pPr>
            <w:r>
              <w:rPr>
                <w:sz w:val="14"/>
              </w:rPr>
              <w:t>12.47%</w:t>
            </w:r>
          </w:p>
        </w:tc>
        <w:tc>
          <w:tcPr>
            <w:tcW w:type="dxa" w:w="1224"/>
            <w:tcMar>
              <w:top w:w="80" w:type="dxa"/>
              <w:start w:w="80" w:type="dxa"/>
              <w:bottom w:w="80" w:type="dxa"/>
              <w:end w:w="80" w:type="dxa"/>
            </w:tcMar>
            <w:vAlign w:val="center"/>
            <w:shd w:fill="F7F9FB"/>
          </w:tcPr>
          <w:p>
            <w:pPr>
              <w:spacing w:after="0"/>
            </w:pPr>
            <w:r>
              <w:rPr>
                <w:sz w:val="14"/>
              </w:rPr>
              <w:t>-91.6</w:t>
            </w:r>
          </w:p>
        </w:tc>
      </w:tr>
    </w:tbl>
    <w:p>
      <w:pPr>
        <w:spacing w:after="20"/>
      </w:pPr>
    </w:p>
    <w:p>
      <w:pPr>
        <w:spacing w:after="100"/>
      </w:pPr>
      <w:r>
        <w:t>XGBoost is competitive but not selected overall in the final six-region result. TAS1 Model B family selection uses XGBoost_B when the comparison is restricted to weather-enhanced tree models, showing that the family contributes useful challenger evidence even though Random Forest is the final overall winner.</w:t>
      </w:r>
    </w:p>
    <w:p>
      <w:pPr>
        <w:pStyle w:val="Heading1"/>
      </w:pPr>
      <w:r>
        <w:t>3. Recursive time-series engine</w:t>
      </w:r>
    </w:p>
    <w:p>
      <w:pPr>
        <w:spacing w:after="100"/>
      </w:pPr>
      <w:r>
        <w:t>The four-month horizon cannot rely on a one-step backtest shortcut. At the forecast origin, lag_48, lag_96 and lag_336 initially reference genuine history. As time advances, those references eventually land inside the forecast horizon and therefore must use earlier model predictions. Suraj’s recursion engine advances in 48-interval (one-day) blocks, recalculates demand-derived features from the evolving history/prediction array, and records provenance for every required lag.</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2880"/>
            <w:shd w:fill="17365D"/>
            <w:tcMar>
              <w:top w:w="80" w:type="dxa"/>
              <w:start w:w="80" w:type="dxa"/>
              <w:bottom w:w="80" w:type="dxa"/>
              <w:end w:w="80" w:type="dxa"/>
            </w:tcMar>
            <w:vAlign w:val="center"/>
          </w:tcPr>
          <w:p>
            <w:r>
              <w:rPr>
                <w:b/>
                <w:color w:val="FFFFFF"/>
                <w:sz w:val="16"/>
              </w:rPr>
              <w:t>Lag provenance label</w:t>
            </w:r>
          </w:p>
        </w:tc>
        <w:tc>
          <w:tcPr>
            <w:tcW w:type="dxa" w:w="7200"/>
            <w:shd w:fill="17365D"/>
            <w:tcMar>
              <w:top w:w="80" w:type="dxa"/>
              <w:start w:w="80" w:type="dxa"/>
              <w:bottom w:w="80" w:type="dxa"/>
              <w:end w:w="80" w:type="dxa"/>
            </w:tcMar>
            <w:vAlign w:val="center"/>
          </w:tcPr>
          <w:p>
            <w:r>
              <w:rPr>
                <w:b/>
                <w:color w:val="FFFFFF"/>
                <w:sz w:val="16"/>
              </w:rPr>
              <w:t>Meaning for a forecast row</w:t>
            </w:r>
          </w:p>
        </w:tc>
      </w:tr>
      <w:tr>
        <w:tc>
          <w:tcPr>
            <w:tcW w:type="dxa" w:w="2880"/>
            <w:tcMar>
              <w:top w:w="80" w:type="dxa"/>
              <w:start w:w="80" w:type="dxa"/>
              <w:bottom w:w="80" w:type="dxa"/>
              <w:end w:w="80" w:type="dxa"/>
            </w:tcMar>
            <w:vAlign w:val="center"/>
          </w:tcPr>
          <w:p>
            <w:pPr>
              <w:spacing w:after="0"/>
            </w:pPr>
            <w:r>
              <w:rPr>
                <w:sz w:val="16"/>
              </w:rPr>
              <w:t>ACTUAL_HISTORY</w:t>
            </w:r>
          </w:p>
        </w:tc>
        <w:tc>
          <w:tcPr>
            <w:tcW w:type="dxa" w:w="7200"/>
            <w:tcMar>
              <w:top w:w="80" w:type="dxa"/>
              <w:start w:w="80" w:type="dxa"/>
              <w:bottom w:w="80" w:type="dxa"/>
              <w:end w:w="80" w:type="dxa"/>
            </w:tcMar>
            <w:vAlign w:val="center"/>
          </w:tcPr>
          <w:p>
            <w:pPr>
              <w:spacing w:after="0"/>
            </w:pPr>
            <w:r>
              <w:rPr>
                <w:sz w:val="16"/>
              </w:rPr>
              <w:t>The referenced lag falls before the forecast origin and comes from observed training history.</w:t>
            </w:r>
          </w:p>
        </w:tc>
      </w:tr>
      <w:tr>
        <w:tc>
          <w:tcPr>
            <w:tcW w:type="dxa" w:w="2880"/>
            <w:tcMar>
              <w:top w:w="80" w:type="dxa"/>
              <w:start w:w="80" w:type="dxa"/>
              <w:bottom w:w="80" w:type="dxa"/>
              <w:end w:w="80" w:type="dxa"/>
            </w:tcMar>
            <w:vAlign w:val="center"/>
            <w:shd w:fill="F7F9FB"/>
          </w:tcPr>
          <w:p>
            <w:pPr>
              <w:spacing w:after="0"/>
            </w:pPr>
            <w:r>
              <w:rPr>
                <w:sz w:val="16"/>
              </w:rPr>
              <w:t>RECURSIVE_FORECAST</w:t>
            </w:r>
          </w:p>
        </w:tc>
        <w:tc>
          <w:tcPr>
            <w:tcW w:type="dxa" w:w="7200"/>
            <w:tcMar>
              <w:top w:w="80" w:type="dxa"/>
              <w:start w:w="80" w:type="dxa"/>
              <w:bottom w:w="80" w:type="dxa"/>
              <w:end w:w="80" w:type="dxa"/>
            </w:tcMar>
            <w:vAlign w:val="center"/>
            <w:shd w:fill="F7F9FB"/>
          </w:tcPr>
          <w:p>
            <w:pPr>
              <w:spacing w:after="0"/>
            </w:pPr>
            <w:r>
              <w:rPr>
                <w:sz w:val="16"/>
              </w:rPr>
              <w:t>The lag falls at or after the forecast origin and therefore comes from an earlier model prediction.</w:t>
            </w:r>
          </w:p>
        </w:tc>
      </w:tr>
      <w:tr>
        <w:tc>
          <w:tcPr>
            <w:tcW w:type="dxa" w:w="2880"/>
            <w:tcMar>
              <w:top w:w="80" w:type="dxa"/>
              <w:start w:w="80" w:type="dxa"/>
              <w:bottom w:w="80" w:type="dxa"/>
              <w:end w:w="80" w:type="dxa"/>
            </w:tcMar>
            <w:vAlign w:val="center"/>
          </w:tcPr>
          <w:p>
            <w:pPr>
              <w:spacing w:after="0"/>
            </w:pPr>
            <w:r>
              <w:rPr>
                <w:sz w:val="16"/>
              </w:rPr>
              <w:t>MISSING</w:t>
            </w:r>
          </w:p>
        </w:tc>
        <w:tc>
          <w:tcPr>
            <w:tcW w:type="dxa" w:w="7200"/>
            <w:tcMar>
              <w:top w:w="80" w:type="dxa"/>
              <w:start w:w="80" w:type="dxa"/>
              <w:bottom w:w="80" w:type="dxa"/>
              <w:end w:w="80" w:type="dxa"/>
            </w:tcMar>
            <w:vAlign w:val="center"/>
          </w:tcPr>
          <w:p>
            <w:pPr>
              <w:spacing w:after="0"/>
            </w:pPr>
            <w:r>
              <w:rPr>
                <w:sz w:val="16"/>
              </w:rPr>
              <w:t>No valid lag reference exists in the available timeline.</w:t>
            </w:r>
          </w:p>
        </w:tc>
      </w:tr>
    </w:tbl>
    <w:p>
      <w:pPr>
        <w:spacing w:after="20"/>
      </w:pPr>
    </w:p>
    <w:p>
      <w:pPr>
        <w:spacing w:after="100"/>
      </w:pPr>
      <w:r>
        <w:t>This provenance prevents a common long-horizon error: filling a future lag with the actual value that happened later. The final leakage suite reports 78/78 PASS, including the recursive-lag provenance rule.</w:t>
      </w:r>
    </w:p>
    <w:p>
      <w:pPr>
        <w:pStyle w:val="Heading1"/>
      </w:pPr>
      <w:r>
        <w:t>4. Frozen month-start four-month forecast</w:t>
      </w:r>
    </w:p>
    <w:p>
      <w:pPr>
        <w:spacing w:after="100"/>
      </w:pPr>
      <w:r>
        <w:t>The frozen forecast is issued from 1 September 2026 using training data that ends at 31 August 2026 23:30. It contains 5,856 half-hour intervals per region through 31 December 2026 23:30. The forecast is immutable for verification: later September actuals can be compared with it but cannot rewrite it.</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304"/>
            <w:shd w:fill="17365D"/>
            <w:tcMar>
              <w:top w:w="80" w:type="dxa"/>
              <w:start w:w="80" w:type="dxa"/>
              <w:bottom w:w="80" w:type="dxa"/>
              <w:end w:w="80" w:type="dxa"/>
            </w:tcMar>
            <w:vAlign w:val="center"/>
          </w:tcPr>
          <w:p>
            <w:r>
              <w:rPr>
                <w:b/>
                <w:color w:val="FFFFFF"/>
                <w:sz w:val="16"/>
              </w:rPr>
              <w:t>Month</w:t>
            </w:r>
          </w:p>
        </w:tc>
        <w:tc>
          <w:tcPr>
            <w:tcW w:type="dxa" w:w="2448"/>
            <w:shd w:fill="17365D"/>
            <w:tcMar>
              <w:top w:w="80" w:type="dxa"/>
              <w:start w:w="80" w:type="dxa"/>
              <w:bottom w:w="80" w:type="dxa"/>
              <w:end w:w="80" w:type="dxa"/>
            </w:tcMar>
            <w:vAlign w:val="center"/>
          </w:tcPr>
          <w:p>
            <w:r>
              <w:rPr>
                <w:b/>
                <w:color w:val="FFFFFF"/>
                <w:sz w:val="16"/>
              </w:rPr>
              <w:t>Recursive-input share</w:t>
            </w:r>
          </w:p>
        </w:tc>
        <w:tc>
          <w:tcPr>
            <w:tcW w:type="dxa" w:w="5472"/>
            <w:shd w:fill="17365D"/>
            <w:tcMar>
              <w:top w:w="80" w:type="dxa"/>
              <w:start w:w="80" w:type="dxa"/>
              <w:bottom w:w="80" w:type="dxa"/>
              <w:end w:w="80" w:type="dxa"/>
            </w:tcMar>
            <w:vAlign w:val="center"/>
          </w:tcPr>
          <w:p>
            <w:r>
              <w:rPr>
                <w:b/>
                <w:color w:val="FFFFFF"/>
                <w:sz w:val="16"/>
              </w:rPr>
              <w:t>Interpretation</w:t>
            </w:r>
          </w:p>
        </w:tc>
      </w:tr>
      <w:tr>
        <w:tc>
          <w:tcPr>
            <w:tcW w:type="dxa" w:w="2304"/>
            <w:tcMar>
              <w:top w:w="80" w:type="dxa"/>
              <w:start w:w="80" w:type="dxa"/>
              <w:bottom w:w="80" w:type="dxa"/>
              <w:end w:w="80" w:type="dxa"/>
            </w:tcMar>
            <w:vAlign w:val="center"/>
          </w:tcPr>
          <w:p>
            <w:pPr>
              <w:spacing w:after="0"/>
            </w:pPr>
            <w:r>
              <w:rPr>
                <w:sz w:val="16"/>
              </w:rPr>
              <w:t>September 2026</w:t>
            </w:r>
          </w:p>
        </w:tc>
        <w:tc>
          <w:tcPr>
            <w:tcW w:type="dxa" w:w="2448"/>
            <w:tcMar>
              <w:top w:w="80" w:type="dxa"/>
              <w:start w:w="80" w:type="dxa"/>
              <w:bottom w:w="80" w:type="dxa"/>
              <w:end w:w="80" w:type="dxa"/>
            </w:tcMar>
            <w:vAlign w:val="center"/>
          </w:tcPr>
          <w:p>
            <w:pPr>
              <w:spacing w:after="0"/>
            </w:pPr>
            <w:r>
              <w:rPr>
                <w:sz w:val="16"/>
              </w:rPr>
              <w:t>96.67%</w:t>
            </w:r>
          </w:p>
        </w:tc>
        <w:tc>
          <w:tcPr>
            <w:tcW w:type="dxa" w:w="5472"/>
            <w:tcMar>
              <w:top w:w="80" w:type="dxa"/>
              <w:start w:w="80" w:type="dxa"/>
              <w:bottom w:w="80" w:type="dxa"/>
              <w:end w:w="80" w:type="dxa"/>
            </w:tcMar>
            <w:vAlign w:val="center"/>
          </w:tcPr>
          <w:p>
            <w:pPr>
              <w:spacing w:after="0"/>
            </w:pPr>
            <w:r>
              <w:rPr>
                <w:sz w:val="16"/>
              </w:rPr>
              <w:t>Only the earliest part of the month can still reach pre-origin actual lags.</w:t>
            </w:r>
          </w:p>
        </w:tc>
      </w:tr>
      <w:tr>
        <w:tc>
          <w:tcPr>
            <w:tcW w:type="dxa" w:w="2304"/>
            <w:tcMar>
              <w:top w:w="80" w:type="dxa"/>
              <w:start w:w="80" w:type="dxa"/>
              <w:bottom w:w="80" w:type="dxa"/>
              <w:end w:w="80" w:type="dxa"/>
            </w:tcMar>
            <w:vAlign w:val="center"/>
            <w:shd w:fill="F7F9FB"/>
          </w:tcPr>
          <w:p>
            <w:pPr>
              <w:spacing w:after="0"/>
            </w:pPr>
            <w:r>
              <w:rPr>
                <w:sz w:val="16"/>
              </w:rPr>
              <w:t>October 2026</w:t>
            </w:r>
          </w:p>
        </w:tc>
        <w:tc>
          <w:tcPr>
            <w:tcW w:type="dxa" w:w="2448"/>
            <w:tcMar>
              <w:top w:w="80" w:type="dxa"/>
              <w:start w:w="80" w:type="dxa"/>
              <w:bottom w:w="80" w:type="dxa"/>
              <w:end w:w="80" w:type="dxa"/>
            </w:tcMar>
            <w:vAlign w:val="center"/>
            <w:shd w:fill="F7F9FB"/>
          </w:tcPr>
          <w:p>
            <w:pPr>
              <w:spacing w:after="0"/>
            </w:pPr>
            <w:r>
              <w:rPr>
                <w:sz w:val="16"/>
              </w:rPr>
              <w:t>100%</w:t>
            </w:r>
          </w:p>
        </w:tc>
        <w:tc>
          <w:tcPr>
            <w:tcW w:type="dxa" w:w="5472"/>
            <w:tcMar>
              <w:top w:w="80" w:type="dxa"/>
              <w:start w:w="80" w:type="dxa"/>
              <w:bottom w:w="80" w:type="dxa"/>
              <w:end w:w="80" w:type="dxa"/>
            </w:tcMar>
            <w:vAlign w:val="center"/>
            <w:shd w:fill="F7F9FB"/>
          </w:tcPr>
          <w:p>
            <w:pPr>
              <w:spacing w:after="0"/>
            </w:pPr>
            <w:r>
              <w:rPr>
                <w:sz w:val="16"/>
              </w:rPr>
              <w:t>All required demand-lag references depend on forecasted values.</w:t>
            </w:r>
          </w:p>
        </w:tc>
      </w:tr>
      <w:tr>
        <w:tc>
          <w:tcPr>
            <w:tcW w:type="dxa" w:w="2304"/>
            <w:tcMar>
              <w:top w:w="80" w:type="dxa"/>
              <w:start w:w="80" w:type="dxa"/>
              <w:bottom w:w="80" w:type="dxa"/>
              <w:end w:w="80" w:type="dxa"/>
            </w:tcMar>
            <w:vAlign w:val="center"/>
          </w:tcPr>
          <w:p>
            <w:pPr>
              <w:spacing w:after="0"/>
            </w:pPr>
            <w:r>
              <w:rPr>
                <w:sz w:val="16"/>
              </w:rPr>
              <w:t>November 2026</w:t>
            </w:r>
          </w:p>
        </w:tc>
        <w:tc>
          <w:tcPr>
            <w:tcW w:type="dxa" w:w="2448"/>
            <w:tcMar>
              <w:top w:w="80" w:type="dxa"/>
              <w:start w:w="80" w:type="dxa"/>
              <w:bottom w:w="80" w:type="dxa"/>
              <w:end w:w="80" w:type="dxa"/>
            </w:tcMar>
            <w:vAlign w:val="center"/>
          </w:tcPr>
          <w:p>
            <w:pPr>
              <w:spacing w:after="0"/>
            </w:pPr>
            <w:r>
              <w:rPr>
                <w:sz w:val="16"/>
              </w:rPr>
              <w:t>100%</w:t>
            </w:r>
          </w:p>
        </w:tc>
        <w:tc>
          <w:tcPr>
            <w:tcW w:type="dxa" w:w="5472"/>
            <w:tcMar>
              <w:top w:w="80" w:type="dxa"/>
              <w:start w:w="80" w:type="dxa"/>
              <w:bottom w:w="80" w:type="dxa"/>
              <w:end w:w="80" w:type="dxa"/>
            </w:tcMar>
            <w:vAlign w:val="center"/>
          </w:tcPr>
          <w:p>
            <w:pPr>
              <w:spacing w:after="0"/>
            </w:pPr>
            <w:r>
              <w:rPr>
                <w:sz w:val="16"/>
              </w:rPr>
              <w:t>Fully recursive demand-history context.</w:t>
            </w:r>
          </w:p>
        </w:tc>
      </w:tr>
      <w:tr>
        <w:tc>
          <w:tcPr>
            <w:tcW w:type="dxa" w:w="2304"/>
            <w:tcMar>
              <w:top w:w="80" w:type="dxa"/>
              <w:start w:w="80" w:type="dxa"/>
              <w:bottom w:w="80" w:type="dxa"/>
              <w:end w:w="80" w:type="dxa"/>
            </w:tcMar>
            <w:vAlign w:val="center"/>
            <w:shd w:fill="F7F9FB"/>
          </w:tcPr>
          <w:p>
            <w:pPr>
              <w:spacing w:after="0"/>
            </w:pPr>
            <w:r>
              <w:rPr>
                <w:sz w:val="16"/>
              </w:rPr>
              <w:t>December 2026</w:t>
            </w:r>
          </w:p>
        </w:tc>
        <w:tc>
          <w:tcPr>
            <w:tcW w:type="dxa" w:w="2448"/>
            <w:tcMar>
              <w:top w:w="80" w:type="dxa"/>
              <w:start w:w="80" w:type="dxa"/>
              <w:bottom w:w="80" w:type="dxa"/>
              <w:end w:w="80" w:type="dxa"/>
            </w:tcMar>
            <w:vAlign w:val="center"/>
            <w:shd w:fill="F7F9FB"/>
          </w:tcPr>
          <w:p>
            <w:pPr>
              <w:spacing w:after="0"/>
            </w:pPr>
            <w:r>
              <w:rPr>
                <w:sz w:val="16"/>
              </w:rPr>
              <w:t>100%</w:t>
            </w:r>
          </w:p>
        </w:tc>
        <w:tc>
          <w:tcPr>
            <w:tcW w:type="dxa" w:w="5472"/>
            <w:tcMar>
              <w:top w:w="80" w:type="dxa"/>
              <w:start w:w="80" w:type="dxa"/>
              <w:bottom w:w="80" w:type="dxa"/>
              <w:end w:w="80" w:type="dxa"/>
            </w:tcMar>
            <w:vAlign w:val="center"/>
            <w:shd w:fill="F7F9FB"/>
          </w:tcPr>
          <w:p>
            <w:pPr>
              <w:spacing w:after="0"/>
            </w:pPr>
            <w:r>
              <w:rPr>
                <w:sz w:val="16"/>
              </w:rPr>
              <w:t>Fully recursive demand-history context; uncertainty is expected to be highest.</w:t>
            </w:r>
          </w:p>
        </w:tc>
      </w:tr>
    </w:tbl>
    <w:p>
      <w:pPr>
        <w:spacing w:after="20"/>
      </w:pPr>
    </w:p>
    <w:p>
      <w:pPr>
        <w:jc w:val="center"/>
      </w:pPr>
      <w:r>
        <w:drawing>
          <wp:inline xmlns:a="http://schemas.openxmlformats.org/drawingml/2006/main" xmlns:pic="http://schemas.openxmlformats.org/drawingml/2006/picture">
            <wp:extent cx="5943600" cy="2328138"/>
            <wp:docPr id="2" name="Picture 2"/>
            <wp:cNvGraphicFramePr>
              <a:graphicFrameLocks noChangeAspect="1"/>
            </wp:cNvGraphicFramePr>
            <a:graphic>
              <a:graphicData uri="http://schemas.openxmlformats.org/drawingml/2006/picture">
                <pic:pic>
                  <pic:nvPicPr>
                    <pic:cNvPr id="0" name="NSW1_frozen_four_month_forecast.png"/>
                    <pic:cNvPicPr/>
                  </pic:nvPicPr>
                  <pic:blipFill>
                    <a:blip r:embed="rId12"/>
                    <a:stretch>
                      <a:fillRect/>
                    </a:stretch>
                  </pic:blipFill>
                  <pic:spPr>
                    <a:xfrm>
                      <a:off x="0" y="0"/>
                      <a:ext cx="5943600" cy="2328138"/>
                    </a:xfrm>
                    <a:prstGeom prst="rect"/>
                  </pic:spPr>
                </pic:pic>
              </a:graphicData>
            </a:graphic>
          </wp:inline>
        </w:drawing>
      </w:r>
    </w:p>
    <w:p>
      <w:pPr>
        <w:pStyle w:val="Caption"/>
        <w:jc w:val="center"/>
      </w:pPr>
      <w:r>
        <w:t>Figure 2. Example frozen four-month NSW1 forecast generated from the month-start information boundary. The forecast is stored as a vintage for later verification.</w:t>
      </w:r>
    </w:p>
    <w:p>
      <w:pPr>
        <w:pStyle w:val="Heading1"/>
      </w:pPr>
      <w:r>
        <w:t>5. Horizon reusability</w:t>
      </w:r>
    </w:p>
    <w:p>
      <w:pPr>
        <w:spacing w:after="100"/>
      </w:pPr>
      <w:r>
        <w:t>The horizon is not hard-coded to September–December. The December crossover self-test proves that the same logic resolves December 2026 through March 2027 and produces matching historical December analogue origins. All 5/5 horizon/reusability tests pass. This is important because the final project is intended to roll forward monthly rather than stop after one demonstration period.</w:t>
      </w:r>
    </w:p>
    <w:p>
      <w:pPr>
        <w:pStyle w:val="Heading1"/>
      </w:pPr>
      <w:r>
        <w:t>6. Team collaboration and handoff</w:t>
      </w:r>
    </w:p>
    <w:p>
      <w:pPr>
        <w:pStyle w:val="ListBullet"/>
        <w:spacing w:after="40"/>
      </w:pPr>
      <w:r>
        <w:t>Bishal supplies the baseline/metric framework that later scores XGBoost and the frozen forecast.</w:t>
      </w:r>
    </w:p>
    <w:p>
      <w:pPr>
        <w:pStyle w:val="ListBullet"/>
        <w:spacing w:after="40"/>
      </w:pPr>
      <w:r>
        <w:t>Sudip’s weather-vintage policy determines the known-future weather values available to XGBoost_B and later Model B refreshes.</w:t>
      </w:r>
    </w:p>
    <w:p>
      <w:pPr>
        <w:pStyle w:val="ListBullet"/>
        <w:spacing w:after="40"/>
      </w:pPr>
      <w:r>
        <w:t>Ashish’s screening/backtest/selection orchestrator treats XGBoost as a full candidate under the same historical windows as Random Forest.</w:t>
      </w:r>
    </w:p>
    <w:p>
      <w:pPr>
        <w:pStyle w:val="ListBullet"/>
        <w:spacing w:after="40"/>
      </w:pPr>
      <w:r>
        <w:t>The group freezes the cutoff/horizon contract before recursion runs so no member can move the forecast origin to improve a result.</w:t>
      </w:r>
    </w:p>
    <w:p>
      <w:pPr>
        <w:pStyle w:val="Heading1"/>
      </w:pPr>
      <w:r>
        <w:t>7. Code and evidence artefacts</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4320"/>
            <w:shd w:fill="17365D"/>
            <w:tcMar>
              <w:top w:w="80" w:type="dxa"/>
              <w:start w:w="80" w:type="dxa"/>
              <w:bottom w:w="80" w:type="dxa"/>
              <w:end w:w="80" w:type="dxa"/>
            </w:tcMar>
            <w:vAlign w:val="center"/>
          </w:tcPr>
          <w:p>
            <w:r>
              <w:rPr>
                <w:b/>
                <w:color w:val="FFFFFF"/>
                <w:sz w:val="16"/>
              </w:rPr>
              <w:t>Artefact</w:t>
            </w:r>
          </w:p>
        </w:tc>
        <w:tc>
          <w:tcPr>
            <w:tcW w:type="dxa" w:w="5760"/>
            <w:shd w:fill="17365D"/>
            <w:tcMar>
              <w:top w:w="80" w:type="dxa"/>
              <w:start w:w="80" w:type="dxa"/>
              <w:bottom w:w="80" w:type="dxa"/>
              <w:end w:w="80" w:type="dxa"/>
            </w:tcMar>
            <w:vAlign w:val="center"/>
          </w:tcPr>
          <w:p>
            <w:r>
              <w:rPr>
                <w:b/>
                <w:color w:val="FFFFFF"/>
                <w:sz w:val="16"/>
              </w:rPr>
              <w:t>Contribution evidence</w:t>
            </w:r>
          </w:p>
        </w:tc>
      </w:tr>
      <w:tr>
        <w:tc>
          <w:tcPr>
            <w:tcW w:type="dxa" w:w="4320"/>
            <w:tcMar>
              <w:top w:w="80" w:type="dxa"/>
              <w:start w:w="80" w:type="dxa"/>
              <w:bottom w:w="80" w:type="dxa"/>
              <w:end w:w="80" w:type="dxa"/>
            </w:tcMar>
            <w:vAlign w:val="center"/>
          </w:tcPr>
          <w:p>
            <w:pPr>
              <w:spacing w:after="0"/>
            </w:pPr>
            <w:r>
              <w:rPr>
                <w:sz w:val="16"/>
              </w:rPr>
              <w:t>04_Suraj_Raut_XGBoost_Recursive_FourMonth_Forecast.py</w:t>
            </w:r>
          </w:p>
        </w:tc>
        <w:tc>
          <w:tcPr>
            <w:tcW w:type="dxa" w:w="5760"/>
            <w:tcMar>
              <w:top w:w="80" w:type="dxa"/>
              <w:start w:w="80" w:type="dxa"/>
              <w:bottom w:w="80" w:type="dxa"/>
              <w:end w:w="80" w:type="dxa"/>
            </w:tcMar>
            <w:vAlign w:val="center"/>
          </w:tcPr>
          <w:p>
            <w:pPr>
              <w:spacing w:after="0"/>
            </w:pPr>
            <w:r>
              <w:rPr>
                <w:sz w:val="16"/>
              </w:rPr>
              <w:t>XGBoost configuration, rolling four-month horizon, lag provenance, recursive feature rebuilding and frozen forecast framing.</w:t>
            </w:r>
          </w:p>
        </w:tc>
      </w:tr>
      <w:tr>
        <w:tc>
          <w:tcPr>
            <w:tcW w:type="dxa" w:w="4320"/>
            <w:tcMar>
              <w:top w:w="80" w:type="dxa"/>
              <w:start w:w="80" w:type="dxa"/>
              <w:bottom w:w="80" w:type="dxa"/>
              <w:end w:w="80" w:type="dxa"/>
            </w:tcMar>
            <w:vAlign w:val="center"/>
            <w:shd w:fill="F7F9FB"/>
          </w:tcPr>
          <w:p>
            <w:pPr>
              <w:spacing w:after="0"/>
            </w:pPr>
            <w:r>
              <w:rPr>
                <w:sz w:val="16"/>
              </w:rPr>
              <w:t>validation/four_month_backtest_scores.csv</w:t>
            </w:r>
          </w:p>
        </w:tc>
        <w:tc>
          <w:tcPr>
            <w:tcW w:type="dxa" w:w="5760"/>
            <w:tcMar>
              <w:top w:w="80" w:type="dxa"/>
              <w:start w:w="80" w:type="dxa"/>
              <w:bottom w:w="80" w:type="dxa"/>
              <w:end w:w="80" w:type="dxa"/>
            </w:tcMar>
            <w:vAlign w:val="center"/>
            <w:shd w:fill="F7F9FB"/>
          </w:tcPr>
          <w:p>
            <w:pPr>
              <w:spacing w:after="0"/>
            </w:pPr>
            <w:r>
              <w:rPr>
                <w:sz w:val="16"/>
              </w:rPr>
              <w:t>XGBoost A/B results over three historical analogue origins.</w:t>
            </w:r>
          </w:p>
        </w:tc>
      </w:tr>
      <w:tr>
        <w:tc>
          <w:tcPr>
            <w:tcW w:type="dxa" w:w="4320"/>
            <w:tcMar>
              <w:top w:w="80" w:type="dxa"/>
              <w:start w:w="80" w:type="dxa"/>
              <w:bottom w:w="80" w:type="dxa"/>
              <w:end w:w="80" w:type="dxa"/>
            </w:tcMar>
            <w:vAlign w:val="center"/>
          </w:tcPr>
          <w:p>
            <w:pPr>
              <w:spacing w:after="0"/>
            </w:pPr>
            <w:r>
              <w:rPr>
                <w:sz w:val="16"/>
              </w:rPr>
              <w:t>validation/leakage_tests.csv</w:t>
            </w:r>
          </w:p>
        </w:tc>
        <w:tc>
          <w:tcPr>
            <w:tcW w:type="dxa" w:w="5760"/>
            <w:tcMar>
              <w:top w:w="80" w:type="dxa"/>
              <w:start w:w="80" w:type="dxa"/>
              <w:bottom w:w="80" w:type="dxa"/>
              <w:end w:w="80" w:type="dxa"/>
            </w:tcMar>
            <w:vAlign w:val="center"/>
          </w:tcPr>
          <w:p>
            <w:pPr>
              <w:spacing w:after="0"/>
            </w:pPr>
            <w:r>
              <w:rPr>
                <w:sz w:val="16"/>
              </w:rPr>
              <w:t>Recursive-lag and previous-month-cutoff checks.</w:t>
            </w:r>
          </w:p>
        </w:tc>
      </w:tr>
      <w:tr>
        <w:tc>
          <w:tcPr>
            <w:tcW w:type="dxa" w:w="4320"/>
            <w:tcMar>
              <w:top w:w="80" w:type="dxa"/>
              <w:start w:w="80" w:type="dxa"/>
              <w:bottom w:w="80" w:type="dxa"/>
              <w:end w:w="80" w:type="dxa"/>
            </w:tcMar>
            <w:vAlign w:val="center"/>
            <w:shd w:fill="F7F9FB"/>
          </w:tcPr>
          <w:p>
            <w:pPr>
              <w:spacing w:after="0"/>
            </w:pPr>
            <w:r>
              <w:rPr>
                <w:sz w:val="16"/>
              </w:rPr>
              <w:t>forecasts/frozen/</w:t>
            </w:r>
          </w:p>
        </w:tc>
        <w:tc>
          <w:tcPr>
            <w:tcW w:type="dxa" w:w="5760"/>
            <w:tcMar>
              <w:top w:w="80" w:type="dxa"/>
              <w:start w:w="80" w:type="dxa"/>
              <w:bottom w:w="80" w:type="dxa"/>
              <w:end w:w="80" w:type="dxa"/>
            </w:tcMar>
            <w:vAlign w:val="center"/>
            <w:shd w:fill="F7F9FB"/>
          </w:tcPr>
          <w:p>
            <w:pPr>
              <w:spacing w:after="0"/>
            </w:pPr>
            <w:r>
              <w:rPr>
                <w:sz w:val="16"/>
              </w:rPr>
              <w:t>Immutable region-level four-month forecast vintages.</w:t>
            </w:r>
          </w:p>
        </w:tc>
      </w:tr>
      <w:tr>
        <w:tc>
          <w:tcPr>
            <w:tcW w:type="dxa" w:w="4320"/>
            <w:tcMar>
              <w:top w:w="80" w:type="dxa"/>
              <w:start w:w="80" w:type="dxa"/>
              <w:bottom w:w="80" w:type="dxa"/>
              <w:end w:w="80" w:type="dxa"/>
            </w:tcMar>
            <w:vAlign w:val="center"/>
          </w:tcPr>
          <w:p>
            <w:pPr>
              <w:spacing w:after="0"/>
            </w:pPr>
            <w:r>
              <w:rPr>
                <w:sz w:val="16"/>
              </w:rPr>
              <w:t>forecasts/forecast_monthly_summary.csv</w:t>
            </w:r>
          </w:p>
        </w:tc>
        <w:tc>
          <w:tcPr>
            <w:tcW w:type="dxa" w:w="5760"/>
            <w:tcMar>
              <w:top w:w="80" w:type="dxa"/>
              <w:start w:w="80" w:type="dxa"/>
              <w:bottom w:w="80" w:type="dxa"/>
              <w:end w:w="80" w:type="dxa"/>
            </w:tcMar>
            <w:vAlign w:val="center"/>
          </w:tcPr>
          <w:p>
            <w:pPr>
              <w:spacing w:after="0"/>
            </w:pPr>
            <w:r>
              <w:rPr>
                <w:sz w:val="16"/>
              </w:rPr>
              <w:t>Monthly forecast means/peaks, energy and recursive-input share.</w:t>
            </w:r>
          </w:p>
        </w:tc>
      </w:tr>
    </w:tbl>
    <w:p>
      <w:pPr>
        <w:spacing w:after="20"/>
      </w:pPr>
    </w:p>
    <w:p>
      <w:pPr>
        <w:pStyle w:val="Heading1"/>
      </w:pPr>
      <w:r>
        <w:t>8. Professional reflection</w:t>
      </w:r>
    </w:p>
    <w:p>
      <w:pPr>
        <w:spacing w:after="100"/>
      </w:pPr>
      <w:r>
        <w:t>The difficult part of long-horizon forecasting is not producing thousands of numbers; it is preserving the information boundary after the first few days. Once every important lag points inside the forecast horizon, the model is learning from its own earlier predictions and errors can accumulate. Making that recursion explicit in code and in the output provenance gives the team a realistic basis for future improvements such as uncertainty intervals, direct multi-horizon models or scheduled rolling refreshes.</w:t>
      </w:r>
    </w:p>
    <w:sectPr w:rsidR="00FC693F" w:rsidRPr="0006063C" w:rsidSect="00034616">
      <w:headerReference w:type="default" r:id="rId9"/>
      <w:footerReference w:type="default" r:id="rId10"/>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r>
      <w:rPr>
        <w:color w:val="646464"/>
        <w:sz w:val="16"/>
      </w:rPr>
      <w:t xml:space="preserve">  |  PRT661 Dan6 — WP3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PRT661 – Data Science Practice  |  Australian Electricity Demand Forecasting  |  WP3 — Suraj Raut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ptos" w:hAnsi="Aptos"/>
      <w:b/>
      <w:bCs/>
      <w:i/>
      <w:color w:val="50505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