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Ashish Shrestha — WP3 Individual Contribution &amp; Progress Report</w:t>
      </w:r>
    </w:p>
    <w:p>
      <w:pPr>
        <w:jc w:val="left"/>
      </w:pPr>
      <w:r>
        <w:rPr>
          <w:i/>
          <w:color w:val="2F75B5"/>
          <w:sz w:val="22"/>
        </w:rPr>
        <w:t>PRT661 – Data Science Practice | Dan6 Theme 2 | Modelling, Forecasting and Verification</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2160"/>
            <w:shd w:fill="17365D"/>
            <w:tcMar>
              <w:top w:w="80" w:type="dxa"/>
              <w:start w:w="80" w:type="dxa"/>
              <w:bottom w:w="80" w:type="dxa"/>
              <w:end w:w="80" w:type="dxa"/>
            </w:tcMar>
            <w:vAlign w:val="center"/>
          </w:tcPr>
          <w:p>
            <w:r>
              <w:rPr>
                <w:b/>
                <w:color w:val="FFFFFF"/>
                <w:sz w:val="17"/>
              </w:rPr>
              <w:t>Student</w:t>
            </w:r>
          </w:p>
        </w:tc>
        <w:tc>
          <w:tcPr>
            <w:tcW w:type="dxa" w:w="1440"/>
            <w:shd w:fill="17365D"/>
            <w:tcMar>
              <w:top w:w="80" w:type="dxa"/>
              <w:start w:w="80" w:type="dxa"/>
              <w:bottom w:w="80" w:type="dxa"/>
              <w:end w:w="80" w:type="dxa"/>
            </w:tcMar>
            <w:vAlign w:val="center"/>
          </w:tcPr>
          <w:p>
            <w:r>
              <w:rPr>
                <w:b/>
                <w:color w:val="FFFFFF"/>
                <w:sz w:val="17"/>
              </w:rPr>
              <w:t>ID</w:t>
            </w:r>
          </w:p>
        </w:tc>
        <w:tc>
          <w:tcPr>
            <w:tcW w:type="dxa" w:w="3312"/>
            <w:shd w:fill="17365D"/>
            <w:tcMar>
              <w:top w:w="80" w:type="dxa"/>
              <w:start w:w="80" w:type="dxa"/>
              <w:bottom w:w="80" w:type="dxa"/>
              <w:end w:w="80" w:type="dxa"/>
            </w:tcMar>
            <w:vAlign w:val="center"/>
          </w:tcPr>
          <w:p>
            <w:r>
              <w:rPr>
                <w:b/>
                <w:color w:val="FFFFFF"/>
                <w:sz w:val="17"/>
              </w:rPr>
              <w:t>WP3 role</w:t>
            </w:r>
          </w:p>
        </w:tc>
        <w:tc>
          <w:tcPr>
            <w:tcW w:type="dxa" w:w="3456"/>
            <w:shd w:fill="17365D"/>
            <w:tcMar>
              <w:top w:w="80" w:type="dxa"/>
              <w:start w:w="80" w:type="dxa"/>
              <w:bottom w:w="80" w:type="dxa"/>
              <w:end w:w="80" w:type="dxa"/>
            </w:tcMar>
            <w:vAlign w:val="center"/>
          </w:tcPr>
          <w:p>
            <w:r>
              <w:rPr>
                <w:b/>
                <w:color w:val="FFFFFF"/>
                <w:sz w:val="17"/>
              </w:rPr>
              <w:t>Workstream</w:t>
            </w:r>
          </w:p>
        </w:tc>
      </w:tr>
      <w:tr>
        <w:tc>
          <w:tcPr>
            <w:tcW w:type="dxa" w:w="2160"/>
            <w:tcMar>
              <w:top w:w="80" w:type="dxa"/>
              <w:start w:w="80" w:type="dxa"/>
              <w:bottom w:w="80" w:type="dxa"/>
              <w:end w:w="80" w:type="dxa"/>
            </w:tcMar>
            <w:vAlign w:val="center"/>
          </w:tcPr>
          <w:p>
            <w:pPr>
              <w:spacing w:after="0"/>
            </w:pPr>
            <w:r>
              <w:rPr>
                <w:sz w:val="17"/>
              </w:rPr>
              <w:t>Ashish Shrestha</w:t>
            </w:r>
          </w:p>
        </w:tc>
        <w:tc>
          <w:tcPr>
            <w:tcW w:type="dxa" w:w="1440"/>
            <w:tcMar>
              <w:top w:w="80" w:type="dxa"/>
              <w:start w:w="80" w:type="dxa"/>
              <w:bottom w:w="80" w:type="dxa"/>
              <w:end w:w="80" w:type="dxa"/>
            </w:tcMar>
            <w:vAlign w:val="center"/>
          </w:tcPr>
          <w:p>
            <w:pPr>
              <w:spacing w:after="0"/>
            </w:pPr>
            <w:r>
              <w:rPr>
                <w:sz w:val="17"/>
              </w:rPr>
              <w:t>S388084</w:t>
            </w:r>
          </w:p>
        </w:tc>
        <w:tc>
          <w:tcPr>
            <w:tcW w:type="dxa" w:w="3312"/>
            <w:tcMar>
              <w:top w:w="80" w:type="dxa"/>
              <w:start w:w="80" w:type="dxa"/>
              <w:bottom w:w="80" w:type="dxa"/>
              <w:end w:w="80" w:type="dxa"/>
            </w:tcMar>
            <w:vAlign w:val="center"/>
          </w:tcPr>
          <w:p>
            <w:pPr>
              <w:spacing w:after="0"/>
            </w:pPr>
            <w:r>
              <w:rPr>
                <w:sz w:val="17"/>
              </w:rPr>
              <w:t>Forecasting Lead</w:t>
            </w:r>
          </w:p>
        </w:tc>
        <w:tc>
          <w:tcPr>
            <w:tcW w:type="dxa" w:w="3456"/>
            <w:tcMar>
              <w:top w:w="80" w:type="dxa"/>
              <w:start w:w="80" w:type="dxa"/>
              <w:bottom w:w="80" w:type="dxa"/>
              <w:end w:w="80" w:type="dxa"/>
            </w:tcMar>
            <w:vAlign w:val="center"/>
          </w:tcPr>
          <w:p>
            <w:pPr>
              <w:spacing w:after="0"/>
            </w:pPr>
            <w:r>
              <w:rPr>
                <w:sz w:val="17"/>
              </w:rPr>
              <w:t>Random Forest A/B · chronological screening · four-month backtesting · regional selection</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Evidence note  </w:t>
            </w:r>
            <w:r>
              <w:t>This document is aligned to the verified 14 September Stage 3 run. Contribution descriptions preserve the role boundaries in the existing WP3 documents and describe shared integration as team work rather than assigning the final pipeline to one person.</w:t>
            </w:r>
          </w:p>
        </w:tc>
      </w:tr>
    </w:tbl>
    <w:p>
      <w:pPr>
        <w:spacing w:after="20"/>
      </w:pPr>
    </w:p>
    <w:p>
      <w:pPr>
        <w:pStyle w:val="Heading1"/>
      </w:pPr>
      <w:r>
        <w:t>1. Allocated WP3 responsibility</w:t>
      </w:r>
    </w:p>
    <w:p>
      <w:pPr>
        <w:spacing w:after="100"/>
      </w:pPr>
      <w:r>
        <w:t>Ashish’s WP3 responsibility was the decision layer of the modelling pipeline: implement and test the Random Forest family, coordinate the short chronological screen, run the historical four-month comparison on identical seasonal windows, and convert the evidence into one selected production model per region. The role therefore sits between the candidate-family code supplied by all four members and the frozen forecast/verification stages supplied by Suraj and Bishal.</w:t>
      </w:r>
    </w:p>
    <w:p>
      <w:pPr>
        <w:jc w:val="center"/>
      </w:pPr>
      <w:r>
        <w:drawing>
          <wp:inline xmlns:a="http://schemas.openxmlformats.org/drawingml/2006/main" xmlns:pic="http://schemas.openxmlformats.org/drawingml/2006/picture">
            <wp:extent cx="3794760" cy="6551227"/>
            <wp:docPr id="1" name="Picture 1"/>
            <wp:cNvGraphicFramePr>
              <a:graphicFrameLocks noChangeAspect="1"/>
            </wp:cNvGraphicFramePr>
            <a:graphic>
              <a:graphicData uri="http://schemas.openxmlformats.org/drawingml/2006/picture">
                <pic:pic>
                  <pic:nvPicPr>
                    <pic:cNvPr id="0" name="02_stage3_modelling_architecture.png"/>
                    <pic:cNvPicPr/>
                  </pic:nvPicPr>
                  <pic:blipFill>
                    <a:blip r:embed="rId11"/>
                    <a:stretch>
                      <a:fillRect/>
                    </a:stretch>
                  </pic:blipFill>
                  <pic:spPr>
                    <a:xfrm>
                      <a:off x="0" y="0"/>
                      <a:ext cx="3794760" cy="6551227"/>
                    </a:xfrm>
                    <a:prstGeom prst="rect"/>
                  </pic:spPr>
                </pic:pic>
              </a:graphicData>
            </a:graphic>
          </wp:inline>
        </w:drawing>
      </w:r>
    </w:p>
    <w:p>
      <w:pPr>
        <w:pStyle w:val="Caption"/>
        <w:jc w:val="center"/>
      </w:pPr>
      <w:r>
        <w:t>Figure 1. Final Stage 3 architecture and contribution split. Ashish owns the Random Forest branch, short chronological screening, historical four-month backtest and regional selection blocks.</w:t>
      </w:r>
    </w:p>
    <w:p>
      <w:r>
        <w:br w:type="page"/>
      </w:r>
    </w:p>
    <w:p>
      <w:pPr>
        <w:pStyle w:val="Heading1"/>
      </w:pPr>
      <w:r>
        <w:t>2. Why Random Forest was included</w:t>
      </w:r>
    </w:p>
    <w:p>
      <w:pPr>
        <w:spacing w:after="100"/>
      </w:pPr>
      <w:r>
        <w:t>Random Forest was retained because the Stage 2 dataset contains nonlinear relationships, repeated daily/weekly demand patterns, calendar variables and optional weather features. A tree ensemble can model interactions without requiring the target to be normally distributed or every relationship to be linear. Two variants were required so weather value could be tested rather than assumed: RandomForest_A uses Feature Set A; RandomForest_B uses Feature Set B.</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160"/>
            <w:shd w:fill="17365D"/>
            <w:tcMar>
              <w:top w:w="80" w:type="dxa"/>
              <w:start w:w="80" w:type="dxa"/>
              <w:bottom w:w="80" w:type="dxa"/>
              <w:end w:w="80" w:type="dxa"/>
            </w:tcMar>
            <w:vAlign w:val="center"/>
          </w:tcPr>
          <w:p>
            <w:r>
              <w:rPr>
                <w:b/>
                <w:color w:val="FFFFFF"/>
                <w:sz w:val="16"/>
              </w:rPr>
              <w:t>Variant</w:t>
            </w:r>
          </w:p>
        </w:tc>
        <w:tc>
          <w:tcPr>
            <w:tcW w:type="dxa" w:w="4320"/>
            <w:shd w:fill="17365D"/>
            <w:tcMar>
              <w:top w:w="80" w:type="dxa"/>
              <w:start w:w="80" w:type="dxa"/>
              <w:bottom w:w="80" w:type="dxa"/>
              <w:end w:w="80" w:type="dxa"/>
            </w:tcMar>
            <w:vAlign w:val="center"/>
          </w:tcPr>
          <w:p>
            <w:r>
              <w:rPr>
                <w:b/>
                <w:color w:val="FFFFFF"/>
                <w:sz w:val="16"/>
              </w:rPr>
              <w:t>Input contract</w:t>
            </w:r>
          </w:p>
        </w:tc>
        <w:tc>
          <w:tcPr>
            <w:tcW w:type="dxa" w:w="3672"/>
            <w:shd w:fill="17365D"/>
            <w:tcMar>
              <w:top w:w="80" w:type="dxa"/>
              <w:start w:w="80" w:type="dxa"/>
              <w:bottom w:w="80" w:type="dxa"/>
              <w:end w:w="80" w:type="dxa"/>
            </w:tcMar>
            <w:vAlign w:val="center"/>
          </w:tcPr>
          <w:p>
            <w:r>
              <w:rPr>
                <w:b/>
                <w:color w:val="FFFFFF"/>
                <w:sz w:val="16"/>
              </w:rPr>
              <w:t>Purpose in comparison</w:t>
            </w:r>
          </w:p>
        </w:tc>
      </w:tr>
      <w:tr>
        <w:tc>
          <w:tcPr>
            <w:tcW w:type="dxa" w:w="2160"/>
            <w:tcMar>
              <w:top w:w="80" w:type="dxa"/>
              <w:start w:w="80" w:type="dxa"/>
              <w:bottom w:w="80" w:type="dxa"/>
              <w:end w:w="80" w:type="dxa"/>
            </w:tcMar>
            <w:vAlign w:val="center"/>
          </w:tcPr>
          <w:p>
            <w:pPr>
              <w:spacing w:after="0"/>
            </w:pPr>
            <w:r>
              <w:rPr>
                <w:sz w:val="16"/>
              </w:rPr>
              <w:t>RandomForest_A</w:t>
            </w:r>
          </w:p>
        </w:tc>
        <w:tc>
          <w:tcPr>
            <w:tcW w:type="dxa" w:w="4320"/>
            <w:tcMar>
              <w:top w:w="80" w:type="dxa"/>
              <w:start w:w="80" w:type="dxa"/>
              <w:bottom w:w="80" w:type="dxa"/>
              <w:end w:w="80" w:type="dxa"/>
            </w:tcMar>
            <w:vAlign w:val="center"/>
          </w:tcPr>
          <w:p>
            <w:pPr>
              <w:spacing w:after="0"/>
            </w:pPr>
            <w:r>
              <w:rPr>
                <w:sz w:val="16"/>
              </w:rPr>
              <w:t>39 demand/calendar/history features; no direct future weather</w:t>
            </w:r>
          </w:p>
        </w:tc>
        <w:tc>
          <w:tcPr>
            <w:tcW w:type="dxa" w:w="3672"/>
            <w:tcMar>
              <w:top w:w="80" w:type="dxa"/>
              <w:start w:w="80" w:type="dxa"/>
              <w:bottom w:w="80" w:type="dxa"/>
              <w:end w:w="80" w:type="dxa"/>
            </w:tcMar>
            <w:vAlign w:val="center"/>
          </w:tcPr>
          <w:p>
            <w:pPr>
              <w:spacing w:after="0"/>
            </w:pPr>
            <w:r>
              <w:rPr>
                <w:sz w:val="16"/>
              </w:rPr>
              <w:t>Robust core model for the full four-month horizon.</w:t>
            </w:r>
          </w:p>
        </w:tc>
      </w:tr>
      <w:tr>
        <w:tc>
          <w:tcPr>
            <w:tcW w:type="dxa" w:w="2160"/>
            <w:tcMar>
              <w:top w:w="80" w:type="dxa"/>
              <w:start w:w="80" w:type="dxa"/>
              <w:bottom w:w="80" w:type="dxa"/>
              <w:end w:w="80" w:type="dxa"/>
            </w:tcMar>
            <w:vAlign w:val="center"/>
            <w:shd w:fill="F7F9FB"/>
          </w:tcPr>
          <w:p>
            <w:pPr>
              <w:spacing w:after="0"/>
            </w:pPr>
            <w:r>
              <w:rPr>
                <w:sz w:val="16"/>
              </w:rPr>
              <w:t>RandomForest_B</w:t>
            </w:r>
          </w:p>
        </w:tc>
        <w:tc>
          <w:tcPr>
            <w:tcW w:type="dxa" w:w="4320"/>
            <w:tcMar>
              <w:top w:w="80" w:type="dxa"/>
              <w:start w:w="80" w:type="dxa"/>
              <w:bottom w:w="80" w:type="dxa"/>
              <w:end w:w="80" w:type="dxa"/>
            </w:tcMar>
            <w:vAlign w:val="center"/>
            <w:shd w:fill="F7F9FB"/>
          </w:tcPr>
          <w:p>
            <w:pPr>
              <w:spacing w:after="0"/>
            </w:pPr>
            <w:r>
              <w:rPr>
                <w:sz w:val="16"/>
              </w:rPr>
              <w:t>54 features; A plus 15 weather/context variables</w:t>
            </w:r>
          </w:p>
        </w:tc>
        <w:tc>
          <w:tcPr>
            <w:tcW w:type="dxa" w:w="3672"/>
            <w:tcMar>
              <w:top w:w="80" w:type="dxa"/>
              <w:start w:w="80" w:type="dxa"/>
              <w:bottom w:w="80" w:type="dxa"/>
              <w:end w:w="80" w:type="dxa"/>
            </w:tcMar>
            <w:vAlign w:val="center"/>
            <w:shd w:fill="F7F9FB"/>
          </w:tcPr>
          <w:p>
            <w:pPr>
              <w:spacing w:after="0"/>
            </w:pPr>
            <w:r>
              <w:rPr>
                <w:sz w:val="16"/>
              </w:rPr>
              <w:t>Tests whether forecast-safe weather adds enough value to justify dependency on a weather source.</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Implemented configuration  </w:t>
            </w:r>
            <w:r>
              <w:t>Full mode uses 150 trees, max depth 18, minimum leaf size 2, sqrt feature sampling and a fixed random state. Quick mode reduces tree count/depth only for code validation; final model selection uses Full mode.</w:t>
            </w:r>
          </w:p>
        </w:tc>
      </w:tr>
    </w:tbl>
    <w:p>
      <w:pPr>
        <w:spacing w:after="20"/>
      </w:pPr>
    </w:p>
    <w:p>
      <w:pPr>
        <w:pStyle w:val="Heading1"/>
      </w:pPr>
      <w:r>
        <w:t>3. Short chronological screening</w:t>
      </w:r>
    </w:p>
    <w:p>
      <w:pPr>
        <w:spacing w:after="100"/>
      </w:pPr>
      <w:r>
        <w:t>The screening stage is intentionally not the final competition. Six fast candidates (two seasonal baselines, Random Forest A/B and XGBoost A/B) are tested across three consecutive 14-day folds using only completed pre-2026 history. Its purpose is to detect broken or clearly noncompetitive configurations before expensive four-month recursion. SARIMA and SARIMAX are not fold-screened because their state-space fits are much slower; they remain in the full backtest.</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3024"/>
            <w:shd w:fill="17365D"/>
            <w:tcMar>
              <w:top w:w="80" w:type="dxa"/>
              <w:start w:w="80" w:type="dxa"/>
              <w:bottom w:w="80" w:type="dxa"/>
              <w:end w:w="80" w:type="dxa"/>
            </w:tcMar>
            <w:vAlign w:val="center"/>
          </w:tcPr>
          <w:p>
            <w:r>
              <w:rPr>
                <w:b/>
                <w:color w:val="FFFFFF"/>
                <w:sz w:val="16"/>
              </w:rPr>
              <w:t>Evidence</w:t>
            </w:r>
          </w:p>
        </w:tc>
        <w:tc>
          <w:tcPr>
            <w:tcW w:type="dxa" w:w="3456"/>
            <w:shd w:fill="17365D"/>
            <w:tcMar>
              <w:top w:w="80" w:type="dxa"/>
              <w:start w:w="80" w:type="dxa"/>
              <w:bottom w:w="80" w:type="dxa"/>
              <w:end w:w="80" w:type="dxa"/>
            </w:tcMar>
            <w:vAlign w:val="center"/>
          </w:tcPr>
          <w:p>
            <w:r>
              <w:rPr>
                <w:b/>
                <w:color w:val="FFFFFF"/>
                <w:sz w:val="16"/>
              </w:rPr>
              <w:t>Verified result</w:t>
            </w:r>
          </w:p>
        </w:tc>
        <w:tc>
          <w:tcPr>
            <w:tcW w:type="dxa" w:w="3600"/>
            <w:shd w:fill="17365D"/>
            <w:tcMar>
              <w:top w:w="80" w:type="dxa"/>
              <w:start w:w="80" w:type="dxa"/>
              <w:bottom w:w="80" w:type="dxa"/>
              <w:end w:w="80" w:type="dxa"/>
            </w:tcMar>
            <w:vAlign w:val="center"/>
          </w:tcPr>
          <w:p>
            <w:r>
              <w:rPr>
                <w:b/>
                <w:color w:val="FFFFFF"/>
                <w:sz w:val="16"/>
              </w:rPr>
              <w:t>Interpretation</w:t>
            </w:r>
          </w:p>
        </w:tc>
      </w:tr>
      <w:tr>
        <w:tc>
          <w:tcPr>
            <w:tcW w:type="dxa" w:w="3024"/>
            <w:tcMar>
              <w:top w:w="80" w:type="dxa"/>
              <w:start w:w="80" w:type="dxa"/>
              <w:bottom w:w="80" w:type="dxa"/>
              <w:end w:w="80" w:type="dxa"/>
            </w:tcMar>
            <w:vAlign w:val="center"/>
          </w:tcPr>
          <w:p>
            <w:pPr>
              <w:spacing w:after="0"/>
            </w:pPr>
            <w:r>
              <w:rPr>
                <w:sz w:val="16"/>
              </w:rPr>
              <w:t>model_screening_scores.csv</w:t>
            </w:r>
          </w:p>
        </w:tc>
        <w:tc>
          <w:tcPr>
            <w:tcW w:type="dxa" w:w="3456"/>
            <w:tcMar>
              <w:top w:w="80" w:type="dxa"/>
              <w:start w:w="80" w:type="dxa"/>
              <w:bottom w:w="80" w:type="dxa"/>
              <w:end w:w="80" w:type="dxa"/>
            </w:tcMar>
            <w:vAlign w:val="center"/>
          </w:tcPr>
          <w:p>
            <w:pPr>
              <w:spacing w:after="0"/>
            </w:pPr>
            <w:r>
              <w:rPr>
                <w:sz w:val="16"/>
              </w:rPr>
              <w:t>108 rows = 6 models × 3 folds × 6 regions</w:t>
            </w:r>
          </w:p>
        </w:tc>
        <w:tc>
          <w:tcPr>
            <w:tcW w:type="dxa" w:w="3600"/>
            <w:tcMar>
              <w:top w:w="80" w:type="dxa"/>
              <w:start w:w="80" w:type="dxa"/>
              <w:bottom w:w="80" w:type="dxa"/>
              <w:end w:w="80" w:type="dxa"/>
            </w:tcMar>
            <w:vAlign w:val="center"/>
          </w:tcPr>
          <w:p>
            <w:pPr>
              <w:spacing w:after="0"/>
            </w:pPr>
            <w:r>
              <w:rPr>
                <w:sz w:val="16"/>
              </w:rPr>
              <w:t>Every screening run reached MODEL_READY.</w:t>
            </w:r>
          </w:p>
        </w:tc>
      </w:tr>
      <w:tr>
        <w:tc>
          <w:tcPr>
            <w:tcW w:type="dxa" w:w="3024"/>
            <w:tcMar>
              <w:top w:w="80" w:type="dxa"/>
              <w:start w:w="80" w:type="dxa"/>
              <w:bottom w:w="80" w:type="dxa"/>
              <w:end w:w="80" w:type="dxa"/>
            </w:tcMar>
            <w:vAlign w:val="center"/>
            <w:shd w:fill="F7F9FB"/>
          </w:tcPr>
          <w:p>
            <w:pPr>
              <w:spacing w:after="0"/>
            </w:pPr>
            <w:r>
              <w:rPr>
                <w:sz w:val="16"/>
              </w:rPr>
              <w:t>screen_decision()</w:t>
            </w:r>
          </w:p>
        </w:tc>
        <w:tc>
          <w:tcPr>
            <w:tcW w:type="dxa" w:w="3456"/>
            <w:tcMar>
              <w:top w:w="80" w:type="dxa"/>
              <w:start w:w="80" w:type="dxa"/>
              <w:bottom w:w="80" w:type="dxa"/>
              <w:end w:w="80" w:type="dxa"/>
            </w:tcMar>
            <w:vAlign w:val="center"/>
            <w:shd w:fill="F7F9FB"/>
          </w:tcPr>
          <w:p>
            <w:pPr>
              <w:spacing w:after="0"/>
            </w:pPr>
            <w:r>
              <w:rPr>
                <w:sz w:val="16"/>
              </w:rPr>
              <w:t>ML model removed only if mean screening MAE &gt; 2× best screen MAE</w:t>
            </w:r>
          </w:p>
        </w:tc>
        <w:tc>
          <w:tcPr>
            <w:tcW w:type="dxa" w:w="3600"/>
            <w:tcMar>
              <w:top w:w="80" w:type="dxa"/>
              <w:start w:w="80" w:type="dxa"/>
              <w:bottom w:w="80" w:type="dxa"/>
              <w:end w:w="80" w:type="dxa"/>
            </w:tcMar>
            <w:vAlign w:val="center"/>
            <w:shd w:fill="F7F9FB"/>
          </w:tcPr>
          <w:p>
            <w:pPr>
              <w:spacing w:after="0"/>
            </w:pPr>
            <w:r>
              <w:rPr>
                <w:sz w:val="16"/>
              </w:rPr>
              <w:t>Screening is a failure/efficiency gate, not a winner-selection shortcut.</w:t>
            </w:r>
          </w:p>
        </w:tc>
      </w:tr>
      <w:tr>
        <w:tc>
          <w:tcPr>
            <w:tcW w:type="dxa" w:w="3024"/>
            <w:tcMar>
              <w:top w:w="80" w:type="dxa"/>
              <w:start w:w="80" w:type="dxa"/>
              <w:bottom w:w="80" w:type="dxa"/>
              <w:end w:w="80" w:type="dxa"/>
            </w:tcMar>
            <w:vAlign w:val="center"/>
          </w:tcPr>
          <w:p>
            <w:pPr>
              <w:spacing w:after="0"/>
            </w:pPr>
            <w:r>
              <w:rPr>
                <w:sz w:val="16"/>
              </w:rPr>
              <w:t>2026 exclusion</w:t>
            </w:r>
          </w:p>
        </w:tc>
        <w:tc>
          <w:tcPr>
            <w:tcW w:type="dxa" w:w="3456"/>
            <w:tcMar>
              <w:top w:w="80" w:type="dxa"/>
              <w:start w:w="80" w:type="dxa"/>
              <w:bottom w:w="80" w:type="dxa"/>
              <w:end w:w="80" w:type="dxa"/>
            </w:tcMar>
            <w:vAlign w:val="center"/>
          </w:tcPr>
          <w:p>
            <w:pPr>
              <w:spacing w:after="0"/>
            </w:pPr>
            <w:r>
              <w:rPr>
                <w:sz w:val="16"/>
              </w:rPr>
              <w:t>Screening history stops before 1 Jan 2026</w:t>
            </w:r>
          </w:p>
        </w:tc>
        <w:tc>
          <w:tcPr>
            <w:tcW w:type="dxa" w:w="3600"/>
            <w:tcMar>
              <w:top w:w="80" w:type="dxa"/>
              <w:start w:w="80" w:type="dxa"/>
              <w:bottom w:w="80" w:type="dxa"/>
              <w:end w:w="80" w:type="dxa"/>
            </w:tcMar>
            <w:vAlign w:val="center"/>
          </w:tcPr>
          <w:p>
            <w:pPr>
              <w:spacing w:after="0"/>
            </w:pPr>
            <w:r>
              <w:rPr>
                <w:sz w:val="16"/>
              </w:rPr>
              <w:t>Current-year target performance cannot influence historical winner selection.</w:t>
            </w:r>
          </w:p>
        </w:tc>
      </w:tr>
    </w:tbl>
    <w:p>
      <w:pPr>
        <w:spacing w:after="20"/>
      </w:pPr>
    </w:p>
    <w:p>
      <w:pPr>
        <w:pStyle w:val="Heading1"/>
      </w:pPr>
      <w:r>
        <w:t>4. Historical four-month backtesting</w:t>
      </w:r>
    </w:p>
    <w:p>
      <w:pPr>
        <w:jc w:val="center"/>
      </w:pPr>
      <w:r>
        <w:drawing>
          <wp:inline xmlns:a="http://schemas.openxmlformats.org/drawingml/2006/main" xmlns:pic="http://schemas.openxmlformats.org/drawingml/2006/picture">
            <wp:extent cx="6035040" cy="2323905"/>
            <wp:docPr id="2" name="Picture 2"/>
            <wp:cNvGraphicFramePr>
              <a:graphicFrameLocks noChangeAspect="1"/>
            </wp:cNvGraphicFramePr>
            <a:graphic>
              <a:graphicData uri="http://schemas.openxmlformats.org/drawingml/2006/picture">
                <pic:pic>
                  <pic:nvPicPr>
                    <pic:cNvPr id="0" name="03_backtesting_timeline.png"/>
                    <pic:cNvPicPr/>
                  </pic:nvPicPr>
                  <pic:blipFill>
                    <a:blip r:embed="rId12"/>
                    <a:stretch>
                      <a:fillRect/>
                    </a:stretch>
                  </pic:blipFill>
                  <pic:spPr>
                    <a:xfrm>
                      <a:off x="0" y="0"/>
                      <a:ext cx="6035040" cy="2323905"/>
                    </a:xfrm>
                    <a:prstGeom prst="rect"/>
                  </pic:spPr>
                </pic:pic>
              </a:graphicData>
            </a:graphic>
          </wp:inline>
        </w:drawing>
      </w:r>
    </w:p>
    <w:p>
      <w:pPr>
        <w:pStyle w:val="Caption"/>
        <w:jc w:val="center"/>
      </w:pPr>
      <w:r>
        <w:t>Figure 2. Historical analogue design used for the decisive model comparison. Each pseudo-origin reproduces the September–December deployment problem without using 2026 for selection.</w:t>
      </w:r>
    </w:p>
    <w:p>
      <w:pPr>
        <w:spacing w:after="100"/>
      </w:pPr>
      <w:r>
        <w:t>The decisive evaluation uses 1 September 2023, 2024 and 2025 as historical forecast origins. At each origin, all eight candidates are asked to forecast the same four-calendar-month horizon. Stage 3 rebuilds origin-dependent demand profiles and weather climatology from pre-origin information, then scores predictions against the actual demand that occurred later. The full output contains 144 candidate/origin/region backtest attempts.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032"/>
            <w:shd w:fill="17365D"/>
            <w:tcMar>
              <w:top w:w="80" w:type="dxa"/>
              <w:start w:w="80" w:type="dxa"/>
              <w:bottom w:w="80" w:type="dxa"/>
              <w:end w:w="80" w:type="dxa"/>
            </w:tcMar>
            <w:vAlign w:val="center"/>
          </w:tcPr>
          <w:p>
            <w:r>
              <w:rPr>
                <w:b/>
                <w:color w:val="FFFFFF"/>
                <w:sz w:val="16"/>
              </w:rPr>
              <w:t>Backtest rule</w:t>
            </w:r>
          </w:p>
        </w:tc>
        <w:tc>
          <w:tcPr>
            <w:tcW w:type="dxa" w:w="6048"/>
            <w:shd w:fill="17365D"/>
            <w:tcMar>
              <w:top w:w="80" w:type="dxa"/>
              <w:start w:w="80" w:type="dxa"/>
              <w:bottom w:w="80" w:type="dxa"/>
              <w:end w:w="80" w:type="dxa"/>
            </w:tcMar>
            <w:vAlign w:val="center"/>
          </w:tcPr>
          <w:p>
            <w:r>
              <w:rPr>
                <w:b/>
                <w:color w:val="FFFFFF"/>
                <w:sz w:val="16"/>
              </w:rPr>
              <w:t>Why it is necessary</w:t>
            </w:r>
          </w:p>
        </w:tc>
      </w:tr>
      <w:tr>
        <w:tc>
          <w:tcPr>
            <w:tcW w:type="dxa" w:w="4032"/>
            <w:tcMar>
              <w:top w:w="80" w:type="dxa"/>
              <w:start w:w="80" w:type="dxa"/>
              <w:bottom w:w="80" w:type="dxa"/>
              <w:end w:w="80" w:type="dxa"/>
            </w:tcMar>
            <w:vAlign w:val="center"/>
          </w:tcPr>
          <w:p>
            <w:pPr>
              <w:spacing w:after="0"/>
            </w:pPr>
            <w:r>
              <w:rPr>
                <w:sz w:val="16"/>
              </w:rPr>
              <w:t>Same four-month window for every candidate</w:t>
            </w:r>
          </w:p>
        </w:tc>
        <w:tc>
          <w:tcPr>
            <w:tcW w:type="dxa" w:w="6048"/>
            <w:tcMar>
              <w:top w:w="80" w:type="dxa"/>
              <w:start w:w="80" w:type="dxa"/>
              <w:bottom w:w="80" w:type="dxa"/>
              <w:end w:w="80" w:type="dxa"/>
            </w:tcMar>
            <w:vAlign w:val="center"/>
          </w:tcPr>
          <w:p>
            <w:pPr>
              <w:spacing w:after="0"/>
            </w:pPr>
            <w:r>
              <w:rPr>
                <w:sz w:val="16"/>
              </w:rPr>
              <w:t>Prevents one model receiving an easier evaluation period.</w:t>
            </w:r>
          </w:p>
        </w:tc>
      </w:tr>
      <w:tr>
        <w:tc>
          <w:tcPr>
            <w:tcW w:type="dxa" w:w="4032"/>
            <w:tcMar>
              <w:top w:w="80" w:type="dxa"/>
              <w:start w:w="80" w:type="dxa"/>
              <w:bottom w:w="80" w:type="dxa"/>
              <w:end w:w="80" w:type="dxa"/>
            </w:tcMar>
            <w:vAlign w:val="center"/>
            <w:shd w:fill="F7F9FB"/>
          </w:tcPr>
          <w:p>
            <w:pPr>
              <w:spacing w:after="0"/>
            </w:pPr>
            <w:r>
              <w:rPr>
                <w:sz w:val="16"/>
              </w:rPr>
              <w:t>Training ends before each pseudo-origin</w:t>
            </w:r>
          </w:p>
        </w:tc>
        <w:tc>
          <w:tcPr>
            <w:tcW w:type="dxa" w:w="6048"/>
            <w:tcMar>
              <w:top w:w="80" w:type="dxa"/>
              <w:start w:w="80" w:type="dxa"/>
              <w:bottom w:w="80" w:type="dxa"/>
              <w:end w:w="80" w:type="dxa"/>
            </w:tcMar>
            <w:vAlign w:val="center"/>
            <w:shd w:fill="F7F9FB"/>
          </w:tcPr>
          <w:p>
            <w:pPr>
              <w:spacing w:after="0"/>
            </w:pPr>
            <w:r>
              <w:rPr>
                <w:sz w:val="16"/>
              </w:rPr>
              <w:t>Prevents target leakage.</w:t>
            </w:r>
          </w:p>
        </w:tc>
      </w:tr>
      <w:tr>
        <w:tc>
          <w:tcPr>
            <w:tcW w:type="dxa" w:w="4032"/>
            <w:tcMar>
              <w:top w:w="80" w:type="dxa"/>
              <w:start w:w="80" w:type="dxa"/>
              <w:bottom w:w="80" w:type="dxa"/>
              <w:end w:w="80" w:type="dxa"/>
            </w:tcMar>
            <w:vAlign w:val="center"/>
          </w:tcPr>
          <w:p>
            <w:pPr>
              <w:spacing w:after="0"/>
            </w:pPr>
            <w:r>
              <w:rPr>
                <w:sz w:val="16"/>
              </w:rPr>
              <w:t>Model B target-period realised weather hidden</w:t>
            </w:r>
          </w:p>
        </w:tc>
        <w:tc>
          <w:tcPr>
            <w:tcW w:type="dxa" w:w="6048"/>
            <w:tcMar>
              <w:top w:w="80" w:type="dxa"/>
              <w:start w:w="80" w:type="dxa"/>
              <w:bottom w:w="80" w:type="dxa"/>
              <w:end w:w="80" w:type="dxa"/>
            </w:tcMar>
            <w:vAlign w:val="center"/>
          </w:tcPr>
          <w:p>
            <w:pPr>
              <w:spacing w:after="0"/>
            </w:pPr>
            <w:r>
              <w:rPr>
                <w:sz w:val="16"/>
              </w:rPr>
              <w:t>Prevents retrospective weather knowledge from inflating historical accuracy.</w:t>
            </w:r>
          </w:p>
        </w:tc>
      </w:tr>
      <w:tr>
        <w:tc>
          <w:tcPr>
            <w:tcW w:type="dxa" w:w="4032"/>
            <w:tcMar>
              <w:top w:w="80" w:type="dxa"/>
              <w:start w:w="80" w:type="dxa"/>
              <w:bottom w:w="80" w:type="dxa"/>
              <w:end w:w="80" w:type="dxa"/>
            </w:tcMar>
            <w:vAlign w:val="center"/>
            <w:shd w:fill="F7F9FB"/>
          </w:tcPr>
          <w:p>
            <w:pPr>
              <w:spacing w:after="0"/>
            </w:pPr>
            <w:r>
              <w:rPr>
                <w:sz w:val="16"/>
              </w:rPr>
              <w:t>Lead bands first 7d, days 8–30, months 2–4</w:t>
            </w:r>
          </w:p>
        </w:tc>
        <w:tc>
          <w:tcPr>
            <w:tcW w:type="dxa" w:w="6048"/>
            <w:tcMar>
              <w:top w:w="80" w:type="dxa"/>
              <w:start w:w="80" w:type="dxa"/>
              <w:bottom w:w="80" w:type="dxa"/>
              <w:end w:w="80" w:type="dxa"/>
            </w:tcMar>
            <w:vAlign w:val="center"/>
            <w:shd w:fill="F7F9FB"/>
          </w:tcPr>
          <w:p>
            <w:pPr>
              <w:spacing w:after="0"/>
            </w:pPr>
            <w:r>
              <w:rPr>
                <w:sz w:val="16"/>
              </w:rPr>
              <w:t>Shows where error grows without changing the primary full-horizon selection rule.</w:t>
            </w:r>
          </w:p>
        </w:tc>
      </w:tr>
    </w:tbl>
    <w:p>
      <w:pPr>
        <w:spacing w:after="20"/>
      </w:pPr>
    </w:p>
    <w:p>
      <w:pPr>
        <w:pStyle w:val="Heading1"/>
      </w:pPr>
      <w:r>
        <w:t>5. Regional model-selection rule and actual result</w:t>
      </w:r>
    </w:p>
    <w:tbl>
      <w:tblPr>
        <w:tblStyle w:val="TableGrid"/>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2088"/>
            <w:shd w:fill="17365D"/>
            <w:tcMar>
              <w:top w:w="80" w:type="dxa"/>
              <w:start w:w="80" w:type="dxa"/>
              <w:bottom w:w="80" w:type="dxa"/>
              <w:end w:w="80" w:type="dxa"/>
            </w:tcMar>
            <w:vAlign w:val="center"/>
          </w:tcPr>
          <w:p>
            <w:r>
              <w:rPr>
                <w:b/>
                <w:color w:val="FFFFFF"/>
                <w:sz w:val="15"/>
              </w:rPr>
              <w:t>Selected</w:t>
            </w:r>
          </w:p>
        </w:tc>
        <w:tc>
          <w:tcPr>
            <w:tcW w:type="dxa" w:w="720"/>
            <w:shd w:fill="17365D"/>
            <w:tcMar>
              <w:top w:w="80" w:type="dxa"/>
              <w:start w:w="80" w:type="dxa"/>
              <w:bottom w:w="80" w:type="dxa"/>
              <w:end w:w="80" w:type="dxa"/>
            </w:tcMar>
            <w:vAlign w:val="center"/>
          </w:tcPr>
          <w:p>
            <w:r>
              <w:rPr>
                <w:b/>
                <w:color w:val="FFFFFF"/>
                <w:sz w:val="15"/>
              </w:rPr>
              <w:t>Set</w:t>
            </w:r>
          </w:p>
        </w:tc>
        <w:tc>
          <w:tcPr>
            <w:tcW w:type="dxa" w:w="1296"/>
            <w:shd w:fill="17365D"/>
            <w:tcMar>
              <w:top w:w="80" w:type="dxa"/>
              <w:start w:w="80" w:type="dxa"/>
              <w:bottom w:w="80" w:type="dxa"/>
              <w:end w:w="80" w:type="dxa"/>
            </w:tcMar>
            <w:vAlign w:val="center"/>
          </w:tcPr>
          <w:p>
            <w:r>
              <w:rPr>
                <w:b/>
                <w:color w:val="FFFFFF"/>
                <w:sz w:val="15"/>
              </w:rPr>
              <w:t>MAE MW</w:t>
            </w:r>
          </w:p>
        </w:tc>
        <w:tc>
          <w:tcPr>
            <w:tcW w:type="dxa" w:w="1296"/>
            <w:shd w:fill="17365D"/>
            <w:tcMar>
              <w:top w:w="80" w:type="dxa"/>
              <w:start w:w="80" w:type="dxa"/>
              <w:bottom w:w="80" w:type="dxa"/>
              <w:end w:w="80" w:type="dxa"/>
            </w:tcMar>
            <w:vAlign w:val="center"/>
          </w:tcPr>
          <w:p>
            <w:r>
              <w:rPr>
                <w:b/>
                <w:color w:val="FFFFFF"/>
                <w:sz w:val="15"/>
              </w:rPr>
              <w:t>RMSE MW</w:t>
            </w:r>
          </w:p>
        </w:tc>
        <w:tc>
          <w:tcPr>
            <w:tcW w:type="dxa" w:w="1224"/>
            <w:shd w:fill="17365D"/>
            <w:tcMar>
              <w:top w:w="80" w:type="dxa"/>
              <w:start w:w="80" w:type="dxa"/>
              <w:bottom w:w="80" w:type="dxa"/>
              <w:end w:w="80" w:type="dxa"/>
            </w:tcMar>
            <w:vAlign w:val="center"/>
          </w:tcPr>
          <w:p>
            <w:r>
              <w:rPr>
                <w:b/>
                <w:color w:val="FFFFFF"/>
                <w:sz w:val="15"/>
              </w:rPr>
              <w:t>Skill</w:t>
            </w:r>
          </w:p>
        </w:tc>
        <w:tc>
          <w:tcPr>
            <w:tcW w:type="dxa" w:w="1008"/>
            <w:shd w:fill="17365D"/>
            <w:tcMar>
              <w:top w:w="80" w:type="dxa"/>
              <w:start w:w="80" w:type="dxa"/>
              <w:bottom w:w="80" w:type="dxa"/>
              <w:end w:w="80" w:type="dxa"/>
            </w:tcMar>
            <w:vAlign w:val="center"/>
          </w:tcPr>
          <w:p>
            <w:r>
              <w:rPr>
                <w:b/>
                <w:color w:val="FFFFFF"/>
                <w:sz w:val="15"/>
              </w:rPr>
              <w:t>Origins</w:t>
            </w:r>
          </w:p>
        </w:tc>
      </w:tr>
      <w:tr>
        <w:tc>
          <w:tcPr>
            <w:tcW w:type="dxa" w:w="1008"/>
            <w:tcMar>
              <w:top w:w="80" w:type="dxa"/>
              <w:start w:w="80" w:type="dxa"/>
              <w:bottom w:w="80" w:type="dxa"/>
              <w:end w:w="80" w:type="dxa"/>
            </w:tcMar>
            <w:vAlign w:val="center"/>
          </w:tcPr>
          <w:p>
            <w:pPr>
              <w:spacing w:after="0"/>
            </w:pPr>
            <w:r>
              <w:rPr>
                <w:sz w:val="15"/>
              </w:rPr>
              <w:t>NSW1</w:t>
            </w:r>
          </w:p>
        </w:tc>
        <w:tc>
          <w:tcPr>
            <w:tcW w:type="dxa" w:w="2088"/>
            <w:tcMar>
              <w:top w:w="80" w:type="dxa"/>
              <w:start w:w="80" w:type="dxa"/>
              <w:bottom w:w="80" w:type="dxa"/>
              <w:end w:w="80" w:type="dxa"/>
            </w:tcMar>
            <w:vAlign w:val="center"/>
          </w:tcPr>
          <w:p>
            <w:pPr>
              <w:spacing w:after="0"/>
            </w:pPr>
            <w:r>
              <w:rPr>
                <w:sz w:val="15"/>
              </w:rPr>
              <w:t>RandomForest_A</w:t>
            </w:r>
          </w:p>
        </w:tc>
        <w:tc>
          <w:tcPr>
            <w:tcW w:type="dxa" w:w="720"/>
            <w:tcMar>
              <w:top w:w="80" w:type="dxa"/>
              <w:start w:w="80" w:type="dxa"/>
              <w:bottom w:w="80" w:type="dxa"/>
              <w:end w:w="80" w:type="dxa"/>
            </w:tcMar>
            <w:vAlign w:val="center"/>
          </w:tcPr>
          <w:p>
            <w:pPr>
              <w:spacing w:after="0"/>
            </w:pPr>
            <w:r>
              <w:rPr>
                <w:sz w:val="15"/>
              </w:rPr>
              <w:t>A</w:t>
            </w:r>
          </w:p>
        </w:tc>
        <w:tc>
          <w:tcPr>
            <w:tcW w:type="dxa" w:w="1296"/>
            <w:tcMar>
              <w:top w:w="80" w:type="dxa"/>
              <w:start w:w="80" w:type="dxa"/>
              <w:bottom w:w="80" w:type="dxa"/>
              <w:end w:w="80" w:type="dxa"/>
            </w:tcMar>
            <w:vAlign w:val="center"/>
          </w:tcPr>
          <w:p>
            <w:pPr>
              <w:spacing w:after="0"/>
            </w:pPr>
            <w:r>
              <w:rPr>
                <w:sz w:val="15"/>
              </w:rPr>
              <w:t>596.8</w:t>
            </w:r>
          </w:p>
        </w:tc>
        <w:tc>
          <w:tcPr>
            <w:tcW w:type="dxa" w:w="1296"/>
            <w:tcMar>
              <w:top w:w="80" w:type="dxa"/>
              <w:start w:w="80" w:type="dxa"/>
              <w:bottom w:w="80" w:type="dxa"/>
              <w:end w:w="80" w:type="dxa"/>
            </w:tcMar>
            <w:vAlign w:val="center"/>
          </w:tcPr>
          <w:p>
            <w:pPr>
              <w:spacing w:after="0"/>
            </w:pPr>
            <w:r>
              <w:rPr>
                <w:sz w:val="15"/>
              </w:rPr>
              <w:t>886.1</w:t>
            </w:r>
          </w:p>
        </w:tc>
        <w:tc>
          <w:tcPr>
            <w:tcW w:type="dxa" w:w="1224"/>
            <w:tcMar>
              <w:top w:w="80" w:type="dxa"/>
              <w:start w:w="80" w:type="dxa"/>
              <w:bottom w:w="80" w:type="dxa"/>
              <w:end w:w="80" w:type="dxa"/>
            </w:tcMar>
            <w:vAlign w:val="center"/>
          </w:tcPr>
          <w:p>
            <w:pPr>
              <w:spacing w:after="0"/>
            </w:pPr>
            <w:r>
              <w:rPr>
                <w:sz w:val="15"/>
              </w:rPr>
              <w:t>+27.9%</w:t>
            </w:r>
          </w:p>
        </w:tc>
        <w:tc>
          <w:tcPr>
            <w:tcW w:type="dxa" w:w="1008"/>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2088"/>
            <w:tcMar>
              <w:top w:w="80" w:type="dxa"/>
              <w:start w:w="80" w:type="dxa"/>
              <w:bottom w:w="80" w:type="dxa"/>
              <w:end w:w="80" w:type="dxa"/>
            </w:tcMar>
            <w:vAlign w:val="center"/>
            <w:shd w:fill="F7F9FB"/>
          </w:tcPr>
          <w:p>
            <w:pPr>
              <w:spacing w:after="0"/>
            </w:pPr>
            <w:r>
              <w:rPr>
                <w:sz w:val="15"/>
              </w:rPr>
              <w:t>RandomForest_A</w:t>
            </w:r>
          </w:p>
        </w:tc>
        <w:tc>
          <w:tcPr>
            <w:tcW w:type="dxa" w:w="720"/>
            <w:tcMar>
              <w:top w:w="80" w:type="dxa"/>
              <w:start w:w="80" w:type="dxa"/>
              <w:bottom w:w="80" w:type="dxa"/>
              <w:end w:w="80" w:type="dxa"/>
            </w:tcMar>
            <w:vAlign w:val="center"/>
            <w:shd w:fill="F7F9FB"/>
          </w:tcPr>
          <w:p>
            <w:pPr>
              <w:spacing w:after="0"/>
            </w:pPr>
            <w:r>
              <w:rPr>
                <w:sz w:val="15"/>
              </w:rPr>
              <w:t>A</w:t>
            </w:r>
          </w:p>
        </w:tc>
        <w:tc>
          <w:tcPr>
            <w:tcW w:type="dxa" w:w="1296"/>
            <w:tcMar>
              <w:top w:w="80" w:type="dxa"/>
              <w:start w:w="80" w:type="dxa"/>
              <w:bottom w:w="80" w:type="dxa"/>
              <w:end w:w="80" w:type="dxa"/>
            </w:tcMar>
            <w:vAlign w:val="center"/>
            <w:shd w:fill="F7F9FB"/>
          </w:tcPr>
          <w:p>
            <w:pPr>
              <w:spacing w:after="0"/>
            </w:pPr>
            <w:r>
              <w:rPr>
                <w:sz w:val="15"/>
              </w:rPr>
              <w:t>439.1</w:t>
            </w:r>
          </w:p>
        </w:tc>
        <w:tc>
          <w:tcPr>
            <w:tcW w:type="dxa" w:w="1296"/>
            <w:tcMar>
              <w:top w:w="80" w:type="dxa"/>
              <w:start w:w="80" w:type="dxa"/>
              <w:bottom w:w="80" w:type="dxa"/>
              <w:end w:w="80" w:type="dxa"/>
            </w:tcMar>
            <w:vAlign w:val="center"/>
            <w:shd w:fill="F7F9FB"/>
          </w:tcPr>
          <w:p>
            <w:pPr>
              <w:spacing w:after="0"/>
            </w:pPr>
            <w:r>
              <w:rPr>
                <w:sz w:val="15"/>
              </w:rPr>
              <w:t>624.6</w:t>
            </w:r>
          </w:p>
        </w:tc>
        <w:tc>
          <w:tcPr>
            <w:tcW w:type="dxa" w:w="1224"/>
            <w:tcMar>
              <w:top w:w="80" w:type="dxa"/>
              <w:start w:w="80" w:type="dxa"/>
              <w:bottom w:w="80" w:type="dxa"/>
              <w:end w:w="80" w:type="dxa"/>
            </w:tcMar>
            <w:vAlign w:val="center"/>
            <w:shd w:fill="F7F9FB"/>
          </w:tcPr>
          <w:p>
            <w:pPr>
              <w:spacing w:after="0"/>
            </w:pPr>
            <w:r>
              <w:rPr>
                <w:sz w:val="15"/>
              </w:rPr>
              <w:t>+28.3%</w:t>
            </w:r>
          </w:p>
        </w:tc>
        <w:tc>
          <w:tcPr>
            <w:tcW w:type="dxa" w:w="1008"/>
            <w:tcMar>
              <w:top w:w="80" w:type="dxa"/>
              <w:start w:w="80" w:type="dxa"/>
              <w:bottom w:w="80" w:type="dxa"/>
              <w:end w:w="80" w:type="dxa"/>
            </w:tcMar>
            <w:vAlign w:val="center"/>
            <w:shd w:fill="F7F9FB"/>
          </w:tcPr>
          <w:p>
            <w:pPr>
              <w:spacing w:after="0"/>
            </w:pPr>
            <w:r>
              <w:rPr>
                <w:sz w:val="15"/>
              </w:rPr>
              <w:t>3</w:t>
            </w:r>
          </w:p>
        </w:tc>
      </w:tr>
      <w:tr>
        <w:tc>
          <w:tcPr>
            <w:tcW w:type="dxa" w:w="1008"/>
            <w:tcMar>
              <w:top w:w="80" w:type="dxa"/>
              <w:start w:w="80" w:type="dxa"/>
              <w:bottom w:w="80" w:type="dxa"/>
              <w:end w:w="80" w:type="dxa"/>
            </w:tcMar>
            <w:vAlign w:val="center"/>
          </w:tcPr>
          <w:p>
            <w:pPr>
              <w:spacing w:after="0"/>
            </w:pPr>
            <w:r>
              <w:rPr>
                <w:sz w:val="15"/>
              </w:rPr>
              <w:t>VIC1</w:t>
            </w:r>
          </w:p>
        </w:tc>
        <w:tc>
          <w:tcPr>
            <w:tcW w:type="dxa" w:w="2088"/>
            <w:tcMar>
              <w:top w:w="80" w:type="dxa"/>
              <w:start w:w="80" w:type="dxa"/>
              <w:bottom w:w="80" w:type="dxa"/>
              <w:end w:w="80" w:type="dxa"/>
            </w:tcMar>
            <w:vAlign w:val="center"/>
          </w:tcPr>
          <w:p>
            <w:pPr>
              <w:spacing w:after="0"/>
            </w:pPr>
            <w:r>
              <w:rPr>
                <w:sz w:val="15"/>
              </w:rPr>
              <w:t>RandomForest_A</w:t>
            </w:r>
          </w:p>
        </w:tc>
        <w:tc>
          <w:tcPr>
            <w:tcW w:type="dxa" w:w="720"/>
            <w:tcMar>
              <w:top w:w="80" w:type="dxa"/>
              <w:start w:w="80" w:type="dxa"/>
              <w:bottom w:w="80" w:type="dxa"/>
              <w:end w:w="80" w:type="dxa"/>
            </w:tcMar>
            <w:vAlign w:val="center"/>
          </w:tcPr>
          <w:p>
            <w:pPr>
              <w:spacing w:after="0"/>
            </w:pPr>
            <w:r>
              <w:rPr>
                <w:sz w:val="15"/>
              </w:rPr>
              <w:t>A</w:t>
            </w:r>
          </w:p>
        </w:tc>
        <w:tc>
          <w:tcPr>
            <w:tcW w:type="dxa" w:w="1296"/>
            <w:tcMar>
              <w:top w:w="80" w:type="dxa"/>
              <w:start w:w="80" w:type="dxa"/>
              <w:bottom w:w="80" w:type="dxa"/>
              <w:end w:w="80" w:type="dxa"/>
            </w:tcMar>
            <w:vAlign w:val="center"/>
          </w:tcPr>
          <w:p>
            <w:pPr>
              <w:spacing w:after="0"/>
            </w:pPr>
            <w:r>
              <w:rPr>
                <w:sz w:val="15"/>
              </w:rPr>
              <w:t>458.2</w:t>
            </w:r>
          </w:p>
        </w:tc>
        <w:tc>
          <w:tcPr>
            <w:tcW w:type="dxa" w:w="1296"/>
            <w:tcMar>
              <w:top w:w="80" w:type="dxa"/>
              <w:start w:w="80" w:type="dxa"/>
              <w:bottom w:w="80" w:type="dxa"/>
              <w:end w:w="80" w:type="dxa"/>
            </w:tcMar>
            <w:vAlign w:val="center"/>
          </w:tcPr>
          <w:p>
            <w:pPr>
              <w:spacing w:after="0"/>
            </w:pPr>
            <w:r>
              <w:rPr>
                <w:sz w:val="15"/>
              </w:rPr>
              <w:t>641.0</w:t>
            </w:r>
          </w:p>
        </w:tc>
        <w:tc>
          <w:tcPr>
            <w:tcW w:type="dxa" w:w="1224"/>
            <w:tcMar>
              <w:top w:w="80" w:type="dxa"/>
              <w:start w:w="80" w:type="dxa"/>
              <w:bottom w:w="80" w:type="dxa"/>
              <w:end w:w="80" w:type="dxa"/>
            </w:tcMar>
            <w:vAlign w:val="center"/>
          </w:tcPr>
          <w:p>
            <w:pPr>
              <w:spacing w:after="0"/>
            </w:pPr>
            <w:r>
              <w:rPr>
                <w:sz w:val="15"/>
              </w:rPr>
              <w:t>+32.2%</w:t>
            </w:r>
          </w:p>
        </w:tc>
        <w:tc>
          <w:tcPr>
            <w:tcW w:type="dxa" w:w="1008"/>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SA1</w:t>
            </w:r>
          </w:p>
        </w:tc>
        <w:tc>
          <w:tcPr>
            <w:tcW w:type="dxa" w:w="2088"/>
            <w:tcMar>
              <w:top w:w="80" w:type="dxa"/>
              <w:start w:w="80" w:type="dxa"/>
              <w:bottom w:w="80" w:type="dxa"/>
              <w:end w:w="80" w:type="dxa"/>
            </w:tcMar>
            <w:vAlign w:val="center"/>
            <w:shd w:fill="F7F9FB"/>
          </w:tcPr>
          <w:p>
            <w:pPr>
              <w:spacing w:after="0"/>
            </w:pPr>
            <w:r>
              <w:rPr>
                <w:sz w:val="15"/>
              </w:rPr>
              <w:t>RandomForest_B</w:t>
            </w:r>
          </w:p>
        </w:tc>
        <w:tc>
          <w:tcPr>
            <w:tcW w:type="dxa" w:w="720"/>
            <w:tcMar>
              <w:top w:w="80" w:type="dxa"/>
              <w:start w:w="80" w:type="dxa"/>
              <w:bottom w:w="80" w:type="dxa"/>
              <w:end w:w="80" w:type="dxa"/>
            </w:tcMar>
            <w:vAlign w:val="center"/>
            <w:shd w:fill="F7F9FB"/>
          </w:tcPr>
          <w:p>
            <w:pPr>
              <w:spacing w:after="0"/>
            </w:pPr>
            <w:r>
              <w:rPr>
                <w:sz w:val="15"/>
              </w:rPr>
              <w:t>B</w:t>
            </w:r>
          </w:p>
        </w:tc>
        <w:tc>
          <w:tcPr>
            <w:tcW w:type="dxa" w:w="1296"/>
            <w:tcMar>
              <w:top w:w="80" w:type="dxa"/>
              <w:start w:w="80" w:type="dxa"/>
              <w:bottom w:w="80" w:type="dxa"/>
              <w:end w:w="80" w:type="dxa"/>
            </w:tcMar>
            <w:vAlign w:val="center"/>
            <w:shd w:fill="F7F9FB"/>
          </w:tcPr>
          <w:p>
            <w:pPr>
              <w:spacing w:after="0"/>
            </w:pPr>
            <w:r>
              <w:rPr>
                <w:sz w:val="15"/>
              </w:rPr>
              <w:t>183.1</w:t>
            </w:r>
          </w:p>
        </w:tc>
        <w:tc>
          <w:tcPr>
            <w:tcW w:type="dxa" w:w="1296"/>
            <w:tcMar>
              <w:top w:w="80" w:type="dxa"/>
              <w:start w:w="80" w:type="dxa"/>
              <w:bottom w:w="80" w:type="dxa"/>
              <w:end w:w="80" w:type="dxa"/>
            </w:tcMar>
            <w:vAlign w:val="center"/>
            <w:shd w:fill="F7F9FB"/>
          </w:tcPr>
          <w:p>
            <w:pPr>
              <w:spacing w:after="0"/>
            </w:pPr>
            <w:r>
              <w:rPr>
                <w:sz w:val="15"/>
              </w:rPr>
              <w:t>273.2</w:t>
            </w:r>
          </w:p>
        </w:tc>
        <w:tc>
          <w:tcPr>
            <w:tcW w:type="dxa" w:w="1224"/>
            <w:tcMar>
              <w:top w:w="80" w:type="dxa"/>
              <w:start w:w="80" w:type="dxa"/>
              <w:bottom w:w="80" w:type="dxa"/>
              <w:end w:w="80" w:type="dxa"/>
            </w:tcMar>
            <w:vAlign w:val="center"/>
            <w:shd w:fill="F7F9FB"/>
          </w:tcPr>
          <w:p>
            <w:pPr>
              <w:spacing w:after="0"/>
            </w:pPr>
            <w:r>
              <w:rPr>
                <w:sz w:val="15"/>
              </w:rPr>
              <w:t>+34.8%</w:t>
            </w:r>
          </w:p>
        </w:tc>
        <w:tc>
          <w:tcPr>
            <w:tcW w:type="dxa" w:w="1008"/>
            <w:tcMar>
              <w:top w:w="80" w:type="dxa"/>
              <w:start w:w="80" w:type="dxa"/>
              <w:bottom w:w="80" w:type="dxa"/>
              <w:end w:w="80" w:type="dxa"/>
            </w:tcMar>
            <w:vAlign w:val="center"/>
            <w:shd w:fill="F7F9FB"/>
          </w:tcPr>
          <w:p>
            <w:pPr>
              <w:spacing w:after="0"/>
            </w:pPr>
            <w:r>
              <w:rPr>
                <w:sz w:val="15"/>
              </w:rPr>
              <w:t>2</w:t>
            </w:r>
          </w:p>
        </w:tc>
      </w:tr>
      <w:tr>
        <w:tc>
          <w:tcPr>
            <w:tcW w:type="dxa" w:w="1008"/>
            <w:tcMar>
              <w:top w:w="80" w:type="dxa"/>
              <w:start w:w="80" w:type="dxa"/>
              <w:bottom w:w="80" w:type="dxa"/>
              <w:end w:w="80" w:type="dxa"/>
            </w:tcMar>
            <w:vAlign w:val="center"/>
          </w:tcPr>
          <w:p>
            <w:pPr>
              <w:spacing w:after="0"/>
            </w:pPr>
            <w:r>
              <w:rPr>
                <w:sz w:val="15"/>
              </w:rPr>
              <w:t>TAS1</w:t>
            </w:r>
          </w:p>
        </w:tc>
        <w:tc>
          <w:tcPr>
            <w:tcW w:type="dxa" w:w="2088"/>
            <w:tcMar>
              <w:top w:w="80" w:type="dxa"/>
              <w:start w:w="80" w:type="dxa"/>
              <w:bottom w:w="80" w:type="dxa"/>
              <w:end w:w="80" w:type="dxa"/>
            </w:tcMar>
            <w:vAlign w:val="center"/>
          </w:tcPr>
          <w:p>
            <w:pPr>
              <w:spacing w:after="0"/>
            </w:pPr>
            <w:r>
              <w:rPr>
                <w:sz w:val="15"/>
              </w:rPr>
              <w:t>RandomForest_A</w:t>
            </w:r>
          </w:p>
        </w:tc>
        <w:tc>
          <w:tcPr>
            <w:tcW w:type="dxa" w:w="720"/>
            <w:tcMar>
              <w:top w:w="80" w:type="dxa"/>
              <w:start w:w="80" w:type="dxa"/>
              <w:bottom w:w="80" w:type="dxa"/>
              <w:end w:w="80" w:type="dxa"/>
            </w:tcMar>
            <w:vAlign w:val="center"/>
          </w:tcPr>
          <w:p>
            <w:pPr>
              <w:spacing w:after="0"/>
            </w:pPr>
            <w:r>
              <w:rPr>
                <w:sz w:val="15"/>
              </w:rPr>
              <w:t>A</w:t>
            </w:r>
          </w:p>
        </w:tc>
        <w:tc>
          <w:tcPr>
            <w:tcW w:type="dxa" w:w="1296"/>
            <w:tcMar>
              <w:top w:w="80" w:type="dxa"/>
              <w:start w:w="80" w:type="dxa"/>
              <w:bottom w:w="80" w:type="dxa"/>
              <w:end w:w="80" w:type="dxa"/>
            </w:tcMar>
            <w:vAlign w:val="center"/>
          </w:tcPr>
          <w:p>
            <w:pPr>
              <w:spacing w:after="0"/>
            </w:pPr>
            <w:r>
              <w:rPr>
                <w:sz w:val="15"/>
              </w:rPr>
              <w:t>70.2</w:t>
            </w:r>
          </w:p>
        </w:tc>
        <w:tc>
          <w:tcPr>
            <w:tcW w:type="dxa" w:w="1296"/>
            <w:tcMar>
              <w:top w:w="80" w:type="dxa"/>
              <w:start w:w="80" w:type="dxa"/>
              <w:bottom w:w="80" w:type="dxa"/>
              <w:end w:w="80" w:type="dxa"/>
            </w:tcMar>
            <w:vAlign w:val="center"/>
          </w:tcPr>
          <w:p>
            <w:pPr>
              <w:spacing w:after="0"/>
            </w:pPr>
            <w:r>
              <w:rPr>
                <w:sz w:val="15"/>
              </w:rPr>
              <w:t>88.8</w:t>
            </w:r>
          </w:p>
        </w:tc>
        <w:tc>
          <w:tcPr>
            <w:tcW w:type="dxa" w:w="1224"/>
            <w:tcMar>
              <w:top w:w="80" w:type="dxa"/>
              <w:start w:w="80" w:type="dxa"/>
              <w:bottom w:w="80" w:type="dxa"/>
              <w:end w:w="80" w:type="dxa"/>
            </w:tcMar>
            <w:vAlign w:val="center"/>
          </w:tcPr>
          <w:p>
            <w:pPr>
              <w:spacing w:after="0"/>
            </w:pPr>
            <w:r>
              <w:rPr>
                <w:sz w:val="15"/>
              </w:rPr>
              <w:t>+32.8%</w:t>
            </w:r>
          </w:p>
        </w:tc>
        <w:tc>
          <w:tcPr>
            <w:tcW w:type="dxa" w:w="1008"/>
            <w:tcMar>
              <w:top w:w="80" w:type="dxa"/>
              <w:start w:w="80" w:type="dxa"/>
              <w:bottom w:w="80" w:type="dxa"/>
              <w:end w:w="80" w:type="dxa"/>
            </w:tcMar>
            <w:vAlign w:val="center"/>
          </w:tcPr>
          <w:p>
            <w:pPr>
              <w:spacing w:after="0"/>
            </w:pPr>
            <w:r>
              <w:rPr>
                <w:sz w:val="15"/>
              </w:rPr>
              <w:t>3</w:t>
            </w:r>
          </w:p>
        </w:tc>
      </w:tr>
      <w:tr>
        <w:tc>
          <w:tcPr>
            <w:tcW w:type="dxa" w:w="1008"/>
            <w:tcMar>
              <w:top w:w="80" w:type="dxa"/>
              <w:start w:w="80" w:type="dxa"/>
              <w:bottom w:w="80" w:type="dxa"/>
              <w:end w:w="80" w:type="dxa"/>
            </w:tcMar>
            <w:vAlign w:val="center"/>
            <w:shd w:fill="F7F9FB"/>
          </w:tcPr>
          <w:p>
            <w:pPr>
              <w:spacing w:after="0"/>
            </w:pPr>
            <w:r>
              <w:rPr>
                <w:sz w:val="15"/>
              </w:rPr>
              <w:t>WA</w:t>
            </w:r>
          </w:p>
        </w:tc>
        <w:tc>
          <w:tcPr>
            <w:tcW w:type="dxa" w:w="2088"/>
            <w:tcMar>
              <w:top w:w="80" w:type="dxa"/>
              <w:start w:w="80" w:type="dxa"/>
              <w:bottom w:w="80" w:type="dxa"/>
              <w:end w:w="80" w:type="dxa"/>
            </w:tcMar>
            <w:vAlign w:val="center"/>
            <w:shd w:fill="F7F9FB"/>
          </w:tcPr>
          <w:p>
            <w:pPr>
              <w:spacing w:after="0"/>
            </w:pPr>
            <w:r>
              <w:rPr>
                <w:sz w:val="15"/>
              </w:rPr>
              <w:t>RandomForest_B</w:t>
            </w:r>
          </w:p>
        </w:tc>
        <w:tc>
          <w:tcPr>
            <w:tcW w:type="dxa" w:w="720"/>
            <w:tcMar>
              <w:top w:w="80" w:type="dxa"/>
              <w:start w:w="80" w:type="dxa"/>
              <w:bottom w:w="80" w:type="dxa"/>
              <w:end w:w="80" w:type="dxa"/>
            </w:tcMar>
            <w:vAlign w:val="center"/>
            <w:shd w:fill="F7F9FB"/>
          </w:tcPr>
          <w:p>
            <w:pPr>
              <w:spacing w:after="0"/>
            </w:pPr>
            <w:r>
              <w:rPr>
                <w:sz w:val="15"/>
              </w:rPr>
              <w:t>B</w:t>
            </w:r>
          </w:p>
        </w:tc>
        <w:tc>
          <w:tcPr>
            <w:tcW w:type="dxa" w:w="1296"/>
            <w:tcMar>
              <w:top w:w="80" w:type="dxa"/>
              <w:start w:w="80" w:type="dxa"/>
              <w:bottom w:w="80" w:type="dxa"/>
              <w:end w:w="80" w:type="dxa"/>
            </w:tcMar>
            <w:vAlign w:val="center"/>
            <w:shd w:fill="F7F9FB"/>
          </w:tcPr>
          <w:p>
            <w:pPr>
              <w:spacing w:after="0"/>
            </w:pPr>
            <w:r>
              <w:rPr>
                <w:sz w:val="15"/>
              </w:rPr>
              <w:t>206.5</w:t>
            </w:r>
          </w:p>
        </w:tc>
        <w:tc>
          <w:tcPr>
            <w:tcW w:type="dxa" w:w="1296"/>
            <w:tcMar>
              <w:top w:w="80" w:type="dxa"/>
              <w:start w:w="80" w:type="dxa"/>
              <w:bottom w:w="80" w:type="dxa"/>
              <w:end w:w="80" w:type="dxa"/>
            </w:tcMar>
            <w:vAlign w:val="center"/>
            <w:shd w:fill="F7F9FB"/>
          </w:tcPr>
          <w:p>
            <w:pPr>
              <w:spacing w:after="0"/>
            </w:pPr>
            <w:r>
              <w:rPr>
                <w:sz w:val="15"/>
              </w:rPr>
              <w:t>305.9</w:t>
            </w:r>
          </w:p>
        </w:tc>
        <w:tc>
          <w:tcPr>
            <w:tcW w:type="dxa" w:w="1224"/>
            <w:tcMar>
              <w:top w:w="80" w:type="dxa"/>
              <w:start w:w="80" w:type="dxa"/>
              <w:bottom w:w="80" w:type="dxa"/>
              <w:end w:w="80" w:type="dxa"/>
            </w:tcMar>
            <w:vAlign w:val="center"/>
            <w:shd w:fill="F7F9FB"/>
          </w:tcPr>
          <w:p>
            <w:pPr>
              <w:spacing w:after="0"/>
            </w:pPr>
            <w:r>
              <w:rPr>
                <w:sz w:val="15"/>
              </w:rPr>
              <w:t>+26.5%</w:t>
            </w:r>
          </w:p>
        </w:tc>
        <w:tc>
          <w:tcPr>
            <w:tcW w:type="dxa" w:w="1008"/>
            <w:tcMar>
              <w:top w:w="80" w:type="dxa"/>
              <w:start w:w="80" w:type="dxa"/>
              <w:bottom w:w="80" w:type="dxa"/>
              <w:end w:w="80" w:type="dxa"/>
            </w:tcMar>
            <w:vAlign w:val="center"/>
            <w:shd w:fill="F7F9FB"/>
          </w:tcPr>
          <w:p>
            <w:pPr>
              <w:spacing w:after="0"/>
            </w:pPr>
            <w:r>
              <w:rPr>
                <w:sz w:val="15"/>
              </w:rPr>
              <w:t>2</w:t>
            </w:r>
          </w:p>
        </w:tc>
      </w:tr>
    </w:tbl>
    <w:p>
      <w:pPr>
        <w:spacing w:after="20"/>
      </w:pPr>
    </w:p>
    <w:p>
      <w:pPr>
        <w:spacing w:after="100"/>
      </w:pPr>
      <w:r>
        <w:t>Selection is based on deployment-safe mean four-month MAE. Fully MODEL_READY candidates are preferred over warning candidates. If two candidates are within 1% MAE, the simpler and more stable option wins. This prevents an unstable model from winning because of a tiny numerical advantage. The final run selected RandomForest_A for NSW1, QLD1, VIC1 and TAS1, and RandomForest_B for SA1 and WA.</w:t>
      </w:r>
    </w:p>
    <w:p>
      <w:pPr>
        <w:jc w:val="center"/>
      </w:pPr>
      <w:r>
        <w:drawing>
          <wp:inline xmlns:a="http://schemas.openxmlformats.org/drawingml/2006/main" xmlns:pic="http://schemas.openxmlformats.org/drawingml/2006/picture">
            <wp:extent cx="5852160" cy="2994128"/>
            <wp:docPr id="3" name="Picture 3"/>
            <wp:cNvGraphicFramePr>
              <a:graphicFrameLocks noChangeAspect="1"/>
            </wp:cNvGraphicFramePr>
            <a:graphic>
              <a:graphicData uri="http://schemas.openxmlformats.org/drawingml/2006/picture">
                <pic:pic>
                  <pic:nvPicPr>
                    <pic:cNvPr id="0" name="05_model_mae_heatmap.png"/>
                    <pic:cNvPicPr/>
                  </pic:nvPicPr>
                  <pic:blipFill>
                    <a:blip r:embed="rId13"/>
                    <a:stretch>
                      <a:fillRect/>
                    </a:stretch>
                  </pic:blipFill>
                  <pic:spPr>
                    <a:xfrm>
                      <a:off x="0" y="0"/>
                      <a:ext cx="5852160" cy="2994128"/>
                    </a:xfrm>
                    <a:prstGeom prst="rect"/>
                  </pic:spPr>
                </pic:pic>
              </a:graphicData>
            </a:graphic>
          </wp:inline>
        </w:drawing>
      </w:r>
    </w:p>
    <w:p>
      <w:pPr>
        <w:pStyle w:val="Caption"/>
        <w:jc w:val="center"/>
      </w:pPr>
      <w:r>
        <w:t>Figure 3. Mean four-month MAE across candidate models and regions. Random Forest is the strongest deployment-safe family in the final selection output.</w:t>
      </w:r>
    </w:p>
    <w:p>
      <w:pPr>
        <w:pStyle w:val="Heading1"/>
      </w:pPr>
      <w:r>
        <w:t>6. Model A vs Model B interpretation</w:t>
      </w:r>
    </w:p>
    <w:tbl>
      <w:tblPr>
        <w:tblStyle w:val="TableGrid"/>
        <w:tblW w:type="auto" w:w="0"/>
        <w:jc w:val="center"/>
        <w:tblLayout w:type="fixed"/>
        <w:tblLook w:firstColumn="1" w:firstRow="1" w:lastColumn="0" w:lastRow="0" w:noHBand="0" w:noVBand="1" w:val="04A0"/>
      </w:tblPr>
      <w:tblGrid>
        <w:gridCol w:w="1687"/>
        <w:gridCol w:w="1687"/>
        <w:gridCol w:w="1687"/>
        <w:gridCol w:w="1687"/>
        <w:gridCol w:w="1687"/>
        <w:gridCol w:w="1687"/>
      </w:tblGrid>
      <w:tr>
        <w:trPr>
          <w:tblHeader w:val="true"/>
        </w:trPr>
        <w:tc>
          <w:tcPr>
            <w:tcW w:type="dxa" w:w="1008"/>
            <w:shd w:fill="17365D"/>
            <w:tcMar>
              <w:top w:w="80" w:type="dxa"/>
              <w:start w:w="80" w:type="dxa"/>
              <w:bottom w:w="80" w:type="dxa"/>
              <w:end w:w="80" w:type="dxa"/>
            </w:tcMar>
            <w:vAlign w:val="center"/>
          </w:tcPr>
          <w:p>
            <w:r>
              <w:rPr>
                <w:b/>
                <w:color w:val="FFFFFF"/>
                <w:sz w:val="15"/>
              </w:rPr>
              <w:t>Region</w:t>
            </w:r>
          </w:p>
        </w:tc>
        <w:tc>
          <w:tcPr>
            <w:tcW w:type="dxa" w:w="2016"/>
            <w:shd w:fill="17365D"/>
            <w:tcMar>
              <w:top w:w="80" w:type="dxa"/>
              <w:start w:w="80" w:type="dxa"/>
              <w:bottom w:w="80" w:type="dxa"/>
              <w:end w:w="80" w:type="dxa"/>
            </w:tcMar>
            <w:vAlign w:val="center"/>
          </w:tcPr>
          <w:p>
            <w:r>
              <w:rPr>
                <w:b/>
                <w:color w:val="FFFFFF"/>
                <w:sz w:val="15"/>
              </w:rPr>
              <w:t>A champion</w:t>
            </w:r>
          </w:p>
        </w:tc>
        <w:tc>
          <w:tcPr>
            <w:tcW w:type="dxa" w:w="2016"/>
            <w:shd w:fill="17365D"/>
            <w:tcMar>
              <w:top w:w="80" w:type="dxa"/>
              <w:start w:w="80" w:type="dxa"/>
              <w:bottom w:w="80" w:type="dxa"/>
              <w:end w:w="80" w:type="dxa"/>
            </w:tcMar>
            <w:vAlign w:val="center"/>
          </w:tcPr>
          <w:p>
            <w:r>
              <w:rPr>
                <w:b/>
                <w:color w:val="FFFFFF"/>
                <w:sz w:val="15"/>
              </w:rPr>
              <w:t>B champion</w:t>
            </w:r>
          </w:p>
        </w:tc>
        <w:tc>
          <w:tcPr>
            <w:tcW w:type="dxa" w:w="1224"/>
            <w:shd w:fill="17365D"/>
            <w:tcMar>
              <w:top w:w="80" w:type="dxa"/>
              <w:start w:w="80" w:type="dxa"/>
              <w:bottom w:w="80" w:type="dxa"/>
              <w:end w:w="80" w:type="dxa"/>
            </w:tcMar>
            <w:vAlign w:val="center"/>
          </w:tcPr>
          <w:p>
            <w:r>
              <w:rPr>
                <w:b/>
                <w:color w:val="FFFFFF"/>
                <w:sz w:val="15"/>
              </w:rPr>
              <w:t>A MAE</w:t>
            </w:r>
          </w:p>
        </w:tc>
        <w:tc>
          <w:tcPr>
            <w:tcW w:type="dxa" w:w="1224"/>
            <w:shd w:fill="17365D"/>
            <w:tcMar>
              <w:top w:w="80" w:type="dxa"/>
              <w:start w:w="80" w:type="dxa"/>
              <w:bottom w:w="80" w:type="dxa"/>
              <w:end w:w="80" w:type="dxa"/>
            </w:tcMar>
            <w:vAlign w:val="center"/>
          </w:tcPr>
          <w:p>
            <w:r>
              <w:rPr>
                <w:b/>
                <w:color w:val="FFFFFF"/>
                <w:sz w:val="15"/>
              </w:rPr>
              <w:t>B MAE</w:t>
            </w:r>
          </w:p>
        </w:tc>
        <w:tc>
          <w:tcPr>
            <w:tcW w:type="dxa" w:w="1440"/>
            <w:shd w:fill="17365D"/>
            <w:tcMar>
              <w:top w:w="80" w:type="dxa"/>
              <w:start w:w="80" w:type="dxa"/>
              <w:bottom w:w="80" w:type="dxa"/>
              <w:end w:w="80" w:type="dxa"/>
            </w:tcMar>
            <w:vAlign w:val="center"/>
          </w:tcPr>
          <w:p>
            <w:r>
              <w:rPr>
                <w:b/>
                <w:color w:val="FFFFFF"/>
                <w:sz w:val="15"/>
              </w:rPr>
              <w:t>B skill vs A</w:t>
            </w:r>
          </w:p>
        </w:tc>
      </w:tr>
      <w:tr>
        <w:tc>
          <w:tcPr>
            <w:tcW w:type="dxa" w:w="1008"/>
            <w:tcMar>
              <w:top w:w="80" w:type="dxa"/>
              <w:start w:w="80" w:type="dxa"/>
              <w:bottom w:w="80" w:type="dxa"/>
              <w:end w:w="80" w:type="dxa"/>
            </w:tcMar>
            <w:vAlign w:val="center"/>
          </w:tcPr>
          <w:p>
            <w:pPr>
              <w:spacing w:after="0"/>
            </w:pPr>
            <w:r>
              <w:rPr>
                <w:sz w:val="15"/>
              </w:rPr>
              <w:t>NSW1</w:t>
            </w:r>
          </w:p>
        </w:tc>
        <w:tc>
          <w:tcPr>
            <w:tcW w:type="dxa" w:w="2016"/>
            <w:tcMar>
              <w:top w:w="80" w:type="dxa"/>
              <w:start w:w="80" w:type="dxa"/>
              <w:bottom w:w="80" w:type="dxa"/>
              <w:end w:w="80" w:type="dxa"/>
            </w:tcMar>
            <w:vAlign w:val="center"/>
          </w:tcPr>
          <w:p>
            <w:pPr>
              <w:spacing w:after="0"/>
            </w:pPr>
            <w:r>
              <w:rPr>
                <w:sz w:val="15"/>
              </w:rPr>
              <w:t>RandomForest_A</w:t>
            </w:r>
          </w:p>
        </w:tc>
        <w:tc>
          <w:tcPr>
            <w:tcW w:type="dxa" w:w="2016"/>
            <w:tcMar>
              <w:top w:w="80" w:type="dxa"/>
              <w:start w:w="80" w:type="dxa"/>
              <w:bottom w:w="80" w:type="dxa"/>
              <w:end w:w="80" w:type="dxa"/>
            </w:tcMar>
            <w:vAlign w:val="center"/>
          </w:tcPr>
          <w:p>
            <w:pPr>
              <w:spacing w:after="0"/>
            </w:pPr>
            <w:r>
              <w:rPr>
                <w:sz w:val="15"/>
              </w:rPr>
              <w:t>RandomForest_B</w:t>
            </w:r>
          </w:p>
        </w:tc>
        <w:tc>
          <w:tcPr>
            <w:tcW w:type="dxa" w:w="1224"/>
            <w:tcMar>
              <w:top w:w="80" w:type="dxa"/>
              <w:start w:w="80" w:type="dxa"/>
              <w:bottom w:w="80" w:type="dxa"/>
              <w:end w:w="80" w:type="dxa"/>
            </w:tcMar>
            <w:vAlign w:val="center"/>
          </w:tcPr>
          <w:p>
            <w:pPr>
              <w:spacing w:after="0"/>
            </w:pPr>
            <w:r>
              <w:rPr>
                <w:sz w:val="15"/>
              </w:rPr>
              <w:t>596.8</w:t>
            </w:r>
          </w:p>
        </w:tc>
        <w:tc>
          <w:tcPr>
            <w:tcW w:type="dxa" w:w="1224"/>
            <w:tcMar>
              <w:top w:w="80" w:type="dxa"/>
              <w:start w:w="80" w:type="dxa"/>
              <w:bottom w:w="80" w:type="dxa"/>
              <w:end w:w="80" w:type="dxa"/>
            </w:tcMar>
            <w:vAlign w:val="center"/>
          </w:tcPr>
          <w:p>
            <w:pPr>
              <w:spacing w:after="0"/>
            </w:pPr>
            <w:r>
              <w:rPr>
                <w:sz w:val="15"/>
              </w:rPr>
              <w:t>629.0</w:t>
            </w:r>
          </w:p>
        </w:tc>
        <w:tc>
          <w:tcPr>
            <w:tcW w:type="dxa" w:w="1440"/>
            <w:tcMar>
              <w:top w:w="80" w:type="dxa"/>
              <w:start w:w="80" w:type="dxa"/>
              <w:bottom w:w="80" w:type="dxa"/>
              <w:end w:w="80" w:type="dxa"/>
            </w:tcMar>
            <w:vAlign w:val="center"/>
          </w:tcPr>
          <w:p>
            <w:pPr>
              <w:spacing w:after="0"/>
            </w:pPr>
            <w:r>
              <w:rPr>
                <w:sz w:val="15"/>
              </w:rPr>
              <w:t>-5.39%</w:t>
            </w:r>
          </w:p>
        </w:tc>
      </w:tr>
      <w:tr>
        <w:tc>
          <w:tcPr>
            <w:tcW w:type="dxa" w:w="1008"/>
            <w:tcMar>
              <w:top w:w="80" w:type="dxa"/>
              <w:start w:w="80" w:type="dxa"/>
              <w:bottom w:w="80" w:type="dxa"/>
              <w:end w:w="80" w:type="dxa"/>
            </w:tcMar>
            <w:vAlign w:val="center"/>
            <w:shd w:fill="F7F9FB"/>
          </w:tcPr>
          <w:p>
            <w:pPr>
              <w:spacing w:after="0"/>
            </w:pPr>
            <w:r>
              <w:rPr>
                <w:sz w:val="15"/>
              </w:rPr>
              <w:t>QLD1</w:t>
            </w:r>
          </w:p>
        </w:tc>
        <w:tc>
          <w:tcPr>
            <w:tcW w:type="dxa" w:w="2016"/>
            <w:tcMar>
              <w:top w:w="80" w:type="dxa"/>
              <w:start w:w="80" w:type="dxa"/>
              <w:bottom w:w="80" w:type="dxa"/>
              <w:end w:w="80" w:type="dxa"/>
            </w:tcMar>
            <w:vAlign w:val="center"/>
            <w:shd w:fill="F7F9FB"/>
          </w:tcPr>
          <w:p>
            <w:pPr>
              <w:spacing w:after="0"/>
            </w:pPr>
            <w:r>
              <w:rPr>
                <w:sz w:val="15"/>
              </w:rPr>
              <w:t>RandomForest_A</w:t>
            </w:r>
          </w:p>
        </w:tc>
        <w:tc>
          <w:tcPr>
            <w:tcW w:type="dxa" w:w="2016"/>
            <w:tcMar>
              <w:top w:w="80" w:type="dxa"/>
              <w:start w:w="80" w:type="dxa"/>
              <w:bottom w:w="80" w:type="dxa"/>
              <w:end w:w="80" w:type="dxa"/>
            </w:tcMar>
            <w:vAlign w:val="center"/>
            <w:shd w:fill="F7F9FB"/>
          </w:tcPr>
          <w:p>
            <w:pPr>
              <w:spacing w:after="0"/>
            </w:pPr>
            <w:r>
              <w:rPr>
                <w:sz w:val="15"/>
              </w:rPr>
              <w:t>RandomForest_B</w:t>
            </w:r>
          </w:p>
        </w:tc>
        <w:tc>
          <w:tcPr>
            <w:tcW w:type="dxa" w:w="1224"/>
            <w:tcMar>
              <w:top w:w="80" w:type="dxa"/>
              <w:start w:w="80" w:type="dxa"/>
              <w:bottom w:w="80" w:type="dxa"/>
              <w:end w:w="80" w:type="dxa"/>
            </w:tcMar>
            <w:vAlign w:val="center"/>
            <w:shd w:fill="F7F9FB"/>
          </w:tcPr>
          <w:p>
            <w:pPr>
              <w:spacing w:after="0"/>
            </w:pPr>
            <w:r>
              <w:rPr>
                <w:sz w:val="15"/>
              </w:rPr>
              <w:t>439.1</w:t>
            </w:r>
          </w:p>
        </w:tc>
        <w:tc>
          <w:tcPr>
            <w:tcW w:type="dxa" w:w="1224"/>
            <w:tcMar>
              <w:top w:w="80" w:type="dxa"/>
              <w:start w:w="80" w:type="dxa"/>
              <w:bottom w:w="80" w:type="dxa"/>
              <w:end w:w="80" w:type="dxa"/>
            </w:tcMar>
            <w:vAlign w:val="center"/>
            <w:shd w:fill="F7F9FB"/>
          </w:tcPr>
          <w:p>
            <w:pPr>
              <w:spacing w:after="0"/>
            </w:pPr>
            <w:r>
              <w:rPr>
                <w:sz w:val="15"/>
              </w:rPr>
              <w:t>490.8</w:t>
            </w:r>
          </w:p>
        </w:tc>
        <w:tc>
          <w:tcPr>
            <w:tcW w:type="dxa" w:w="1440"/>
            <w:tcMar>
              <w:top w:w="80" w:type="dxa"/>
              <w:start w:w="80" w:type="dxa"/>
              <w:bottom w:w="80" w:type="dxa"/>
              <w:end w:w="80" w:type="dxa"/>
            </w:tcMar>
            <w:vAlign w:val="center"/>
            <w:shd w:fill="F7F9FB"/>
          </w:tcPr>
          <w:p>
            <w:pPr>
              <w:spacing w:after="0"/>
            </w:pPr>
            <w:r>
              <w:rPr>
                <w:sz w:val="15"/>
              </w:rPr>
              <w:t>-11.78%</w:t>
            </w:r>
          </w:p>
        </w:tc>
      </w:tr>
      <w:tr>
        <w:tc>
          <w:tcPr>
            <w:tcW w:type="dxa" w:w="1008"/>
            <w:tcMar>
              <w:top w:w="80" w:type="dxa"/>
              <w:start w:w="80" w:type="dxa"/>
              <w:bottom w:w="80" w:type="dxa"/>
              <w:end w:w="80" w:type="dxa"/>
            </w:tcMar>
            <w:vAlign w:val="center"/>
          </w:tcPr>
          <w:p>
            <w:pPr>
              <w:spacing w:after="0"/>
            </w:pPr>
            <w:r>
              <w:rPr>
                <w:sz w:val="15"/>
              </w:rPr>
              <w:t>SA1</w:t>
            </w:r>
          </w:p>
        </w:tc>
        <w:tc>
          <w:tcPr>
            <w:tcW w:type="dxa" w:w="2016"/>
            <w:tcMar>
              <w:top w:w="80" w:type="dxa"/>
              <w:start w:w="80" w:type="dxa"/>
              <w:bottom w:w="80" w:type="dxa"/>
              <w:end w:w="80" w:type="dxa"/>
            </w:tcMar>
            <w:vAlign w:val="center"/>
          </w:tcPr>
          <w:p>
            <w:pPr>
              <w:spacing w:after="0"/>
            </w:pPr>
            <w:r>
              <w:rPr>
                <w:sz w:val="15"/>
              </w:rPr>
              <w:t>RandomForest_A</w:t>
            </w:r>
          </w:p>
        </w:tc>
        <w:tc>
          <w:tcPr>
            <w:tcW w:type="dxa" w:w="2016"/>
            <w:tcMar>
              <w:top w:w="80" w:type="dxa"/>
              <w:start w:w="80" w:type="dxa"/>
              <w:bottom w:w="80" w:type="dxa"/>
              <w:end w:w="80" w:type="dxa"/>
            </w:tcMar>
            <w:vAlign w:val="center"/>
          </w:tcPr>
          <w:p>
            <w:pPr>
              <w:spacing w:after="0"/>
            </w:pPr>
            <w:r>
              <w:rPr>
                <w:sz w:val="15"/>
              </w:rPr>
              <w:t>RandomForest_B</w:t>
            </w:r>
          </w:p>
        </w:tc>
        <w:tc>
          <w:tcPr>
            <w:tcW w:type="dxa" w:w="1224"/>
            <w:tcMar>
              <w:top w:w="80" w:type="dxa"/>
              <w:start w:w="80" w:type="dxa"/>
              <w:bottom w:w="80" w:type="dxa"/>
              <w:end w:w="80" w:type="dxa"/>
            </w:tcMar>
            <w:vAlign w:val="center"/>
          </w:tcPr>
          <w:p>
            <w:pPr>
              <w:spacing w:after="0"/>
            </w:pPr>
            <w:r>
              <w:rPr>
                <w:sz w:val="15"/>
              </w:rPr>
              <w:t>187.1</w:t>
            </w:r>
          </w:p>
        </w:tc>
        <w:tc>
          <w:tcPr>
            <w:tcW w:type="dxa" w:w="1224"/>
            <w:tcMar>
              <w:top w:w="80" w:type="dxa"/>
              <w:start w:w="80" w:type="dxa"/>
              <w:bottom w:w="80" w:type="dxa"/>
              <w:end w:w="80" w:type="dxa"/>
            </w:tcMar>
            <w:vAlign w:val="center"/>
          </w:tcPr>
          <w:p>
            <w:pPr>
              <w:spacing w:after="0"/>
            </w:pPr>
            <w:r>
              <w:rPr>
                <w:sz w:val="15"/>
              </w:rPr>
              <w:t>183.1</w:t>
            </w:r>
          </w:p>
        </w:tc>
        <w:tc>
          <w:tcPr>
            <w:tcW w:type="dxa" w:w="1440"/>
            <w:tcMar>
              <w:top w:w="80" w:type="dxa"/>
              <w:start w:w="80" w:type="dxa"/>
              <w:bottom w:w="80" w:type="dxa"/>
              <w:end w:w="80" w:type="dxa"/>
            </w:tcMar>
            <w:vAlign w:val="center"/>
          </w:tcPr>
          <w:p>
            <w:pPr>
              <w:spacing w:after="0"/>
            </w:pPr>
            <w:r>
              <w:rPr>
                <w:sz w:val="15"/>
              </w:rPr>
              <w:t>+2.14%</w:t>
            </w:r>
          </w:p>
        </w:tc>
      </w:tr>
      <w:tr>
        <w:tc>
          <w:tcPr>
            <w:tcW w:type="dxa" w:w="1008"/>
            <w:tcMar>
              <w:top w:w="80" w:type="dxa"/>
              <w:start w:w="80" w:type="dxa"/>
              <w:bottom w:w="80" w:type="dxa"/>
              <w:end w:w="80" w:type="dxa"/>
            </w:tcMar>
            <w:vAlign w:val="center"/>
            <w:shd w:fill="F7F9FB"/>
          </w:tcPr>
          <w:p>
            <w:pPr>
              <w:spacing w:after="0"/>
            </w:pPr>
            <w:r>
              <w:rPr>
                <w:sz w:val="15"/>
              </w:rPr>
              <w:t>TAS1</w:t>
            </w:r>
          </w:p>
        </w:tc>
        <w:tc>
          <w:tcPr>
            <w:tcW w:type="dxa" w:w="2016"/>
            <w:tcMar>
              <w:top w:w="80" w:type="dxa"/>
              <w:start w:w="80" w:type="dxa"/>
              <w:bottom w:w="80" w:type="dxa"/>
              <w:end w:w="80" w:type="dxa"/>
            </w:tcMar>
            <w:vAlign w:val="center"/>
            <w:shd w:fill="F7F9FB"/>
          </w:tcPr>
          <w:p>
            <w:pPr>
              <w:spacing w:after="0"/>
            </w:pPr>
            <w:r>
              <w:rPr>
                <w:sz w:val="15"/>
              </w:rPr>
              <w:t>RandomForest_A</w:t>
            </w:r>
          </w:p>
        </w:tc>
        <w:tc>
          <w:tcPr>
            <w:tcW w:type="dxa" w:w="2016"/>
            <w:tcMar>
              <w:top w:w="80" w:type="dxa"/>
              <w:start w:w="80" w:type="dxa"/>
              <w:bottom w:w="80" w:type="dxa"/>
              <w:end w:w="80" w:type="dxa"/>
            </w:tcMar>
            <w:vAlign w:val="center"/>
            <w:shd w:fill="F7F9FB"/>
          </w:tcPr>
          <w:p>
            <w:pPr>
              <w:spacing w:after="0"/>
            </w:pPr>
            <w:r>
              <w:rPr>
                <w:sz w:val="15"/>
              </w:rPr>
              <w:t>XGBoost_B</w:t>
            </w:r>
          </w:p>
        </w:tc>
        <w:tc>
          <w:tcPr>
            <w:tcW w:type="dxa" w:w="1224"/>
            <w:tcMar>
              <w:top w:w="80" w:type="dxa"/>
              <w:start w:w="80" w:type="dxa"/>
              <w:bottom w:w="80" w:type="dxa"/>
              <w:end w:w="80" w:type="dxa"/>
            </w:tcMar>
            <w:vAlign w:val="center"/>
            <w:shd w:fill="F7F9FB"/>
          </w:tcPr>
          <w:p>
            <w:pPr>
              <w:spacing w:after="0"/>
            </w:pPr>
            <w:r>
              <w:rPr>
                <w:sz w:val="15"/>
              </w:rPr>
              <w:t>70.2</w:t>
            </w:r>
          </w:p>
        </w:tc>
        <w:tc>
          <w:tcPr>
            <w:tcW w:type="dxa" w:w="1224"/>
            <w:tcMar>
              <w:top w:w="80" w:type="dxa"/>
              <w:start w:w="80" w:type="dxa"/>
              <w:bottom w:w="80" w:type="dxa"/>
              <w:end w:w="80" w:type="dxa"/>
            </w:tcMar>
            <w:vAlign w:val="center"/>
            <w:shd w:fill="F7F9FB"/>
          </w:tcPr>
          <w:p>
            <w:pPr>
              <w:spacing w:after="0"/>
            </w:pPr>
            <w:r>
              <w:rPr>
                <w:sz w:val="15"/>
              </w:rPr>
              <w:t>71.5</w:t>
            </w:r>
          </w:p>
        </w:tc>
        <w:tc>
          <w:tcPr>
            <w:tcW w:type="dxa" w:w="1440"/>
            <w:tcMar>
              <w:top w:w="80" w:type="dxa"/>
              <w:start w:w="80" w:type="dxa"/>
              <w:bottom w:w="80" w:type="dxa"/>
              <w:end w:w="80" w:type="dxa"/>
            </w:tcMar>
            <w:vAlign w:val="center"/>
            <w:shd w:fill="F7F9FB"/>
          </w:tcPr>
          <w:p>
            <w:pPr>
              <w:spacing w:after="0"/>
            </w:pPr>
            <w:r>
              <w:rPr>
                <w:sz w:val="15"/>
              </w:rPr>
              <w:t>-1.86%</w:t>
            </w:r>
          </w:p>
        </w:tc>
      </w:tr>
      <w:tr>
        <w:tc>
          <w:tcPr>
            <w:tcW w:type="dxa" w:w="1008"/>
            <w:tcMar>
              <w:top w:w="80" w:type="dxa"/>
              <w:start w:w="80" w:type="dxa"/>
              <w:bottom w:w="80" w:type="dxa"/>
              <w:end w:w="80" w:type="dxa"/>
            </w:tcMar>
            <w:vAlign w:val="center"/>
          </w:tcPr>
          <w:p>
            <w:pPr>
              <w:spacing w:after="0"/>
            </w:pPr>
            <w:r>
              <w:rPr>
                <w:sz w:val="15"/>
              </w:rPr>
              <w:t>VIC1</w:t>
            </w:r>
          </w:p>
        </w:tc>
        <w:tc>
          <w:tcPr>
            <w:tcW w:type="dxa" w:w="2016"/>
            <w:tcMar>
              <w:top w:w="80" w:type="dxa"/>
              <w:start w:w="80" w:type="dxa"/>
              <w:bottom w:w="80" w:type="dxa"/>
              <w:end w:w="80" w:type="dxa"/>
            </w:tcMar>
            <w:vAlign w:val="center"/>
          </w:tcPr>
          <w:p>
            <w:pPr>
              <w:spacing w:after="0"/>
            </w:pPr>
            <w:r>
              <w:rPr>
                <w:sz w:val="15"/>
              </w:rPr>
              <w:t>RandomForest_A</w:t>
            </w:r>
          </w:p>
        </w:tc>
        <w:tc>
          <w:tcPr>
            <w:tcW w:type="dxa" w:w="2016"/>
            <w:tcMar>
              <w:top w:w="80" w:type="dxa"/>
              <w:start w:w="80" w:type="dxa"/>
              <w:bottom w:w="80" w:type="dxa"/>
              <w:end w:w="80" w:type="dxa"/>
            </w:tcMar>
            <w:vAlign w:val="center"/>
          </w:tcPr>
          <w:p>
            <w:pPr>
              <w:spacing w:after="0"/>
            </w:pPr>
            <w:r>
              <w:rPr>
                <w:sz w:val="15"/>
              </w:rPr>
              <w:t>RandomForest_B</w:t>
            </w:r>
          </w:p>
        </w:tc>
        <w:tc>
          <w:tcPr>
            <w:tcW w:type="dxa" w:w="1224"/>
            <w:tcMar>
              <w:top w:w="80" w:type="dxa"/>
              <w:start w:w="80" w:type="dxa"/>
              <w:bottom w:w="80" w:type="dxa"/>
              <w:end w:w="80" w:type="dxa"/>
            </w:tcMar>
            <w:vAlign w:val="center"/>
          </w:tcPr>
          <w:p>
            <w:pPr>
              <w:spacing w:after="0"/>
            </w:pPr>
            <w:r>
              <w:rPr>
                <w:sz w:val="15"/>
              </w:rPr>
              <w:t>458.2</w:t>
            </w:r>
          </w:p>
        </w:tc>
        <w:tc>
          <w:tcPr>
            <w:tcW w:type="dxa" w:w="1224"/>
            <w:tcMar>
              <w:top w:w="80" w:type="dxa"/>
              <w:start w:w="80" w:type="dxa"/>
              <w:bottom w:w="80" w:type="dxa"/>
              <w:end w:w="80" w:type="dxa"/>
            </w:tcMar>
            <w:vAlign w:val="center"/>
          </w:tcPr>
          <w:p>
            <w:pPr>
              <w:spacing w:after="0"/>
            </w:pPr>
            <w:r>
              <w:rPr>
                <w:sz w:val="15"/>
              </w:rPr>
              <w:t>461.7</w:t>
            </w:r>
          </w:p>
        </w:tc>
        <w:tc>
          <w:tcPr>
            <w:tcW w:type="dxa" w:w="1440"/>
            <w:tcMar>
              <w:top w:w="80" w:type="dxa"/>
              <w:start w:w="80" w:type="dxa"/>
              <w:bottom w:w="80" w:type="dxa"/>
              <w:end w:w="80" w:type="dxa"/>
            </w:tcMar>
            <w:vAlign w:val="center"/>
          </w:tcPr>
          <w:p>
            <w:pPr>
              <w:spacing w:after="0"/>
            </w:pPr>
            <w:r>
              <w:rPr>
                <w:sz w:val="15"/>
              </w:rPr>
              <w:t>-0.77%</w:t>
            </w:r>
          </w:p>
        </w:tc>
      </w:tr>
      <w:tr>
        <w:tc>
          <w:tcPr>
            <w:tcW w:type="dxa" w:w="1008"/>
            <w:tcMar>
              <w:top w:w="80" w:type="dxa"/>
              <w:start w:w="80" w:type="dxa"/>
              <w:bottom w:w="80" w:type="dxa"/>
              <w:end w:w="80" w:type="dxa"/>
            </w:tcMar>
            <w:vAlign w:val="center"/>
            <w:shd w:fill="F7F9FB"/>
          </w:tcPr>
          <w:p>
            <w:pPr>
              <w:spacing w:after="0"/>
            </w:pPr>
            <w:r>
              <w:rPr>
                <w:sz w:val="15"/>
              </w:rPr>
              <w:t>WA</w:t>
            </w:r>
          </w:p>
        </w:tc>
        <w:tc>
          <w:tcPr>
            <w:tcW w:type="dxa" w:w="2016"/>
            <w:tcMar>
              <w:top w:w="80" w:type="dxa"/>
              <w:start w:w="80" w:type="dxa"/>
              <w:bottom w:w="80" w:type="dxa"/>
              <w:end w:w="80" w:type="dxa"/>
            </w:tcMar>
            <w:vAlign w:val="center"/>
            <w:shd w:fill="F7F9FB"/>
          </w:tcPr>
          <w:p>
            <w:pPr>
              <w:spacing w:after="0"/>
            </w:pPr>
            <w:r>
              <w:rPr>
                <w:sz w:val="15"/>
              </w:rPr>
              <w:t>RandomForest_A</w:t>
            </w:r>
          </w:p>
        </w:tc>
        <w:tc>
          <w:tcPr>
            <w:tcW w:type="dxa" w:w="2016"/>
            <w:tcMar>
              <w:top w:w="80" w:type="dxa"/>
              <w:start w:w="80" w:type="dxa"/>
              <w:bottom w:w="80" w:type="dxa"/>
              <w:end w:w="80" w:type="dxa"/>
            </w:tcMar>
            <w:vAlign w:val="center"/>
            <w:shd w:fill="F7F9FB"/>
          </w:tcPr>
          <w:p>
            <w:pPr>
              <w:spacing w:after="0"/>
            </w:pPr>
            <w:r>
              <w:rPr>
                <w:sz w:val="15"/>
              </w:rPr>
              <w:t>RandomForest_B</w:t>
            </w:r>
          </w:p>
        </w:tc>
        <w:tc>
          <w:tcPr>
            <w:tcW w:type="dxa" w:w="1224"/>
            <w:tcMar>
              <w:top w:w="80" w:type="dxa"/>
              <w:start w:w="80" w:type="dxa"/>
              <w:bottom w:w="80" w:type="dxa"/>
              <w:end w:w="80" w:type="dxa"/>
            </w:tcMar>
            <w:vAlign w:val="center"/>
            <w:shd w:fill="F7F9FB"/>
          </w:tcPr>
          <w:p>
            <w:pPr>
              <w:spacing w:after="0"/>
            </w:pPr>
            <w:r>
              <w:rPr>
                <w:sz w:val="15"/>
              </w:rPr>
              <w:t>218.4</w:t>
            </w:r>
          </w:p>
        </w:tc>
        <w:tc>
          <w:tcPr>
            <w:tcW w:type="dxa" w:w="1224"/>
            <w:tcMar>
              <w:top w:w="80" w:type="dxa"/>
              <w:start w:w="80" w:type="dxa"/>
              <w:bottom w:w="80" w:type="dxa"/>
              <w:end w:w="80" w:type="dxa"/>
            </w:tcMar>
            <w:vAlign w:val="center"/>
            <w:shd w:fill="F7F9FB"/>
          </w:tcPr>
          <w:p>
            <w:pPr>
              <w:spacing w:after="0"/>
            </w:pPr>
            <w:r>
              <w:rPr>
                <w:sz w:val="15"/>
              </w:rPr>
              <w:t>206.5</w:t>
            </w:r>
          </w:p>
        </w:tc>
        <w:tc>
          <w:tcPr>
            <w:tcW w:type="dxa" w:w="1440"/>
            <w:tcMar>
              <w:top w:w="80" w:type="dxa"/>
              <w:start w:w="80" w:type="dxa"/>
              <w:bottom w:w="80" w:type="dxa"/>
              <w:end w:w="80" w:type="dxa"/>
            </w:tcMar>
            <w:vAlign w:val="center"/>
            <w:shd w:fill="F7F9FB"/>
          </w:tcPr>
          <w:p>
            <w:pPr>
              <w:spacing w:after="0"/>
            </w:pPr>
            <w:r>
              <w:rPr>
                <w:sz w:val="15"/>
              </w:rPr>
              <w:t>+5.45%</w:t>
            </w:r>
          </w:p>
        </w:tc>
      </w:tr>
    </w:tbl>
    <w:p>
      <w:pPr>
        <w:spacing w:after="20"/>
      </w:pPr>
    </w:p>
    <w:p>
      <w:pPr>
        <w:spacing w:after="100"/>
      </w:pPr>
      <w:r>
        <w:t>The weather experiment is mixed rather than universally positive. On the matched historical comparison, Model B improves MAE in SA1 and WA but is worse in NSW1, QLD1, VIC1 and TAS1. The team therefore treats weather as a tested feature family, not a guaranteed improvement. This result also protects the project from “feature accumulation” where more inputs are assumed to mean a better model.</w:t>
      </w:r>
    </w:p>
    <w:p>
      <w:pPr>
        <w:pStyle w:val="Heading1"/>
      </w:pPr>
      <w:r>
        <w:t>7. Team collaboration and handoff</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3168"/>
            <w:shd w:fill="17365D"/>
            <w:tcMar>
              <w:top w:w="80" w:type="dxa"/>
              <w:start w:w="80" w:type="dxa"/>
              <w:bottom w:w="80" w:type="dxa"/>
              <w:end w:w="80" w:type="dxa"/>
            </w:tcMar>
            <w:vAlign w:val="center"/>
          </w:tcPr>
          <w:p>
            <w:r>
              <w:rPr>
                <w:b/>
                <w:color w:val="FFFFFF"/>
                <w:sz w:val="16"/>
              </w:rPr>
              <w:t>Connection</w:t>
            </w:r>
          </w:p>
        </w:tc>
        <w:tc>
          <w:tcPr>
            <w:tcW w:type="dxa" w:w="6912"/>
            <w:shd w:fill="17365D"/>
            <w:tcMar>
              <w:top w:w="80" w:type="dxa"/>
              <w:start w:w="80" w:type="dxa"/>
              <w:bottom w:w="80" w:type="dxa"/>
              <w:end w:w="80" w:type="dxa"/>
            </w:tcMar>
            <w:vAlign w:val="center"/>
          </w:tcPr>
          <w:p>
            <w:r>
              <w:rPr>
                <w:b/>
                <w:color w:val="FFFFFF"/>
                <w:sz w:val="16"/>
              </w:rPr>
              <w:t>How Ashish’s work depended on it</w:t>
            </w:r>
          </w:p>
        </w:tc>
      </w:tr>
      <w:tr>
        <w:tc>
          <w:tcPr>
            <w:tcW w:type="dxa" w:w="3168"/>
            <w:tcMar>
              <w:top w:w="80" w:type="dxa"/>
              <w:start w:w="80" w:type="dxa"/>
              <w:bottom w:w="80" w:type="dxa"/>
              <w:end w:w="80" w:type="dxa"/>
            </w:tcMar>
            <w:vAlign w:val="center"/>
          </w:tcPr>
          <w:p>
            <w:pPr>
              <w:spacing w:after="0"/>
            </w:pPr>
            <w:r>
              <w:rPr>
                <w:sz w:val="16"/>
              </w:rPr>
              <w:t>Bishal – baselines/metrics</w:t>
            </w:r>
          </w:p>
        </w:tc>
        <w:tc>
          <w:tcPr>
            <w:tcW w:type="dxa" w:w="6912"/>
            <w:tcMar>
              <w:top w:w="80" w:type="dxa"/>
              <w:start w:w="80" w:type="dxa"/>
              <w:bottom w:w="80" w:type="dxa"/>
              <w:end w:w="80" w:type="dxa"/>
            </w:tcMar>
            <w:vAlign w:val="center"/>
          </w:tcPr>
          <w:p>
            <w:pPr>
              <w:spacing w:after="0"/>
            </w:pPr>
            <w:r>
              <w:rPr>
                <w:sz w:val="16"/>
              </w:rPr>
              <w:t>Screening and selection require a fixed error definition and seasonal baseline to judge whether complexity earns its cost.</w:t>
            </w:r>
          </w:p>
        </w:tc>
      </w:tr>
      <w:tr>
        <w:tc>
          <w:tcPr>
            <w:tcW w:type="dxa" w:w="3168"/>
            <w:tcMar>
              <w:top w:w="80" w:type="dxa"/>
              <w:start w:w="80" w:type="dxa"/>
              <w:bottom w:w="80" w:type="dxa"/>
              <w:end w:w="80" w:type="dxa"/>
            </w:tcMar>
            <w:vAlign w:val="center"/>
            <w:shd w:fill="F7F9FB"/>
          </w:tcPr>
          <w:p>
            <w:pPr>
              <w:spacing w:after="0"/>
            </w:pPr>
            <w:r>
              <w:rPr>
                <w:sz w:val="16"/>
              </w:rPr>
              <w:t>Sudip – statistical/weather/AEMO</w:t>
            </w:r>
          </w:p>
        </w:tc>
        <w:tc>
          <w:tcPr>
            <w:tcW w:type="dxa" w:w="6912"/>
            <w:tcMar>
              <w:top w:w="80" w:type="dxa"/>
              <w:start w:w="80" w:type="dxa"/>
              <w:bottom w:w="80" w:type="dxa"/>
              <w:end w:w="80" w:type="dxa"/>
            </w:tcMar>
            <w:vAlign w:val="center"/>
            <w:shd w:fill="F7F9FB"/>
          </w:tcPr>
          <w:p>
            <w:pPr>
              <w:spacing w:after="0"/>
            </w:pPr>
            <w:r>
              <w:rPr>
                <w:sz w:val="16"/>
              </w:rPr>
              <w:t>SARIMA/SARIMAX stay in the same eight-model comparison; weather-vintage rules define what Model B may see.</w:t>
            </w:r>
          </w:p>
        </w:tc>
      </w:tr>
      <w:tr>
        <w:tc>
          <w:tcPr>
            <w:tcW w:type="dxa" w:w="3168"/>
            <w:tcMar>
              <w:top w:w="80" w:type="dxa"/>
              <w:start w:w="80" w:type="dxa"/>
              <w:bottom w:w="80" w:type="dxa"/>
              <w:end w:w="80" w:type="dxa"/>
            </w:tcMar>
            <w:vAlign w:val="center"/>
          </w:tcPr>
          <w:p>
            <w:pPr>
              <w:spacing w:after="0"/>
            </w:pPr>
            <w:r>
              <w:rPr>
                <w:sz w:val="16"/>
              </w:rPr>
              <w:t>Suraj – XGBoost/recursion/frozen forecast</w:t>
            </w:r>
          </w:p>
        </w:tc>
        <w:tc>
          <w:tcPr>
            <w:tcW w:type="dxa" w:w="6912"/>
            <w:tcMar>
              <w:top w:w="80" w:type="dxa"/>
              <w:start w:w="80" w:type="dxa"/>
              <w:bottom w:w="80" w:type="dxa"/>
              <w:end w:w="80" w:type="dxa"/>
            </w:tcMar>
            <w:vAlign w:val="center"/>
          </w:tcPr>
          <w:p>
            <w:pPr>
              <w:spacing w:after="0"/>
            </w:pPr>
            <w:r>
              <w:rPr>
                <w:sz w:val="16"/>
              </w:rPr>
              <w:t>XGBoost supplies the boosting challenger; Suraj’s recursive engine makes four-month deployment behaviour honest.</w:t>
            </w:r>
          </w:p>
        </w:tc>
      </w:tr>
      <w:tr>
        <w:tc>
          <w:tcPr>
            <w:tcW w:type="dxa" w:w="3168"/>
            <w:tcMar>
              <w:top w:w="80" w:type="dxa"/>
              <w:start w:w="80" w:type="dxa"/>
              <w:bottom w:w="80" w:type="dxa"/>
              <w:end w:w="80" w:type="dxa"/>
            </w:tcMar>
            <w:vAlign w:val="center"/>
            <w:shd w:fill="F7F9FB"/>
          </w:tcPr>
          <w:p>
            <w:pPr>
              <w:spacing w:after="0"/>
            </w:pPr>
            <w:r>
              <w:rPr>
                <w:sz w:val="16"/>
              </w:rPr>
              <w:t>Group integration</w:t>
            </w:r>
          </w:p>
        </w:tc>
        <w:tc>
          <w:tcPr>
            <w:tcW w:type="dxa" w:w="6912"/>
            <w:tcMar>
              <w:top w:w="80" w:type="dxa"/>
              <w:start w:w="80" w:type="dxa"/>
              <w:bottom w:w="80" w:type="dxa"/>
              <w:end w:w="80" w:type="dxa"/>
            </w:tcMar>
            <w:vAlign w:val="center"/>
            <w:shd w:fill="F7F9FB"/>
          </w:tcPr>
          <w:p>
            <w:pPr>
              <w:spacing w:after="0"/>
            </w:pPr>
            <w:r>
              <w:rPr>
                <w:sz w:val="16"/>
              </w:rPr>
              <w:t>Cutoff, feature contracts and horizon are shared decisions; Ashish cannot change them independently without invalidating comparisons.</w:t>
            </w:r>
          </w:p>
        </w:tc>
      </w:tr>
    </w:tbl>
    <w:p>
      <w:pPr>
        <w:spacing w:after="20"/>
      </w:pPr>
    </w:p>
    <w:p>
      <w:pPr>
        <w:pStyle w:val="Heading1"/>
      </w:pPr>
      <w:r>
        <w:t>8. Code and evidence artefacts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320"/>
            <w:shd w:fill="17365D"/>
            <w:tcMar>
              <w:top w:w="80" w:type="dxa"/>
              <w:start w:w="80" w:type="dxa"/>
              <w:bottom w:w="80" w:type="dxa"/>
              <w:end w:w="80" w:type="dxa"/>
            </w:tcMar>
            <w:vAlign w:val="center"/>
          </w:tcPr>
          <w:p>
            <w:r>
              <w:rPr>
                <w:b/>
                <w:color w:val="FFFFFF"/>
                <w:sz w:val="16"/>
              </w:rPr>
              <w:t>Artefact</w:t>
            </w:r>
          </w:p>
        </w:tc>
        <w:tc>
          <w:tcPr>
            <w:tcW w:type="dxa" w:w="5760"/>
            <w:shd w:fill="17365D"/>
            <w:tcMar>
              <w:top w:w="80" w:type="dxa"/>
              <w:start w:w="80" w:type="dxa"/>
              <w:bottom w:w="80" w:type="dxa"/>
              <w:end w:w="80" w:type="dxa"/>
            </w:tcMar>
            <w:vAlign w:val="center"/>
          </w:tcPr>
          <w:p>
            <w:r>
              <w:rPr>
                <w:b/>
                <w:color w:val="FFFFFF"/>
                <w:sz w:val="16"/>
              </w:rPr>
              <w:t>Contribution evidence</w:t>
            </w:r>
          </w:p>
        </w:tc>
      </w:tr>
      <w:tr>
        <w:tc>
          <w:tcPr>
            <w:tcW w:type="dxa" w:w="4320"/>
            <w:tcMar>
              <w:top w:w="80" w:type="dxa"/>
              <w:start w:w="80" w:type="dxa"/>
              <w:bottom w:w="80" w:type="dxa"/>
              <w:end w:w="80" w:type="dxa"/>
            </w:tcMar>
            <w:vAlign w:val="center"/>
          </w:tcPr>
          <w:p>
            <w:pPr>
              <w:spacing w:after="0"/>
            </w:pPr>
            <w:r>
              <w:rPr>
                <w:sz w:val="16"/>
              </w:rPr>
              <w:t>03_Ashish_Shrestha_RandomForest_Backtesting_Selection.py</w:t>
            </w:r>
          </w:p>
        </w:tc>
        <w:tc>
          <w:tcPr>
            <w:tcW w:type="dxa" w:w="5760"/>
            <w:tcMar>
              <w:top w:w="80" w:type="dxa"/>
              <w:start w:w="80" w:type="dxa"/>
              <w:bottom w:w="80" w:type="dxa"/>
              <w:end w:w="80" w:type="dxa"/>
            </w:tcMar>
            <w:vAlign w:val="center"/>
          </w:tcPr>
          <w:p>
            <w:pPr>
              <w:spacing w:after="0"/>
            </w:pPr>
            <w:r>
              <w:rPr>
                <w:sz w:val="16"/>
              </w:rPr>
              <w:t>Readable module containing RF A/B configuration, analogue origins, screening rule, deployment-safe aggregation and regional selection.</w:t>
            </w:r>
          </w:p>
        </w:tc>
      </w:tr>
      <w:tr>
        <w:tc>
          <w:tcPr>
            <w:tcW w:type="dxa" w:w="4320"/>
            <w:tcMar>
              <w:top w:w="80" w:type="dxa"/>
              <w:start w:w="80" w:type="dxa"/>
              <w:bottom w:w="80" w:type="dxa"/>
              <w:end w:w="80" w:type="dxa"/>
            </w:tcMar>
            <w:vAlign w:val="center"/>
            <w:shd w:fill="F7F9FB"/>
          </w:tcPr>
          <w:p>
            <w:pPr>
              <w:spacing w:after="0"/>
            </w:pPr>
            <w:r>
              <w:rPr>
                <w:sz w:val="16"/>
              </w:rPr>
              <w:t>validation/model_screening_scores.csv</w:t>
            </w:r>
          </w:p>
        </w:tc>
        <w:tc>
          <w:tcPr>
            <w:tcW w:type="dxa" w:w="5760"/>
            <w:tcMar>
              <w:top w:w="80" w:type="dxa"/>
              <w:start w:w="80" w:type="dxa"/>
              <w:bottom w:w="80" w:type="dxa"/>
              <w:end w:w="80" w:type="dxa"/>
            </w:tcMar>
            <w:vAlign w:val="center"/>
            <w:shd w:fill="F7F9FB"/>
          </w:tcPr>
          <w:p>
            <w:pPr>
              <w:spacing w:after="0"/>
            </w:pPr>
            <w:r>
              <w:rPr>
                <w:sz w:val="16"/>
              </w:rPr>
              <w:t>108 chronological screening runs.</w:t>
            </w:r>
          </w:p>
        </w:tc>
      </w:tr>
      <w:tr>
        <w:tc>
          <w:tcPr>
            <w:tcW w:type="dxa" w:w="4320"/>
            <w:tcMar>
              <w:top w:w="80" w:type="dxa"/>
              <w:start w:w="80" w:type="dxa"/>
              <w:bottom w:w="80" w:type="dxa"/>
              <w:end w:w="80" w:type="dxa"/>
            </w:tcMar>
            <w:vAlign w:val="center"/>
          </w:tcPr>
          <w:p>
            <w:pPr>
              <w:spacing w:after="0"/>
            </w:pPr>
            <w:r>
              <w:rPr>
                <w:sz w:val="16"/>
              </w:rPr>
              <w:t>validation/four_month_backtest_scores.csv</w:t>
            </w:r>
          </w:p>
        </w:tc>
        <w:tc>
          <w:tcPr>
            <w:tcW w:type="dxa" w:w="5760"/>
            <w:tcMar>
              <w:top w:w="80" w:type="dxa"/>
              <w:start w:w="80" w:type="dxa"/>
              <w:bottom w:w="80" w:type="dxa"/>
              <w:end w:w="80" w:type="dxa"/>
            </w:tcMar>
            <w:vAlign w:val="center"/>
          </w:tcPr>
          <w:p>
            <w:pPr>
              <w:spacing w:after="0"/>
            </w:pPr>
            <w:r>
              <w:rPr>
                <w:sz w:val="16"/>
              </w:rPr>
              <w:t>144 historical four-month backtest attempts and lead-band errors.</w:t>
            </w:r>
          </w:p>
        </w:tc>
      </w:tr>
      <w:tr>
        <w:tc>
          <w:tcPr>
            <w:tcW w:type="dxa" w:w="4320"/>
            <w:tcMar>
              <w:top w:w="80" w:type="dxa"/>
              <w:start w:w="80" w:type="dxa"/>
              <w:bottom w:w="80" w:type="dxa"/>
              <w:end w:w="80" w:type="dxa"/>
            </w:tcMar>
            <w:vAlign w:val="center"/>
            <w:shd w:fill="F7F9FB"/>
          </w:tcPr>
          <w:p>
            <w:pPr>
              <w:spacing w:after="0"/>
            </w:pPr>
            <w:r>
              <w:rPr>
                <w:sz w:val="16"/>
              </w:rPr>
              <w:t>validation/model_selection.csv</w:t>
            </w:r>
          </w:p>
        </w:tc>
        <w:tc>
          <w:tcPr>
            <w:tcW w:type="dxa" w:w="5760"/>
            <w:tcMar>
              <w:top w:w="80" w:type="dxa"/>
              <w:start w:w="80" w:type="dxa"/>
              <w:bottom w:w="80" w:type="dxa"/>
              <w:end w:w="80" w:type="dxa"/>
            </w:tcMar>
            <w:vAlign w:val="center"/>
            <w:shd w:fill="F7F9FB"/>
          </w:tcPr>
          <w:p>
            <w:pPr>
              <w:spacing w:after="0"/>
            </w:pPr>
            <w:r>
              <w:rPr>
                <w:sz w:val="16"/>
              </w:rPr>
              <w:t>Final regional winner and data-derived selection reason.</w:t>
            </w:r>
          </w:p>
        </w:tc>
      </w:tr>
      <w:tr>
        <w:tc>
          <w:tcPr>
            <w:tcW w:type="dxa" w:w="4320"/>
            <w:tcMar>
              <w:top w:w="80" w:type="dxa"/>
              <w:start w:w="80" w:type="dxa"/>
              <w:bottom w:w="80" w:type="dxa"/>
              <w:end w:w="80" w:type="dxa"/>
            </w:tcMar>
            <w:vAlign w:val="center"/>
          </w:tcPr>
          <w:p>
            <w:pPr>
              <w:spacing w:after="0"/>
            </w:pPr>
            <w:r>
              <w:rPr>
                <w:sz w:val="16"/>
              </w:rPr>
              <w:t>validation/model_A_vs_B_backtest_summary.csv</w:t>
            </w:r>
          </w:p>
        </w:tc>
        <w:tc>
          <w:tcPr>
            <w:tcW w:type="dxa" w:w="5760"/>
            <w:tcMar>
              <w:top w:w="80" w:type="dxa"/>
              <w:start w:w="80" w:type="dxa"/>
              <w:bottom w:w="80" w:type="dxa"/>
              <w:end w:w="80" w:type="dxa"/>
            </w:tcMar>
            <w:vAlign w:val="center"/>
          </w:tcPr>
          <w:p>
            <w:pPr>
              <w:spacing w:after="0"/>
            </w:pPr>
            <w:r>
              <w:rPr>
                <w:sz w:val="16"/>
              </w:rPr>
              <w:t>A/B weather-value comparison on historical windows.</w:t>
            </w:r>
          </w:p>
        </w:tc>
      </w:tr>
    </w:tbl>
    <w:p>
      <w:pPr>
        <w:spacing w:after="20"/>
      </w:pPr>
    </w:p>
    <w:p>
      <w:pPr>
        <w:pStyle w:val="Heading1"/>
      </w:pPr>
      <w:r>
        <w:t>9. Professional reflection</w:t>
      </w:r>
    </w:p>
    <w:p>
      <w:pPr>
        <w:spacing w:after="100"/>
      </w:pPr>
      <w:r>
        <w:t>The strongest lesson from this work package is that model selection is an engineering decision, not a leaderboard. Screening, four-month backtesting, deployment-status filtering and tie handling all exist because a model that looks good on a short or convenient test may fail when deployed recursively for four months. The final Random Forest result is useful because it emerged from a repeatable selection rule rather than preference for a particular algorithm. The next modelling improvement should focus on per-region tuning inside the same chronological boundary, not on weakening the evaluation to produce a lower error.</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  PRT661 Dan6 — WP3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Australian Electricity Demand Forecasting  |  WP3 — Ashish Shrestha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