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sz w:val="22"/>
          <w:szCs w:val="22"/>
        </w:rPr>
        <w:t xml:space="preserve">PRT661 – Data Science Practice</w:t>
      </w:r>
    </w:p>
    <w:p>
      <w:pPr>
        <w:spacing w:after="90"/>
      </w:pPr>
      <w:r>
        <w:rPr>
          <w:color w:val="444444"/>
          <w:sz w:val="18"/>
          <w:szCs w:val="18"/>
        </w:rPr>
        <w:t xml:space="preserve">Group 2 · Dan6: Theme 2 · Individual Work and Contribution Summary · WP4 Operational Portal, Automation and Deployment</w:t>
      </w:r>
    </w:p>
    <w:p>
      <w:pPr>
        <w:pBdr>
          <w:bottom w:val="single" w:color="2F5496" w:sz="6"/>
        </w:pBdr>
        <w:spacing w:after="1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CE6F1" w:val="clear"/>
            <w:tcMar>
              <w:top w:type="dxa" w:w="32"/>
              <w:left w:type="dxa" w:w="75"/>
              <w:bottom w:type="dxa" w:w="32"/>
              <w:right w:type="dxa" w:w="75"/>
            </w:tcMar>
          </w:tcPr>
          <w:p>
            <w:pPr>
              <w:spacing w:after="15" w:before="15"/>
            </w:pPr>
            <w:r>
              <w:rPr>
                <w:b/>
                <w:bCs/>
                <w:sz w:val="16"/>
                <w:szCs w:val="16"/>
              </w:rPr>
              <w:t xml:space="preserve">Field</w:t>
            </w:r>
          </w:p>
        </w:tc>
        <w:tc>
          <w:tcPr>
            <w:tcW w:type="dxa" w:w="6760"/>
            <w:shd w:fill="DCE6F1" w:val="clear"/>
            <w:tcMar>
              <w:top w:type="dxa" w:w="32"/>
              <w:left w:type="dxa" w:w="75"/>
              <w:bottom w:type="dxa" w:w="32"/>
              <w:right w:type="dxa" w:w="75"/>
            </w:tcMar>
          </w:tcPr>
          <w:p>
            <w:pPr>
              <w:spacing w:after="15" w:before="15"/>
            </w:pPr>
            <w:r>
              <w:rPr>
                <w:b/>
                <w:bCs/>
                <w:sz w:val="16"/>
                <w:szCs w:val="16"/>
              </w:rPr>
              <w:t xml:space="preserve">Detail</w:t>
            </w:r>
          </w:p>
        </w:tc>
      </w:tr>
      <w:tr>
        <w:trPr>
          <w:tblHeader w:val="false"/>
        </w:trPr>
        <w:tc>
          <w:tcPr>
            <w:tcW w:type="dxa" w:w="2600"/>
            <w:shd w:fill="F5F7FA" w:val="clear"/>
            <w:tcMar>
              <w:top w:type="dxa" w:w="32"/>
              <w:left w:type="dxa" w:w="75"/>
              <w:bottom w:type="dxa" w:w="32"/>
              <w:right w:type="dxa" w:w="75"/>
            </w:tcMar>
          </w:tcPr>
          <w:p>
            <w:pPr>
              <w:spacing w:after="15" w:before="15"/>
            </w:pPr>
            <w:r>
              <w:rPr>
                <w:b w:val="false"/>
                <w:bCs w:val="false"/>
                <w:sz w:val="16"/>
                <w:szCs w:val="16"/>
              </w:rPr>
              <w:t xml:space="preserve">Name</w:t>
            </w:r>
          </w:p>
        </w:tc>
        <w:tc>
          <w:tcPr>
            <w:tcW w:type="dxa" w:w="6760"/>
            <w:shd w:fill="F5F7FA" w:val="clear"/>
            <w:tcMar>
              <w:top w:type="dxa" w:w="32"/>
              <w:left w:type="dxa" w:w="75"/>
              <w:bottom w:type="dxa" w:w="32"/>
              <w:right w:type="dxa" w:w="75"/>
            </w:tcMar>
          </w:tcPr>
          <w:p>
            <w:pPr>
              <w:spacing w:after="15" w:before="15"/>
            </w:pPr>
            <w:r>
              <w:rPr>
                <w:b w:val="false"/>
                <w:bCs w:val="false"/>
                <w:sz w:val="16"/>
                <w:szCs w:val="16"/>
              </w:rPr>
              <w:t xml:space="preserve">Ashish Shrestha</w:t>
            </w:r>
          </w:p>
        </w:tc>
      </w:tr>
      <w:tr>
        <w:trPr>
          <w:tblHeader w:val="false"/>
        </w:trPr>
        <w:tc>
          <w:tcPr>
            <w:tcW w:type="dxa" w:w="2600"/>
            <w:shd w:fill="FFFFFF" w:val="clear"/>
            <w:tcMar>
              <w:top w:type="dxa" w:w="32"/>
              <w:left w:type="dxa" w:w="75"/>
              <w:bottom w:type="dxa" w:w="32"/>
              <w:right w:type="dxa" w:w="75"/>
            </w:tcMar>
          </w:tcPr>
          <w:p>
            <w:pPr>
              <w:spacing w:after="15" w:before="15"/>
            </w:pPr>
            <w:r>
              <w:rPr>
                <w:b w:val="false"/>
                <w:bCs w:val="false"/>
                <w:sz w:val="16"/>
                <w:szCs w:val="16"/>
              </w:rPr>
              <w:t xml:space="preserve">Student ID</w:t>
            </w:r>
          </w:p>
        </w:tc>
        <w:tc>
          <w:tcPr>
            <w:tcW w:type="dxa" w:w="6760"/>
            <w:shd w:fill="FFFFFF" w:val="clear"/>
            <w:tcMar>
              <w:top w:type="dxa" w:w="32"/>
              <w:left w:type="dxa" w:w="75"/>
              <w:bottom w:type="dxa" w:w="32"/>
              <w:right w:type="dxa" w:w="75"/>
            </w:tcMar>
          </w:tcPr>
          <w:p>
            <w:pPr>
              <w:spacing w:after="15" w:before="15"/>
            </w:pPr>
            <w:r>
              <w:rPr>
                <w:b w:val="false"/>
                <w:bCs w:val="false"/>
                <w:sz w:val="16"/>
                <w:szCs w:val="16"/>
              </w:rPr>
              <w:t xml:space="preserve">S388084</w:t>
            </w:r>
          </w:p>
        </w:tc>
      </w:tr>
      <w:tr>
        <w:trPr>
          <w:tblHeader w:val="false"/>
        </w:trPr>
        <w:tc>
          <w:tcPr>
            <w:tcW w:type="dxa" w:w="2600"/>
            <w:shd w:fill="F5F7FA" w:val="clear"/>
            <w:tcMar>
              <w:top w:type="dxa" w:w="32"/>
              <w:left w:type="dxa" w:w="75"/>
              <w:bottom w:type="dxa" w:w="32"/>
              <w:right w:type="dxa" w:w="75"/>
            </w:tcMar>
          </w:tcPr>
          <w:p>
            <w:pPr>
              <w:spacing w:after="15" w:before="15"/>
            </w:pPr>
            <w:r>
              <w:rPr>
                <w:b w:val="false"/>
                <w:bCs w:val="false"/>
                <w:sz w:val="16"/>
                <w:szCs w:val="16"/>
              </w:rPr>
              <w:t xml:space="preserve">WP4 role (declared in the portal)</w:t>
            </w:r>
          </w:p>
        </w:tc>
        <w:tc>
          <w:tcPr>
            <w:tcW w:type="dxa" w:w="6760"/>
            <w:shd w:fill="F5F7FA" w:val="clear"/>
            <w:tcMar>
              <w:top w:type="dxa" w:w="32"/>
              <w:left w:type="dxa" w:w="75"/>
              <w:bottom w:type="dxa" w:w="32"/>
              <w:right w:type="dxa" w:w="75"/>
            </w:tcMar>
          </w:tcPr>
          <w:p>
            <w:pPr>
              <w:spacing w:after="15" w:before="15"/>
            </w:pPr>
            <w:r>
              <w:rPr>
                <w:b w:val="false"/>
                <w:bCs w:val="false"/>
                <w:sz w:val="16"/>
                <w:szCs w:val="16"/>
              </w:rPr>
              <w:t xml:space="preserve">Forecasting &amp; Project Lead</w:t>
            </w:r>
          </w:p>
        </w:tc>
      </w:tr>
      <w:tr>
        <w:trPr>
          <w:tblHeader w:val="false"/>
        </w:trPr>
        <w:tc>
          <w:tcPr>
            <w:tcW w:type="dxa" w:w="2600"/>
            <w:shd w:fill="FFFFFF" w:val="clear"/>
            <w:tcMar>
              <w:top w:type="dxa" w:w="32"/>
              <w:left w:type="dxa" w:w="75"/>
              <w:bottom w:type="dxa" w:w="32"/>
              <w:right w:type="dxa" w:w="75"/>
            </w:tcMar>
          </w:tcPr>
          <w:p>
            <w:pPr>
              <w:spacing w:after="15" w:before="15"/>
            </w:pPr>
            <w:r>
              <w:rPr>
                <w:b w:val="false"/>
                <w:bCs w:val="false"/>
                <w:sz w:val="16"/>
                <w:szCs w:val="16"/>
              </w:rPr>
              <w:t xml:space="preserve">Modules owned</w:t>
            </w:r>
          </w:p>
        </w:tc>
        <w:tc>
          <w:tcPr>
            <w:tcW w:type="dxa" w:w="6760"/>
            <w:shd w:fill="FFFFFF" w:val="clear"/>
            <w:tcMar>
              <w:top w:type="dxa" w:w="32"/>
              <w:left w:type="dxa" w:w="75"/>
              <w:bottom w:type="dxa" w:w="32"/>
              <w:right w:type="dxa" w:w="75"/>
            </w:tcMar>
          </w:tcPr>
          <w:p>
            <w:pPr>
              <w:spacing w:after="15" w:before="15"/>
            </w:pPr>
            <w:r>
              <w:rPr>
                <w:b w:val="false"/>
                <w:bCs w:val="false"/>
                <w:sz w:val="16"/>
                <w:szCs w:val="16"/>
              </w:rPr>
              <w:t xml:space="preserve">pipeline/live_inference.py, model_evidence.py, model_training.py, monthly_retrain.py, repack_current_bundle.py, feature_contract.py</w:t>
            </w:r>
          </w:p>
        </w:tc>
      </w:tr>
      <w:tr>
        <w:trPr>
          <w:tblHeader w:val="false"/>
        </w:trPr>
        <w:tc>
          <w:tcPr>
            <w:tcW w:type="dxa" w:w="2600"/>
            <w:shd w:fill="F5F7FA" w:val="clear"/>
            <w:tcMar>
              <w:top w:type="dxa" w:w="32"/>
              <w:left w:type="dxa" w:w="75"/>
              <w:bottom w:type="dxa" w:w="32"/>
              <w:right w:type="dxa" w:w="75"/>
            </w:tcMar>
          </w:tcPr>
          <w:p>
            <w:pPr>
              <w:spacing w:after="15" w:before="15"/>
            </w:pPr>
            <w:r>
              <w:rPr>
                <w:b w:val="false"/>
                <w:bCs w:val="false"/>
                <w:sz w:val="16"/>
                <w:szCs w:val="16"/>
              </w:rPr>
              <w:t xml:space="preserve">Work package</w:t>
            </w:r>
          </w:p>
        </w:tc>
        <w:tc>
          <w:tcPr>
            <w:tcW w:type="dxa" w:w="6760"/>
            <w:shd w:fill="F5F7FA" w:val="clear"/>
            <w:tcMar>
              <w:top w:type="dxa" w:w="32"/>
              <w:left w:type="dxa" w:w="75"/>
              <w:bottom w:type="dxa" w:w="32"/>
              <w:right w:type="dxa" w:w="75"/>
            </w:tcMar>
          </w:tcPr>
          <w:p>
            <w:pPr>
              <w:spacing w:after="15" w:before="15"/>
            </w:pPr>
            <w:r>
              <w:rPr>
                <w:b w:val="false"/>
                <w:bCs w:val="false"/>
                <w:sz w:val="16"/>
                <w:szCs w:val="16"/>
              </w:rPr>
              <w:t xml:space="preserve">WP4 — Operational portal, automation and deployment</w:t>
            </w:r>
          </w:p>
        </w:tc>
      </w:tr>
      <w:tr>
        <w:trPr>
          <w:tblHeader w:val="false"/>
        </w:trPr>
        <w:tc>
          <w:tcPr>
            <w:tcW w:type="dxa" w:w="2600"/>
            <w:shd w:fill="FFFFFF" w:val="clear"/>
            <w:tcMar>
              <w:top w:type="dxa" w:w="32"/>
              <w:left w:type="dxa" w:w="75"/>
              <w:bottom w:type="dxa" w:w="32"/>
              <w:right w:type="dxa" w:w="75"/>
            </w:tcMar>
          </w:tcPr>
          <w:p>
            <w:pPr>
              <w:spacing w:after="15" w:before="15"/>
            </w:pPr>
            <w:r>
              <w:rPr>
                <w:b w:val="false"/>
                <w:bCs w:val="false"/>
                <w:sz w:val="16"/>
                <w:szCs w:val="16"/>
              </w:rPr>
              <w:t xml:space="preserve">Evidence build</w:t>
            </w:r>
          </w:p>
        </w:tc>
        <w:tc>
          <w:tcPr>
            <w:tcW w:type="dxa" w:w="6760"/>
            <w:shd w:fill="FFFFFF" w:val="clear"/>
            <w:tcMar>
              <w:top w:type="dxa" w:w="32"/>
              <w:left w:type="dxa" w:w="75"/>
              <w:bottom w:type="dxa" w:w="32"/>
              <w:right w:type="dxa" w:w="75"/>
            </w:tcMar>
          </w:tcPr>
          <w:p>
            <w:pPr>
              <w:spacing w:after="15" w:before="15"/>
            </w:pPr>
            <w:r>
              <w:rPr>
                <w:b w:val="false"/>
                <w:bCs w:val="false"/>
                <w:sz w:val="16"/>
                <w:szCs w:val="16"/>
              </w:rPr>
              <w:t xml:space="preserve">Portal v3.0.0 · pipeline v4.0.0 · model evidence wp4-2026-09-29 (run EnergyForecast_Run_20260929_145931)</w:t>
            </w:r>
          </w:p>
        </w:tc>
      </w:tr>
      <w:tr>
        <w:trPr>
          <w:tblHeader w:val="false"/>
        </w:trPr>
        <w:tc>
          <w:tcPr>
            <w:tcW w:type="dxa" w:w="2600"/>
            <w:shd w:fill="F5F7FA" w:val="clear"/>
            <w:tcMar>
              <w:top w:type="dxa" w:w="32"/>
              <w:left w:type="dxa" w:w="75"/>
              <w:bottom w:type="dxa" w:w="32"/>
              <w:right w:type="dxa" w:w="75"/>
            </w:tcMar>
          </w:tcPr>
          <w:p>
            <w:pPr>
              <w:spacing w:after="15" w:before="15"/>
            </w:pPr>
            <w:r>
              <w:rPr>
                <w:b w:val="false"/>
                <w:bCs w:val="false"/>
                <w:sz w:val="16"/>
                <w:szCs w:val="16"/>
              </w:rPr>
              <w:t xml:space="preserve">Status</w:t>
            </w:r>
          </w:p>
        </w:tc>
        <w:tc>
          <w:tcPr>
            <w:tcW w:type="dxa" w:w="6760"/>
            <w:shd w:fill="F5F7FA" w:val="clear"/>
            <w:tcMar>
              <w:top w:type="dxa" w:w="32"/>
              <w:left w:type="dxa" w:w="75"/>
              <w:bottom w:type="dxa" w:w="32"/>
              <w:right w:type="dxa" w:w="75"/>
            </w:tcMar>
          </w:tcPr>
          <w:p>
            <w:pPr>
              <w:spacing w:after="15" w:before="15"/>
            </w:pPr>
            <w:r>
              <w:rPr>
                <w:b w:val="false"/>
                <w:bCs w:val="false"/>
                <w:sz w:val="16"/>
                <w:szCs w:val="16"/>
              </w:rPr>
              <w:t xml:space="preserve">Portal operating locally and verified by automated tests; deployment configured and documented, not yet demonstrated</w:t>
            </w:r>
          </w:p>
        </w:tc>
      </w:tr>
    </w:tbl>
    <w:p>
      <w:pPr>
        <w:spacing w:after="50" w:before="50"/>
      </w:pPr>
      <w:r>
        <w:rPr>
          <w:b/>
          <w:bCs/>
          <w:i w:val="false"/>
          <w:iCs w:val="false"/>
          <w:sz w:val="19"/>
          <w:szCs w:val="19"/>
        </w:rPr>
        <w:t xml:space="preserve">Scope note. </w:t>
      </w:r>
      <w:r>
        <w:rPr>
          <w:b w:val="false"/>
          <w:bCs w:val="false"/>
          <w:i w:val="false"/>
          <w:iCs w:val="false"/>
          <w:sz w:val="19"/>
          <w:szCs w:val="19"/>
        </w:rPr>
        <w:t xml:space="preserve">This document covers WP4 — the operational portal, automation and deployment work carried out after the WP3 submission. Evidence is the supplied portal source (portal v3.0.0, pipeline v4.0.0), the curated model-evidence pack (wp4-2026-09-29), the v3.0.0 release documents and nine screenshots of the running portal captured 2 October 2026. Module ownership follows the role titles declared in the portal and continuity from WP2 and WP3; it is not derived from commit history, because the supplied repository contains no commits.</w:t>
      </w:r>
    </w:p>
    <w:p>
      <w:pPr>
        <w:pStyle w:val="Heading1"/>
        <w:spacing w:after="90" w:before="210"/>
      </w:pPr>
      <w:r>
        <w:rPr>
          <w:b/>
          <w:bCs/>
          <w:color w:val="1F3864"/>
          <w:sz w:val="26"/>
          <w:szCs w:val="26"/>
        </w:rPr>
        <w:t xml:space="preserve">1. What I was responsible for</w:t>
      </w:r>
    </w:p>
    <w:p>
      <w:pPr>
        <w:spacing w:after="50" w:before="50"/>
      </w:pPr>
      <w:r>
        <w:rPr>
          <w:sz w:val="19"/>
          <w:szCs w:val="19"/>
        </w:rPr>
        <w:t xml:space="preserve">Turning a trained model into something a running service can execute safely and repeatedly: which model each region is served, how a stored bundle is loaded and validated, how a forecast is produced on a schedule, and how models are retrained each month without repeating the Stage 3 competition.</w:t>
      </w:r>
    </w:p>
    <w:p>
      <w:pPr>
        <w:pStyle w:val="Heading1"/>
        <w:spacing w:after="90" w:before="210"/>
      </w:pPr>
      <w:r>
        <w:rPr>
          <w:b/>
          <w:bCs/>
          <w:color w:val="1F3864"/>
          <w:sz w:val="26"/>
          <w:szCs w:val="26"/>
        </w:rPr>
        <w:t xml:space="preserve">2. What I built</w:t>
      </w:r>
    </w:p>
    <w:p>
      <w:pPr>
        <w:pStyle w:val="ListParagraph"/>
        <w:numPr>
          <w:ilvl w:val="0"/>
          <w:numId w:val="1"/>
        </w:numPr>
        <w:spacing w:after="25" w:before="25"/>
      </w:pPr>
      <w:r>
        <w:rPr>
          <w:sz w:val="19"/>
          <w:szCs w:val="19"/>
        </w:rPr>
        <w:t xml:space="preserve">The production resolver: a model is served only if it is selected by the evidence pack, is on the allow-list of deployment candidates, and loads as a structurally valid portal bundle. All three must hold.</w:t>
      </w:r>
    </w:p>
    <w:p>
      <w:pPr>
        <w:pStyle w:val="ListParagraph"/>
        <w:numPr>
          <w:ilvl w:val="0"/>
          <w:numId w:val="1"/>
        </w:numPr>
        <w:spacing w:after="25" w:before="25"/>
      </w:pPr>
      <w:r>
        <w:rPr>
          <w:sz w:val="19"/>
          <w:szCs w:val="19"/>
        </w:rPr>
        <w:t xml:space="preserve">Bundle structure validation, which refuses a bare estimator — including the .joblib files the Stage 3 pipeline itself produces — rather than loading something that merely looks like a model.</w:t>
      </w:r>
    </w:p>
    <w:p>
      <w:pPr>
        <w:pStyle w:val="ListParagraph"/>
        <w:numPr>
          <w:ilvl w:val="0"/>
          <w:numId w:val="1"/>
        </w:numPr>
        <w:spacing w:after="25" w:before="25"/>
      </w:pPr>
      <w:r>
        <w:rPr>
          <w:sz w:val="19"/>
          <w:szCs w:val="19"/>
        </w:rPr>
        <w:t xml:space="preserve">Portable bundle loading: model pointers and Stage 2 roots are rebased at load time, so a bundle built in one environment runs in another.</w:t>
      </w:r>
    </w:p>
    <w:p>
      <w:pPr>
        <w:pStyle w:val="ListParagraph"/>
        <w:numPr>
          <w:ilvl w:val="0"/>
          <w:numId w:val="1"/>
        </w:numPr>
        <w:spacing w:after="25" w:before="25"/>
      </w:pPr>
      <w:r>
        <w:rPr>
          <w:sz w:val="19"/>
          <w:szCs w:val="19"/>
        </w:rPr>
        <w:t xml:space="preserve">The live inference path that produces both the next-interval forecast and the recursive four-month outlook from stored history.</w:t>
      </w:r>
    </w:p>
    <w:p>
      <w:pPr>
        <w:pStyle w:val="ListParagraph"/>
        <w:numPr>
          <w:ilvl w:val="0"/>
          <w:numId w:val="1"/>
        </w:numPr>
        <w:spacing w:after="25" w:before="25"/>
      </w:pPr>
      <w:r>
        <w:rPr>
          <w:sz w:val="19"/>
          <w:szCs w:val="19"/>
        </w:rPr>
        <w:t xml:space="preserve">Monthly retraining with a holdout deployment gate: already-approved algorithms are retrained on the completed month and promoted only if they pass; research models are refused by name.</w:t>
      </w:r>
    </w:p>
    <w:p>
      <w:pPr>
        <w:pStyle w:val="ListParagraph"/>
        <w:numPr>
          <w:ilvl w:val="0"/>
          <w:numId w:val="1"/>
        </w:numPr>
        <w:spacing w:after="25" w:before="25"/>
      </w:pPr>
      <w:r>
        <w:rPr>
          <w:sz w:val="19"/>
          <w:szCs w:val="19"/>
        </w:rPr>
        <w:t xml:space="preserve">Targeted retraining arguments (--region, --model, --reuse-stage2) so a single region can be rebuilt without re-running everything.</w:t>
      </w:r>
    </w:p>
    <w:p>
      <w:pPr>
        <w:pStyle w:val="ListParagraph"/>
        <w:numPr>
          <w:ilvl w:val="0"/>
          <w:numId w:val="1"/>
        </w:numPr>
        <w:spacing w:after="25" w:before="25"/>
      </w:pPr>
      <w:r>
        <w:rPr>
          <w:sz w:val="19"/>
          <w:szCs w:val="19"/>
        </w:rPr>
        <w:t xml:space="preserve">The feature contract module stating Feature Set A as 39 features with no weather and Set B as 54, used by the portal’s methodology panel and asserted by the test suite against the Stage 2 definitions.</w:t>
      </w:r>
    </w:p>
    <w:p>
      <w:pPr>
        <w:pStyle w:val="Heading1"/>
        <w:spacing w:after="90" w:before="210"/>
      </w:pPr>
      <w:r>
        <w:rPr>
          <w:b/>
          <w:bCs/>
          <w:color w:val="1F3864"/>
          <w:sz w:val="26"/>
          <w:szCs w:val="26"/>
        </w:rPr>
        <w:t xml:space="preserve">3. Problems I hit and how I solved them</w:t>
      </w:r>
    </w:p>
    <w:p>
      <w:pPr>
        <w:pStyle w:val="Heading2"/>
        <w:spacing w:after="70" w:before="160"/>
      </w:pPr>
      <w:r>
        <w:rPr>
          <w:b/>
          <w:bCs/>
          <w:color w:val="2F5496"/>
          <w:sz w:val="21"/>
          <w:szCs w:val="21"/>
        </w:rPr>
        <w:t xml:space="preserve">3.1 The portal was serving a model the evidence did not select</w:t>
      </w:r>
    </w:p>
    <w:p>
      <w:pPr>
        <w:spacing w:after="50" w:before="50"/>
      </w:pPr>
      <w:r>
        <w:rPr>
          <w:b/>
          <w:bCs/>
          <w:i w:val="false"/>
          <w:iCs w:val="false"/>
          <w:sz w:val="19"/>
          <w:szCs w:val="19"/>
        </w:rPr>
        <w:t xml:space="preserve">Problem. </w:t>
      </w:r>
      <w:r>
        <w:rPr>
          <w:b w:val="false"/>
          <w:bCs w:val="false"/>
          <w:i w:val="false"/>
          <w:iCs w:val="false"/>
          <w:sz w:val="19"/>
          <w:szCs w:val="19"/>
        </w:rPr>
        <w:t xml:space="preserve">The production model for each region was a hand-written list in a configuration file, and the default was whichever entry came first. The pre-release audit found this had drifted in two regions: WA defaulted to RandomForest_A purely by list order when the evidence selects B, and SA1 was served A when the evidence selects B. Every accuracy figure shown beside those forecasts described a different model from the one producing them.</w:t>
      </w:r>
    </w:p>
    <w:p>
      <w:pPr>
        <w:spacing w:after="50" w:before="50"/>
      </w:pPr>
      <w:r>
        <w:rPr>
          <w:b/>
          <w:bCs/>
          <w:i w:val="false"/>
          <w:iCs w:val="false"/>
          <w:sz w:val="19"/>
          <w:szCs w:val="19"/>
        </w:rPr>
        <w:t xml:space="preserve">What I did. </w:t>
      </w:r>
      <w:r>
        <w:rPr>
          <w:b w:val="false"/>
          <w:bCs w:val="false"/>
          <w:i w:val="false"/>
          <w:iCs w:val="false"/>
          <w:sz w:val="19"/>
          <w:szCs w:val="19"/>
        </w:rPr>
        <w:t xml:space="preserve">I made the evidence pack the single authority. The resolver reads the selection file, intersects it with an allow-list that excludes every research model, and then checks that a valid bundle actually exists before anything is served. Where the selected bundle is missing, the region falls back to the available model and the portal says so visibly rather than failing silently or pretending.</w:t>
      </w:r>
    </w:p>
    <w:p>
      <w:pPr>
        <w:spacing w:after="50" w:before="50"/>
      </w:pPr>
      <w:r>
        <w:rPr>
          <w:b/>
          <w:bCs/>
          <w:i w:val="false"/>
          <w:iCs w:val="false"/>
          <w:sz w:val="19"/>
          <w:szCs w:val="19"/>
        </w:rPr>
        <w:t xml:space="preserve">Result. </w:t>
      </w:r>
      <w:r>
        <w:rPr>
          <w:b w:val="false"/>
          <w:bCs w:val="false"/>
          <w:i w:val="false"/>
          <w:iCs w:val="false"/>
          <w:sz w:val="19"/>
          <w:szCs w:val="19"/>
        </w:rPr>
        <w:t xml:space="preserve">WA now serves RandomForest_B, verified end to end with the real bundle producing a 5,856-row forecast. SA1 is correctly resolved to B, has no B bundle yet, and therefore serves A with a visible warning until the bundle is trained. The configuration can no longer drift from the evidence, because it is no longer written by hand.</w:t>
      </w:r>
    </w:p>
    <w:p>
      <w:pPr>
        <w:pStyle w:val="Heading2"/>
        <w:spacing w:after="70" w:before="160"/>
      </w:pPr>
      <w:r>
        <w:rPr>
          <w:b/>
          <w:bCs/>
          <w:color w:val="2F5496"/>
          <w:sz w:val="21"/>
          <w:szCs w:val="21"/>
        </w:rPr>
        <w:t xml:space="preserve">3.2 Our own model files would have loaded without complaint</w:t>
      </w:r>
    </w:p>
    <w:p>
      <w:pPr>
        <w:spacing w:after="50" w:before="50"/>
      </w:pPr>
      <w:r>
        <w:rPr>
          <w:b/>
          <w:bCs/>
          <w:i w:val="false"/>
          <w:iCs w:val="false"/>
          <w:sz w:val="19"/>
          <w:szCs w:val="19"/>
        </w:rPr>
        <w:t xml:space="preserve">Problem. </w:t>
      </w:r>
      <w:r>
        <w:rPr>
          <w:b w:val="false"/>
          <w:bCs w:val="false"/>
          <w:i w:val="false"/>
          <w:iCs w:val="false"/>
          <w:sz w:val="19"/>
          <w:szCs w:val="19"/>
        </w:rPr>
        <w:t xml:space="preserve">The Stage 3 modelling pipeline saves models with a plain dump of the fitted estimator. The portal expects a bundle carrying the feature list, the Stage 2 root and version metadata. A bare estimator would have loaded, predicted, and produced numbers that looked entirely reasonable while using whatever column order it happened to receive.</w:t>
      </w:r>
    </w:p>
    <w:p>
      <w:pPr>
        <w:spacing w:after="50" w:before="50"/>
      </w:pPr>
      <w:r>
        <w:rPr>
          <w:b/>
          <w:bCs/>
          <w:i w:val="false"/>
          <w:iCs w:val="false"/>
          <w:sz w:val="19"/>
          <w:szCs w:val="19"/>
        </w:rPr>
        <w:t xml:space="preserve">What I did. </w:t>
      </w:r>
      <w:r>
        <w:rPr>
          <w:b w:val="false"/>
          <w:bCs w:val="false"/>
          <w:i w:val="false"/>
          <w:iCs w:val="false"/>
          <w:sz w:val="19"/>
          <w:szCs w:val="19"/>
        </w:rPr>
        <w:t xml:space="preserve">I added structure validation before any load and wrote a test that deliberately feeds the resolver a Stage 3-style bare estimator and asserts that it is refused, along with a model of the wrong family.</w:t>
      </w:r>
    </w:p>
    <w:p>
      <w:pPr>
        <w:spacing w:after="50" w:before="50"/>
      </w:pPr>
      <w:r>
        <w:rPr>
          <w:b/>
          <w:bCs/>
          <w:i w:val="false"/>
          <w:iCs w:val="false"/>
          <w:sz w:val="19"/>
          <w:szCs w:val="19"/>
        </w:rPr>
        <w:t xml:space="preserve">Result. </w:t>
      </w:r>
      <w:r>
        <w:rPr>
          <w:b w:val="false"/>
          <w:bCs w:val="false"/>
          <w:i w:val="false"/>
          <w:iCs w:val="false"/>
          <w:sz w:val="19"/>
          <w:szCs w:val="19"/>
        </w:rPr>
        <w:t xml:space="preserve">The failure mode is now impossible rather than unlikely. I would rather have a test proving something cannot happen than a test proving the happy path works, because this is exactly the kind of fault that produces confident wrong answers instead of errors.</w:t>
      </w:r>
    </w:p>
    <w:p>
      <w:pPr>
        <w:pStyle w:val="Heading2"/>
        <w:spacing w:after="70" w:before="160"/>
      </w:pPr>
      <w:r>
        <w:rPr>
          <w:b/>
          <w:bCs/>
          <w:color w:val="2F5496"/>
          <w:sz w:val="21"/>
          <w:szCs w:val="21"/>
        </w:rPr>
        <w:t xml:space="preserve">3.3 Deep learning was added on recommendation, and did not help</w:t>
      </w:r>
    </w:p>
    <w:p>
      <w:pPr>
        <w:spacing w:after="50" w:before="50"/>
      </w:pPr>
      <w:r>
        <w:rPr>
          <w:b/>
          <w:bCs/>
          <w:i w:val="false"/>
          <w:iCs w:val="false"/>
          <w:sz w:val="19"/>
          <w:szCs w:val="19"/>
        </w:rPr>
        <w:t xml:space="preserve">Problem. </w:t>
      </w:r>
      <w:r>
        <w:rPr>
          <w:b w:val="false"/>
          <w:bCs w:val="false"/>
          <w:i w:val="false"/>
          <w:iCs w:val="false"/>
          <w:sz w:val="19"/>
          <w:szCs w:val="19"/>
        </w:rPr>
        <w:t xml:space="preserve">Two neural candidates — an MLP and a GRU sequence model — were added to the model registry after feedback. The risk was presenting them as an improvement because they are more sophisticated, or dismissing them without a fair test.</w:t>
      </w:r>
    </w:p>
    <w:p>
      <w:pPr>
        <w:spacing w:after="50" w:before="50"/>
      </w:pPr>
      <w:r>
        <w:rPr>
          <w:b/>
          <w:bCs/>
          <w:i w:val="false"/>
          <w:iCs w:val="false"/>
          <w:sz w:val="19"/>
          <w:szCs w:val="19"/>
        </w:rPr>
        <w:t xml:space="preserve">What I did. </w:t>
      </w:r>
      <w:r>
        <w:rPr>
          <w:b w:val="false"/>
          <w:bCs w:val="false"/>
          <w:i w:val="false"/>
          <w:iCs w:val="false"/>
          <w:sz w:val="19"/>
          <w:szCs w:val="19"/>
        </w:rPr>
        <w:t xml:space="preserve">I ran both on the same matched backtests as every other model, with scalers fitted only on pre-origin rows, early stopping restricted to the eight weeks before each origin, and a runtime assertion that every GRU training sequence ends before the block it forecasts. I then compared them against the strongest previous model per region with a Diebold-Mariano test.</w:t>
      </w:r>
    </w:p>
    <w:p>
      <w:pPr>
        <w:spacing w:after="50" w:before="50"/>
      </w:pPr>
      <w:r>
        <w:rPr>
          <w:b/>
          <w:bCs/>
          <w:i w:val="false"/>
          <w:iCs w:val="false"/>
          <w:sz w:val="19"/>
          <w:szCs w:val="19"/>
        </w:rPr>
        <w:t xml:space="preserve">Result. </w:t>
      </w:r>
      <w:r>
        <w:rPr>
          <w:b w:val="false"/>
          <w:bCs w:val="false"/>
          <w:i w:val="false"/>
          <w:iCs w:val="false"/>
          <w:sz w:val="19"/>
          <w:szCs w:val="19"/>
        </w:rPr>
        <w:t xml:space="preserve">Both are recorded as no material improvement in all six regions, with error increases from 3.0% to 23.5% and p &lt; 0.05 in nine of twelve comparisons. The regional winners did not change. The result is displayed in the portal under "Did deep learning help?" rather than omitted, and the honest reading is that a correctly specified tree ensemble with explicit calendar and profile features is hard to beat at this horizon.</w:t>
      </w:r>
    </w:p>
    <w:p>
      <w:pPr>
        <w:pStyle w:val="Heading1"/>
        <w:spacing w:after="90" w:before="210"/>
      </w:pPr>
      <w:r>
        <w:rPr>
          <w:b/>
          <w:bCs/>
          <w:color w:val="1F3864"/>
          <w:sz w:val="26"/>
          <w:szCs w:val="26"/>
        </w:rPr>
        <w:t xml:space="preserve">4. Evidence from the verified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DCE6F1" w:val="clear"/>
            <w:tcMar>
              <w:top w:type="dxa" w:w="32"/>
              <w:left w:type="dxa" w:w="75"/>
              <w:bottom w:type="dxa" w:w="32"/>
              <w:right w:type="dxa" w:w="75"/>
            </w:tcMar>
          </w:tcPr>
          <w:p>
            <w:pPr>
              <w:spacing w:after="15" w:before="15"/>
            </w:pPr>
            <w:r>
              <w:rPr>
                <w:b/>
                <w:bCs/>
                <w:sz w:val="16"/>
                <w:szCs w:val="16"/>
              </w:rPr>
              <w:t xml:space="preserve">Measure</w:t>
            </w:r>
          </w:p>
        </w:tc>
        <w:tc>
          <w:tcPr>
            <w:tcW w:type="dxa" w:w="5160"/>
            <w:shd w:fill="DCE6F1" w:val="clear"/>
            <w:tcMar>
              <w:top w:type="dxa" w:w="32"/>
              <w:left w:type="dxa" w:w="75"/>
              <w:bottom w:type="dxa" w:w="32"/>
              <w:right w:type="dxa" w:w="75"/>
            </w:tcMar>
          </w:tcPr>
          <w:p>
            <w:pPr>
              <w:spacing w:after="15" w:before="15"/>
            </w:pPr>
            <w:r>
              <w:rPr>
                <w:b/>
                <w:bCs/>
                <w:sz w:val="16"/>
                <w:szCs w:val="16"/>
              </w:rPr>
              <w:t xml:space="preserve">Value</w:t>
            </w:r>
          </w:p>
        </w:tc>
      </w:tr>
      <w:tr>
        <w:trPr>
          <w:tblHeader w:val="false"/>
        </w:trPr>
        <w:tc>
          <w:tcPr>
            <w:tcW w:type="dxa" w:w="4200"/>
            <w:shd w:fill="F5F7FA" w:val="clear"/>
            <w:tcMar>
              <w:top w:type="dxa" w:w="32"/>
              <w:left w:type="dxa" w:w="75"/>
              <w:bottom w:type="dxa" w:w="32"/>
              <w:right w:type="dxa" w:w="75"/>
            </w:tcMar>
          </w:tcPr>
          <w:p>
            <w:pPr>
              <w:spacing w:after="15" w:before="15"/>
            </w:pPr>
            <w:r>
              <w:rPr>
                <w:b w:val="false"/>
                <w:bCs w:val="false"/>
                <w:sz w:val="16"/>
                <w:szCs w:val="16"/>
              </w:rPr>
              <w:t xml:space="preserve">Models in the registry</w:t>
            </w:r>
          </w:p>
        </w:tc>
        <w:tc>
          <w:tcPr>
            <w:tcW w:type="dxa" w:w="5160"/>
            <w:shd w:fill="F5F7FA" w:val="clear"/>
            <w:tcMar>
              <w:top w:type="dxa" w:w="32"/>
              <w:left w:type="dxa" w:w="75"/>
              <w:bottom w:type="dxa" w:w="32"/>
              <w:right w:type="dxa" w:w="75"/>
            </w:tcMar>
          </w:tcPr>
          <w:p>
            <w:pPr>
              <w:spacing w:after="15" w:before="15"/>
            </w:pPr>
            <w:r>
              <w:rPr>
                <w:b w:val="false"/>
                <w:bCs w:val="false"/>
                <w:sz w:val="16"/>
                <w:szCs w:val="16"/>
              </w:rPr>
              <w:t xml:space="preserve">10 competing, plus 2 restricted to ablation and sensitivity roles</w:t>
            </w:r>
          </w:p>
        </w:tc>
      </w:tr>
      <w:tr>
        <w:trPr>
          <w:tblHeader w:val="false"/>
        </w:trPr>
        <w:tc>
          <w:tcPr>
            <w:tcW w:type="dxa" w:w="4200"/>
            <w:shd w:fill="FFFFFF" w:val="clear"/>
            <w:tcMar>
              <w:top w:type="dxa" w:w="32"/>
              <w:left w:type="dxa" w:w="75"/>
              <w:bottom w:type="dxa" w:w="32"/>
              <w:right w:type="dxa" w:w="75"/>
            </w:tcMar>
          </w:tcPr>
          <w:p>
            <w:pPr>
              <w:spacing w:after="15" w:before="15"/>
            </w:pPr>
            <w:r>
              <w:rPr>
                <w:b w:val="false"/>
                <w:bCs w:val="false"/>
                <w:sz w:val="16"/>
                <w:szCs w:val="16"/>
              </w:rPr>
              <w:t xml:space="preserve">Model runs in the evidence run</w:t>
            </w:r>
          </w:p>
        </w:tc>
        <w:tc>
          <w:tcPr>
            <w:tcW w:type="dxa" w:w="5160"/>
            <w:shd w:fill="FFFFFF" w:val="clear"/>
            <w:tcMar>
              <w:top w:type="dxa" w:w="32"/>
              <w:left w:type="dxa" w:w="75"/>
              <w:bottom w:type="dxa" w:w="32"/>
              <w:right w:type="dxa" w:w="75"/>
            </w:tcMar>
          </w:tcPr>
          <w:p>
            <w:pPr>
              <w:spacing w:after="15" w:before="15"/>
            </w:pPr>
            <w:r>
              <w:rPr>
                <w:b w:val="false"/>
                <w:bCs w:val="false"/>
                <w:sz w:val="16"/>
                <w:szCs w:val="16"/>
              </w:rPr>
              <w:t xml:space="preserve">274 successful, 14 failed (all SARIMAX), 24 backtests, 426.7 minutes</w:t>
            </w:r>
          </w:p>
        </w:tc>
      </w:tr>
      <w:tr>
        <w:trPr>
          <w:tblHeader w:val="false"/>
        </w:trPr>
        <w:tc>
          <w:tcPr>
            <w:tcW w:type="dxa" w:w="4200"/>
            <w:shd w:fill="F5F7FA" w:val="clear"/>
            <w:tcMar>
              <w:top w:type="dxa" w:w="32"/>
              <w:left w:type="dxa" w:w="75"/>
              <w:bottom w:type="dxa" w:w="32"/>
              <w:right w:type="dxa" w:w="75"/>
            </w:tcMar>
          </w:tcPr>
          <w:p>
            <w:pPr>
              <w:spacing w:after="15" w:before="15"/>
            </w:pPr>
            <w:r>
              <w:rPr>
                <w:b w:val="false"/>
                <w:bCs w:val="false"/>
                <w:sz w:val="16"/>
                <w:szCs w:val="16"/>
              </w:rPr>
              <w:t xml:space="preserve">Regional selections</w:t>
            </w:r>
          </w:p>
        </w:tc>
        <w:tc>
          <w:tcPr>
            <w:tcW w:type="dxa" w:w="5160"/>
            <w:shd w:fill="F5F7FA" w:val="clear"/>
            <w:tcMar>
              <w:top w:type="dxa" w:w="32"/>
              <w:left w:type="dxa" w:w="75"/>
              <w:bottom w:type="dxa" w:w="32"/>
              <w:right w:type="dxa" w:w="75"/>
            </w:tcMar>
          </w:tcPr>
          <w:p>
            <w:pPr>
              <w:spacing w:after="15" w:before="15"/>
            </w:pPr>
            <w:r>
              <w:rPr>
                <w:b w:val="false"/>
                <w:bCs w:val="false"/>
                <w:sz w:val="16"/>
                <w:szCs w:val="16"/>
              </w:rPr>
              <w:t xml:space="preserve">NSW1 / QLD1 / VIC1 / TAS1 RandomForest_A; SA1 / WA RandomForest_B — unchanged from WP3</w:t>
            </w:r>
          </w:p>
        </w:tc>
      </w:tr>
      <w:tr>
        <w:trPr>
          <w:tblHeader w:val="false"/>
        </w:trPr>
        <w:tc>
          <w:tcPr>
            <w:tcW w:type="dxa" w:w="4200"/>
            <w:shd w:fill="FFFFFF" w:val="clear"/>
            <w:tcMar>
              <w:top w:type="dxa" w:w="32"/>
              <w:left w:type="dxa" w:w="75"/>
              <w:bottom w:type="dxa" w:w="32"/>
              <w:right w:type="dxa" w:w="75"/>
            </w:tcMar>
          </w:tcPr>
          <w:p>
            <w:pPr>
              <w:spacing w:after="15" w:before="15"/>
            </w:pPr>
            <w:r>
              <w:rPr>
                <w:b w:val="false"/>
                <w:bCs w:val="false"/>
                <w:sz w:val="16"/>
                <w:szCs w:val="16"/>
              </w:rPr>
              <w:t xml:space="preserve">Narrow-margin selections flagged</w:t>
            </w:r>
          </w:p>
        </w:tc>
        <w:tc>
          <w:tcPr>
            <w:tcW w:type="dxa" w:w="5160"/>
            <w:shd w:fill="FFFFFF" w:val="clear"/>
            <w:tcMar>
              <w:top w:type="dxa" w:w="32"/>
              <w:left w:type="dxa" w:w="75"/>
              <w:bottom w:type="dxa" w:w="32"/>
              <w:right w:type="dxa" w:w="75"/>
            </w:tcMar>
          </w:tcPr>
          <w:p>
            <w:pPr>
              <w:spacing w:after="15" w:before="15"/>
            </w:pPr>
            <w:r>
              <w:rPr>
                <w:b w:val="false"/>
                <w:bCs w:val="false"/>
                <w:sz w:val="16"/>
                <w:szCs w:val="16"/>
              </w:rPr>
              <w:t xml:space="preserve">3 of 6 (NSW1 2.1%, SA1 1.6%, TAS1 1.0%; all DM p &gt; 0.37)</w:t>
            </w:r>
          </w:p>
        </w:tc>
      </w:tr>
      <w:tr>
        <w:trPr>
          <w:tblHeader w:val="false"/>
        </w:trPr>
        <w:tc>
          <w:tcPr>
            <w:tcW w:type="dxa" w:w="4200"/>
            <w:shd w:fill="F5F7FA" w:val="clear"/>
            <w:tcMar>
              <w:top w:type="dxa" w:w="32"/>
              <w:left w:type="dxa" w:w="75"/>
              <w:bottom w:type="dxa" w:w="32"/>
              <w:right w:type="dxa" w:w="75"/>
            </w:tcMar>
          </w:tcPr>
          <w:p>
            <w:pPr>
              <w:spacing w:after="15" w:before="15"/>
            </w:pPr>
            <w:r>
              <w:rPr>
                <w:b w:val="false"/>
                <w:bCs w:val="false"/>
                <w:sz w:val="16"/>
                <w:szCs w:val="16"/>
              </w:rPr>
              <w:t xml:space="preserve">Neural outcome</w:t>
            </w:r>
          </w:p>
        </w:tc>
        <w:tc>
          <w:tcPr>
            <w:tcW w:type="dxa" w:w="5160"/>
            <w:shd w:fill="F5F7FA" w:val="clear"/>
            <w:tcMar>
              <w:top w:type="dxa" w:w="32"/>
              <w:left w:type="dxa" w:w="75"/>
              <w:bottom w:type="dxa" w:w="32"/>
              <w:right w:type="dxa" w:w="75"/>
            </w:tcMar>
          </w:tcPr>
          <w:p>
            <w:pPr>
              <w:spacing w:after="15" w:before="15"/>
            </w:pPr>
            <w:r>
              <w:rPr>
                <w:b w:val="false"/>
                <w:bCs w:val="false"/>
                <w:sz w:val="16"/>
                <w:szCs w:val="16"/>
              </w:rPr>
              <w:t xml:space="preserve">NO_MATERIAL_IMPROVEMENT in 6 of 6 regions for both MLP and GRU</w:t>
            </w:r>
          </w:p>
        </w:tc>
      </w:tr>
      <w:tr>
        <w:trPr>
          <w:tblHeader w:val="false"/>
        </w:trPr>
        <w:tc>
          <w:tcPr>
            <w:tcW w:type="dxa" w:w="4200"/>
            <w:shd w:fill="FFFFFF" w:val="clear"/>
            <w:tcMar>
              <w:top w:type="dxa" w:w="32"/>
              <w:left w:type="dxa" w:w="75"/>
              <w:bottom w:type="dxa" w:w="32"/>
              <w:right w:type="dxa" w:w="75"/>
            </w:tcMar>
          </w:tcPr>
          <w:p>
            <w:pPr>
              <w:spacing w:after="15" w:before="15"/>
            </w:pPr>
            <w:r>
              <w:rPr>
                <w:b w:val="false"/>
                <w:bCs w:val="false"/>
                <w:sz w:val="16"/>
                <w:szCs w:val="16"/>
              </w:rPr>
              <w:t xml:space="preserve">Production bundles resolved</w:t>
            </w:r>
          </w:p>
        </w:tc>
        <w:tc>
          <w:tcPr>
            <w:tcW w:type="dxa" w:w="5160"/>
            <w:shd w:fill="FFFFFF" w:val="clear"/>
            <w:tcMar>
              <w:top w:type="dxa" w:w="32"/>
              <w:left w:type="dxa" w:w="75"/>
              <w:bottom w:type="dxa" w:w="32"/>
              <w:right w:type="dxa" w:w="75"/>
            </w:tcMar>
          </w:tcPr>
          <w:p>
            <w:pPr>
              <w:spacing w:after="15" w:before="15"/>
            </w:pPr>
            <w:r>
              <w:rPr>
                <w:b w:val="false"/>
                <w:bCs w:val="false"/>
                <w:sz w:val="16"/>
                <w:szCs w:val="16"/>
              </w:rPr>
              <w:t xml:space="preserve">5 of 6 serving the selected model; SA1 on documented fallback</w:t>
            </w:r>
          </w:p>
        </w:tc>
      </w:tr>
      <w:tr>
        <w:trPr>
          <w:tblHeader w:val="false"/>
        </w:trPr>
        <w:tc>
          <w:tcPr>
            <w:tcW w:type="dxa" w:w="4200"/>
            <w:shd w:fill="F5F7FA" w:val="clear"/>
            <w:tcMar>
              <w:top w:type="dxa" w:w="32"/>
              <w:left w:type="dxa" w:w="75"/>
              <w:bottom w:type="dxa" w:w="32"/>
              <w:right w:type="dxa" w:w="75"/>
            </w:tcMar>
          </w:tcPr>
          <w:p>
            <w:pPr>
              <w:spacing w:after="15" w:before="15"/>
            </w:pPr>
            <w:r>
              <w:rPr>
                <w:b w:val="false"/>
                <w:bCs w:val="false"/>
                <w:sz w:val="16"/>
                <w:szCs w:val="16"/>
              </w:rPr>
              <w:t xml:space="preserve">Forecast length per run</w:t>
            </w:r>
          </w:p>
        </w:tc>
        <w:tc>
          <w:tcPr>
            <w:tcW w:type="dxa" w:w="5160"/>
            <w:shd w:fill="F5F7FA" w:val="clear"/>
            <w:tcMar>
              <w:top w:type="dxa" w:w="32"/>
              <w:left w:type="dxa" w:w="75"/>
              <w:bottom w:type="dxa" w:w="32"/>
              <w:right w:type="dxa" w:w="75"/>
            </w:tcMar>
          </w:tcPr>
          <w:p>
            <w:pPr>
              <w:spacing w:after="15" w:before="15"/>
            </w:pPr>
            <w:r>
              <w:rPr>
                <w:b w:val="false"/>
                <w:bCs w:val="false"/>
                <w:sz w:val="16"/>
                <w:szCs w:val="16"/>
              </w:rPr>
              <w:t xml:space="preserve">5,856 half-hourly rows per region</w:t>
            </w:r>
          </w:p>
        </w:tc>
      </w:tr>
      <w:tr>
        <w:trPr>
          <w:tblHeader w:val="false"/>
        </w:trPr>
        <w:tc>
          <w:tcPr>
            <w:tcW w:type="dxa" w:w="4200"/>
            <w:shd w:fill="FFFFFF" w:val="clear"/>
            <w:tcMar>
              <w:top w:type="dxa" w:w="32"/>
              <w:left w:type="dxa" w:w="75"/>
              <w:bottom w:type="dxa" w:w="32"/>
              <w:right w:type="dxa" w:w="75"/>
            </w:tcMar>
          </w:tcPr>
          <w:p>
            <w:pPr>
              <w:spacing w:after="15" w:before="15"/>
            </w:pPr>
            <w:r>
              <w:rPr>
                <w:b w:val="false"/>
                <w:bCs w:val="false"/>
                <w:sz w:val="16"/>
                <w:szCs w:val="16"/>
              </w:rPr>
              <w:t xml:space="preserve">Real bundle validated end to end</w:t>
            </w:r>
          </w:p>
        </w:tc>
        <w:tc>
          <w:tcPr>
            <w:tcW w:type="dxa" w:w="5160"/>
            <w:shd w:fill="FFFFFF" w:val="clear"/>
            <w:tcMar>
              <w:top w:type="dxa" w:w="32"/>
              <w:left w:type="dxa" w:w="75"/>
              <w:bottom w:type="dxa" w:w="32"/>
              <w:right w:type="dxa" w:w="75"/>
            </w:tcMar>
          </w:tcPr>
          <w:p>
            <w:pPr>
              <w:spacing w:after="15" w:before="15"/>
            </w:pPr>
            <w:r>
              <w:rPr>
                <w:b w:val="false"/>
                <w:bCs w:val="false"/>
                <w:sz w:val="16"/>
                <w:szCs w:val="16"/>
              </w:rPr>
              <w:t xml:space="preserve">WA RandomForest_B, model_version v2026_09_20_0536, finite 1,046–3,347 MW</w:t>
            </w:r>
          </w:p>
        </w:tc>
      </w:tr>
    </w:tbl>
    <w:p>
      <w:pPr>
        <w:spacing w:after="130" w:before="40"/>
      </w:pPr>
      <w:r>
        <w:rPr>
          <w:i/>
          <w:iCs/>
          <w:sz w:val="17"/>
          <w:szCs w:val="17"/>
        </w:rPr>
        <w:t xml:space="preserve">Table 2. Measured outcomes.</w:t>
      </w:r>
    </w:p>
    <w:p>
      <w:pPr>
        <w:pStyle w:val="Heading1"/>
        <w:spacing w:after="90" w:before="210"/>
      </w:pPr>
      <w:r>
        <w:rPr>
          <w:b/>
          <w:bCs/>
          <w:color w:val="1F3864"/>
          <w:sz w:val="26"/>
          <w:szCs w:val="26"/>
        </w:rPr>
        <w:t xml:space="preserve">5. Where I depended on the team</w:t>
      </w:r>
    </w:p>
    <w:p>
      <w:pPr>
        <w:pStyle w:val="ListParagraph"/>
        <w:numPr>
          <w:ilvl w:val="0"/>
          <w:numId w:val="1"/>
        </w:numPr>
        <w:spacing w:after="25" w:before="25"/>
      </w:pPr>
      <w:r>
        <w:rPr>
          <w:sz w:val="19"/>
          <w:szCs w:val="19"/>
        </w:rPr>
        <w:t xml:space="preserve">Suraj’s database schema and market-clock contract define where a forecast is written and what its timestamps mean; inference writes into that contract rather than defining its own.</w:t>
      </w:r>
    </w:p>
    <w:p>
      <w:pPr>
        <w:pStyle w:val="ListParagraph"/>
        <w:numPr>
          <w:ilvl w:val="0"/>
          <w:numId w:val="1"/>
        </w:numPr>
        <w:spacing w:after="25" w:before="25"/>
      </w:pPr>
      <w:r>
        <w:rPr>
          <w:sz w:val="19"/>
          <w:szCs w:val="19"/>
        </w:rPr>
        <w:t xml:space="preserve">Bishal’s tests assert my feature contract against the Stage 2 definitions, so a drift between the portal’s stated contract and the data would fail rather than pass quietly.</w:t>
      </w:r>
    </w:p>
    <w:p>
      <w:pPr>
        <w:pStyle w:val="ListParagraph"/>
        <w:numPr>
          <w:ilvl w:val="0"/>
          <w:numId w:val="1"/>
        </w:numPr>
        <w:spacing w:after="25" w:before="25"/>
      </w:pPr>
      <w:r>
        <w:rPr>
          <w:sz w:val="19"/>
          <w:szCs w:val="19"/>
        </w:rPr>
        <w:t xml:space="preserve">Sudip’s worker verifies the approved production mapping at startup, which means the resolver is checked in a second place before any scheduled forecast runs.</w:t>
      </w:r>
    </w:p>
    <w:p>
      <w:pPr>
        <w:pStyle w:val="Heading1"/>
        <w:spacing w:after="90" w:before="210"/>
      </w:pPr>
      <w:r>
        <w:rPr>
          <w:b/>
          <w:bCs/>
          <w:color w:val="1F3864"/>
          <w:sz w:val="26"/>
          <w:szCs w:val="26"/>
        </w:rPr>
        <w:t xml:space="preserve">6. Where I supported others</w:t>
      </w:r>
    </w:p>
    <w:p>
      <w:pPr>
        <w:pStyle w:val="ListParagraph"/>
        <w:numPr>
          <w:ilvl w:val="0"/>
          <w:numId w:val="1"/>
        </w:numPr>
        <w:spacing w:after="25" w:before="25"/>
      </w:pPr>
      <w:r>
        <w:rPr>
          <w:sz w:val="19"/>
          <w:szCs w:val="19"/>
        </w:rPr>
        <w:t xml:space="preserve">Supplied the resolver and selection metadata that the portal’s served-model line, fallback warning and comparison chips are built from.</w:t>
      </w:r>
    </w:p>
    <w:p>
      <w:pPr>
        <w:pStyle w:val="ListParagraph"/>
        <w:numPr>
          <w:ilvl w:val="0"/>
          <w:numId w:val="1"/>
        </w:numPr>
        <w:spacing w:after="25" w:before="25"/>
      </w:pPr>
      <w:r>
        <w:rPr>
          <w:sz w:val="19"/>
          <w:szCs w:val="19"/>
        </w:rPr>
        <w:t xml:space="preserve">Wrote the targeted retraining command that makes the SA1 gap a single documented action rather than a full pipeline re-run.</w:t>
      </w:r>
    </w:p>
    <w:p>
      <w:pPr>
        <w:pStyle w:val="ListParagraph"/>
        <w:numPr>
          <w:ilvl w:val="0"/>
          <w:numId w:val="1"/>
        </w:numPr>
        <w:spacing w:after="25" w:before="25"/>
      </w:pPr>
      <w:r>
        <w:rPr>
          <w:sz w:val="19"/>
          <w:szCs w:val="19"/>
        </w:rPr>
        <w:t xml:space="preserve">Provided the per-model evidence that the model-comparison view and the ten-model CSV download are rendered from.</w:t>
      </w:r>
    </w:p>
    <w:p>
      <w:pPr>
        <w:pStyle w:val="Heading1"/>
        <w:spacing w:after="90" w:before="210"/>
      </w:pPr>
      <w:r>
        <w:rPr>
          <w:b/>
          <w:bCs/>
          <w:color w:val="1F3864"/>
          <w:sz w:val="26"/>
          <w:szCs w:val="26"/>
        </w:rPr>
        <w:t xml:space="preserve">7.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CE6F1" w:val="clear"/>
            <w:tcMar>
              <w:top w:type="dxa" w:w="32"/>
              <w:left w:type="dxa" w:w="75"/>
              <w:bottom w:type="dxa" w:w="32"/>
              <w:right w:type="dxa" w:w="75"/>
            </w:tcMar>
          </w:tcPr>
          <w:p>
            <w:pPr>
              <w:spacing w:after="15" w:before="15"/>
            </w:pPr>
            <w:r>
              <w:rPr>
                <w:b/>
                <w:bCs/>
                <w:sz w:val="16"/>
                <w:szCs w:val="16"/>
              </w:rPr>
              <w:t xml:space="preserve">Artefact</w:t>
            </w:r>
          </w:p>
        </w:tc>
        <w:tc>
          <w:tcPr>
            <w:tcW w:type="dxa" w:w="6360"/>
            <w:shd w:fill="DCE6F1" w:val="clear"/>
            <w:tcMar>
              <w:top w:type="dxa" w:w="32"/>
              <w:left w:type="dxa" w:w="75"/>
              <w:bottom w:type="dxa" w:w="32"/>
              <w:right w:type="dxa" w:w="75"/>
            </w:tcMar>
          </w:tcPr>
          <w:p>
            <w:pPr>
              <w:spacing w:after="15" w:before="15"/>
            </w:pPr>
            <w:r>
              <w:rPr>
                <w:b/>
                <w:bCs/>
                <w:sz w:val="16"/>
                <w:szCs w:val="16"/>
              </w:rPr>
              <w:t xml:space="preserve">Location</w:t>
            </w:r>
          </w:p>
        </w:tc>
      </w:tr>
      <w:tr>
        <w:trPr>
          <w:tblHeader w:val="false"/>
        </w:trPr>
        <w:tc>
          <w:tcPr>
            <w:tcW w:type="dxa" w:w="3000"/>
            <w:shd w:fill="F5F7FA" w:val="clear"/>
            <w:tcMar>
              <w:top w:type="dxa" w:w="32"/>
              <w:left w:type="dxa" w:w="75"/>
              <w:bottom w:type="dxa" w:w="32"/>
              <w:right w:type="dxa" w:w="75"/>
            </w:tcMar>
          </w:tcPr>
          <w:p>
            <w:pPr>
              <w:spacing w:after="15" w:before="15"/>
            </w:pPr>
            <w:r>
              <w:rPr>
                <w:b w:val="false"/>
                <w:bCs w:val="false"/>
                <w:sz w:val="16"/>
                <w:szCs w:val="16"/>
              </w:rPr>
              <w:t xml:space="preserve">Modules</w:t>
            </w:r>
          </w:p>
        </w:tc>
        <w:tc>
          <w:tcPr>
            <w:tcW w:type="dxa" w:w="6360"/>
            <w:shd w:fill="F5F7FA" w:val="clear"/>
            <w:tcMar>
              <w:top w:type="dxa" w:w="32"/>
              <w:left w:type="dxa" w:w="75"/>
              <w:bottom w:type="dxa" w:w="32"/>
              <w:right w:type="dxa" w:w="75"/>
            </w:tcMar>
          </w:tcPr>
          <w:p>
            <w:pPr>
              <w:spacing w:after="15" w:before="15"/>
            </w:pPr>
            <w:r>
              <w:rPr>
                <w:b w:val="false"/>
                <w:bCs w:val="false"/>
                <w:sz w:val="16"/>
                <w:szCs w:val="16"/>
              </w:rPr>
              <w:t xml:space="preserve">pipeline/live_inference.py; model_evidence.py; model_training.py; monthly_retrain.py; repack_current_bundle.py; feature_contract.py</w:t>
            </w:r>
          </w:p>
        </w:tc>
      </w:tr>
      <w:tr>
        <w:trPr>
          <w:tblHeader w:val="false"/>
        </w:trPr>
        <w:tc>
          <w:tcPr>
            <w:tcW w:type="dxa" w:w="3000"/>
            <w:shd w:fill="FFFFFF" w:val="clear"/>
            <w:tcMar>
              <w:top w:type="dxa" w:w="32"/>
              <w:left w:type="dxa" w:w="75"/>
              <w:bottom w:type="dxa" w:w="32"/>
              <w:right w:type="dxa" w:w="75"/>
            </w:tcMar>
          </w:tcPr>
          <w:p>
            <w:pPr>
              <w:spacing w:after="15" w:before="15"/>
            </w:pPr>
            <w:r>
              <w:rPr>
                <w:b w:val="false"/>
                <w:bCs w:val="false"/>
                <w:sz w:val="16"/>
                <w:szCs w:val="16"/>
              </w:rPr>
              <w:t xml:space="preserve">Evidence</w:t>
            </w:r>
          </w:p>
        </w:tc>
        <w:tc>
          <w:tcPr>
            <w:tcW w:type="dxa" w:w="6360"/>
            <w:shd w:fill="FFFFFF" w:val="clear"/>
            <w:tcMar>
              <w:top w:type="dxa" w:w="32"/>
              <w:left w:type="dxa" w:w="75"/>
              <w:bottom w:type="dxa" w:w="32"/>
              <w:right w:type="dxa" w:w="75"/>
            </w:tcMar>
          </w:tcPr>
          <w:p>
            <w:pPr>
              <w:spacing w:after="15" w:before="15"/>
            </w:pPr>
            <w:r>
              <w:rPr>
                <w:b w:val="false"/>
                <w:bCs w:val="false"/>
                <w:sz w:val="16"/>
                <w:szCs w:val="16"/>
              </w:rPr>
              <w:t xml:space="preserve">data/model_evidence/current/selected_model.json; regional_model_winners.csv; neural_vs_previous_comparison.csv; model_comparison_overall.csv</w:t>
            </w:r>
          </w:p>
        </w:tc>
      </w:tr>
      <w:tr>
        <w:trPr>
          <w:tblHeader w:val="false"/>
        </w:trPr>
        <w:tc>
          <w:tcPr>
            <w:tcW w:type="dxa" w:w="3000"/>
            <w:shd w:fill="F5F7FA" w:val="clear"/>
            <w:tcMar>
              <w:top w:type="dxa" w:w="32"/>
              <w:left w:type="dxa" w:w="75"/>
              <w:bottom w:type="dxa" w:w="32"/>
              <w:right w:type="dxa" w:w="75"/>
            </w:tcMar>
          </w:tcPr>
          <w:p>
            <w:pPr>
              <w:spacing w:after="15" w:before="15"/>
            </w:pPr>
            <w:r>
              <w:rPr>
                <w:b w:val="false"/>
                <w:bCs w:val="false"/>
                <w:sz w:val="16"/>
                <w:szCs w:val="16"/>
              </w:rPr>
              <w:t xml:space="preserve">Command</w:t>
            </w:r>
          </w:p>
        </w:tc>
        <w:tc>
          <w:tcPr>
            <w:tcW w:type="dxa" w:w="6360"/>
            <w:shd w:fill="F5F7FA" w:val="clear"/>
            <w:tcMar>
              <w:top w:type="dxa" w:w="32"/>
              <w:left w:type="dxa" w:w="75"/>
              <w:bottom w:type="dxa" w:w="32"/>
              <w:right w:type="dxa" w:w="75"/>
            </w:tcMar>
          </w:tcPr>
          <w:p>
            <w:pPr>
              <w:spacing w:after="15" w:before="15"/>
            </w:pPr>
            <w:r>
              <w:rPr>
                <w:b w:val="false"/>
                <w:bCs w:val="false"/>
                <w:sz w:val="16"/>
                <w:szCs w:val="16"/>
              </w:rPr>
              <w:t xml:space="preserve">python -m pipeline.model_evidence status | validate-bundles</w:t>
            </w:r>
          </w:p>
        </w:tc>
      </w:tr>
      <w:tr>
        <w:trPr>
          <w:tblHeader w:val="false"/>
        </w:trPr>
        <w:tc>
          <w:tcPr>
            <w:tcW w:type="dxa" w:w="3000"/>
            <w:shd w:fill="FFFFFF" w:val="clear"/>
            <w:tcMar>
              <w:top w:type="dxa" w:w="32"/>
              <w:left w:type="dxa" w:w="75"/>
              <w:bottom w:type="dxa" w:w="32"/>
              <w:right w:type="dxa" w:w="75"/>
            </w:tcMar>
          </w:tcPr>
          <w:p>
            <w:pPr>
              <w:spacing w:after="15" w:before="15"/>
            </w:pPr>
            <w:r>
              <w:rPr>
                <w:b w:val="false"/>
                <w:bCs w:val="false"/>
                <w:sz w:val="16"/>
                <w:szCs w:val="16"/>
              </w:rPr>
              <w:t xml:space="preserve">Tests</w:t>
            </w:r>
          </w:p>
        </w:tc>
        <w:tc>
          <w:tcPr>
            <w:tcW w:type="dxa" w:w="6360"/>
            <w:shd w:fill="FFFFFF" w:val="clear"/>
            <w:tcMar>
              <w:top w:type="dxa" w:w="32"/>
              <w:left w:type="dxa" w:w="75"/>
              <w:bottom w:type="dxa" w:w="32"/>
              <w:right w:type="dxa" w:w="75"/>
            </w:tcMar>
          </w:tcPr>
          <w:p>
            <w:pPr>
              <w:spacing w:after="15" w:before="15"/>
            </w:pPr>
            <w:r>
              <w:rPr>
                <w:b w:val="false"/>
                <w:bCs w:val="false"/>
                <w:sz w:val="16"/>
                <w:szCs w:val="16"/>
              </w:rPr>
              <w:t xml:space="preserve">tests/test_production_resolver.py (12); tests/test_training_cli.py (5); tests/test_feature_contract.py (4)</w:t>
            </w:r>
          </w:p>
        </w:tc>
      </w:tr>
      <w:tr>
        <w:trPr>
          <w:tblHeader w:val="false"/>
        </w:trPr>
        <w:tc>
          <w:tcPr>
            <w:tcW w:type="dxa" w:w="3000"/>
            <w:shd w:fill="F5F7FA" w:val="clear"/>
            <w:tcMar>
              <w:top w:type="dxa" w:w="32"/>
              <w:left w:type="dxa" w:w="75"/>
              <w:bottom w:type="dxa" w:w="32"/>
              <w:right w:type="dxa" w:w="75"/>
            </w:tcMar>
          </w:tcPr>
          <w:p>
            <w:pPr>
              <w:spacing w:after="15" w:before="15"/>
            </w:pPr>
            <w:r>
              <w:rPr>
                <w:b w:val="false"/>
                <w:bCs w:val="false"/>
                <w:sz w:val="16"/>
                <w:szCs w:val="16"/>
              </w:rPr>
              <w:t xml:space="preserve">Commit</w:t>
            </w:r>
          </w:p>
        </w:tc>
        <w:tc>
          <w:tcPr>
            <w:tcW w:type="dxa" w:w="6360"/>
            <w:shd w:fill="F5F7FA" w:val="clear"/>
            <w:tcMar>
              <w:top w:type="dxa" w:w="32"/>
              <w:left w:type="dxa" w:w="75"/>
              <w:bottom w:type="dxa" w:w="32"/>
              <w:right w:type="dxa" w:w="75"/>
            </w:tcMar>
          </w:tcPr>
          <w:p>
            <w:pPr>
              <w:spacing w:after="15" w:before="15"/>
            </w:pPr>
            <w:r>
              <w:rPr>
                <w:b w:val="false"/>
                <w:bCs w:val="false"/>
                <w:sz w:val="16"/>
                <w:szCs w:val="16"/>
              </w:rPr>
              <w:t xml:space="preserve">[insert commit link]</w:t>
            </w:r>
          </w:p>
        </w:tc>
      </w:tr>
    </w:tbl>
    <w:p>
      <w:pPr>
        <w:spacing w:after="50" w:before="50"/>
      </w:pPr>
      <w:r>
        <w:rPr>
          <w:i/>
          <w:iCs/>
          <w:sz w:val="17"/>
          <w:szCs w:val="17"/>
        </w:rPr>
        <w:t xml:space="preserve">Commit and pull-request links must be inserted before submission. The supplied repository contains no commits.</w:t>
      </w:r>
    </w:p>
    <w:p>
      <w:pPr>
        <w:pStyle w:val="Heading1"/>
        <w:spacing w:after="90" w:before="210"/>
      </w:pPr>
      <w:r>
        <w:rPr>
          <w:b/>
          <w:bCs/>
          <w:color w:val="1F3864"/>
          <w:sz w:val="26"/>
          <w:szCs w:val="26"/>
        </w:rPr>
        <w:t xml:space="preserve">8. Professional reflection</w:t>
      </w:r>
    </w:p>
    <w:p>
      <w:pPr>
        <w:spacing w:after="50" w:before="50"/>
      </w:pPr>
      <w:r>
        <w:rPr>
          <w:sz w:val="19"/>
          <w:szCs w:val="19"/>
        </w:rPr>
        <w:t xml:space="preserve">[INSERT 120–150 WORD REFLECTION. Suggested focus, all supported above: the audit found my own production configuration serving the wrong model in two of six regions, and the fix that mattered was not correcting the two entries but removing the possibility of drift by making the evidence the authority. The deep-learning result is the other thing I would defend: implementing a suggestion properly and reporting that it did not help is a stronger contribution than either adopting it uncritically or arguing against it in advance.]</w:t>
      </w:r>
    </w:p>
    <w:sectPr>
      <w:pgSz w:w="11906" w:h="16838" w:orient="portrait"/>
      <w:pgMar w:top="900" w:right="950" w:bottom="90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WP4 Individual Contribution — Ashish Shrestha</dc:title>
  <dc:creator>Dan6 / Group 2 — PRT661</dc:creator>
  <cp:lastModifiedBy>Un-named</cp:lastModifiedBy>
  <cp:revision>1</cp:revision>
  <dcterms:created xsi:type="dcterms:W3CDTF">2026-10-11T14:14:11.855Z</dcterms:created>
  <dcterms:modified xsi:type="dcterms:W3CDTF">2026-10-11T14:14:11.856Z</dcterms:modified>
</cp:coreProperties>
</file>

<file path=docProps/custom.xml><?xml version="1.0" encoding="utf-8"?>
<Properties xmlns="http://schemas.openxmlformats.org/officeDocument/2006/custom-properties" xmlns:vt="http://schemas.openxmlformats.org/officeDocument/2006/docPropsVTypes"/>
</file>