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WP2 Individual Contribution</w:t>
        <w:br/>
        <w:t>and Progress Report</w:t>
      </w:r>
    </w:p>
    <w:p>
      <w:pPr>
        <w:jc w:val="center"/>
      </w:pPr>
      <w:r>
        <w:rPr>
          <w:b/>
          <w:sz w:val="24"/>
        </w:rPr>
        <w:t>Australian Electricity Demand Forecasting</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Pr>
                <w:b/>
                <w:sz w:val="18"/>
              </w:rPr>
              <w:t>Field</w:t>
            </w:r>
          </w:p>
        </w:tc>
        <w:tc>
          <w:tcPr>
            <w:tcW w:type="dxa" w:w="6803"/>
            <w:shd w:fill="D9EAF7"/>
            <w:vAlign w:val="center"/>
          </w:tcPr>
          <w:p>
            <w:r>
              <w:rPr>
                <w:b/>
                <w:sz w:val="18"/>
              </w:rPr>
              <w:t>Detail</w:t>
            </w:r>
          </w:p>
        </w:tc>
      </w:tr>
      <w:tr>
        <w:tc>
          <w:tcPr>
            <w:tcW w:type="dxa" w:w="2268"/>
            <w:vAlign w:val="top"/>
            <w:tcMar>
              <w:top w:w="90" w:type="dxa"/>
              <w:start w:w="90" w:type="dxa"/>
              <w:bottom w:w="90" w:type="dxa"/>
              <w:end w:w="90" w:type="dxa"/>
            </w:tcMar>
          </w:tcPr>
          <w:p>
            <w:r>
              <w:rPr>
                <w:sz w:val="18"/>
              </w:rPr>
              <w:t>Student</w:t>
            </w:r>
          </w:p>
        </w:tc>
        <w:tc>
          <w:tcPr>
            <w:tcW w:type="dxa" w:w="6803"/>
            <w:vAlign w:val="top"/>
            <w:tcMar>
              <w:top w:w="90" w:type="dxa"/>
              <w:start w:w="90" w:type="dxa"/>
              <w:bottom w:w="90" w:type="dxa"/>
              <w:end w:w="90" w:type="dxa"/>
            </w:tcMar>
          </w:tcPr>
          <w:p>
            <w:r>
              <w:rPr>
                <w:sz w:val="18"/>
              </w:rPr>
              <w:t>Bishal Dahal</w:t>
            </w:r>
          </w:p>
        </w:tc>
      </w:tr>
      <w:tr>
        <w:tc>
          <w:tcPr>
            <w:tcW w:type="dxa" w:w="2268"/>
            <w:vAlign w:val="top"/>
            <w:tcMar>
              <w:top w:w="90" w:type="dxa"/>
              <w:start w:w="90" w:type="dxa"/>
              <w:bottom w:w="90" w:type="dxa"/>
              <w:end w:w="90" w:type="dxa"/>
            </w:tcMar>
          </w:tcPr>
          <w:p>
            <w:r>
              <w:rPr>
                <w:sz w:val="18"/>
              </w:rPr>
              <w:t>Student ID</w:t>
            </w:r>
          </w:p>
        </w:tc>
        <w:tc>
          <w:tcPr>
            <w:tcW w:type="dxa" w:w="6803"/>
            <w:vAlign w:val="top"/>
            <w:tcMar>
              <w:top w:w="90" w:type="dxa"/>
              <w:start w:w="90" w:type="dxa"/>
              <w:bottom w:w="90" w:type="dxa"/>
              <w:end w:w="90" w:type="dxa"/>
            </w:tcMar>
          </w:tcPr>
          <w:p>
            <w:r>
              <w:rPr>
                <w:sz w:val="18"/>
              </w:rPr>
              <w:t>S388095</w:t>
            </w:r>
          </w:p>
        </w:tc>
      </w:tr>
      <w:tr>
        <w:tc>
          <w:tcPr>
            <w:tcW w:type="dxa" w:w="2268"/>
            <w:vAlign w:val="top"/>
            <w:tcMar>
              <w:top w:w="90" w:type="dxa"/>
              <w:start w:w="90" w:type="dxa"/>
              <w:bottom w:w="90" w:type="dxa"/>
              <w:end w:w="90" w:type="dxa"/>
            </w:tcMar>
          </w:tcPr>
          <w:p>
            <w:r>
              <w:rPr>
                <w:sz w:val="18"/>
              </w:rPr>
              <w:t>Role</w:t>
            </w:r>
          </w:p>
        </w:tc>
        <w:tc>
          <w:tcPr>
            <w:tcW w:type="dxa" w:w="6803"/>
            <w:vAlign w:val="top"/>
            <w:tcMar>
              <w:top w:w="90" w:type="dxa"/>
              <w:start w:w="90" w:type="dxa"/>
              <w:bottom w:w="90" w:type="dxa"/>
              <w:end w:w="90" w:type="dxa"/>
            </w:tcMar>
          </w:tcPr>
          <w:p>
            <w:r>
              <w:rPr>
                <w:sz w:val="18"/>
              </w:rPr>
              <w:t>Verification &amp; Dashboard Lead</w:t>
            </w:r>
          </w:p>
        </w:tc>
      </w:tr>
      <w:tr>
        <w:tc>
          <w:tcPr>
            <w:tcW w:type="dxa" w:w="2268"/>
            <w:vAlign w:val="top"/>
            <w:tcMar>
              <w:top w:w="90" w:type="dxa"/>
              <w:start w:w="90" w:type="dxa"/>
              <w:bottom w:w="90" w:type="dxa"/>
              <w:end w:w="90" w:type="dxa"/>
            </w:tcMar>
          </w:tcPr>
          <w:p>
            <w:r>
              <w:rPr>
                <w:sz w:val="18"/>
              </w:rPr>
              <w:t>Group</w:t>
            </w:r>
          </w:p>
        </w:tc>
        <w:tc>
          <w:tcPr>
            <w:tcW w:type="dxa" w:w="6803"/>
            <w:vAlign w:val="top"/>
            <w:tcMar>
              <w:top w:w="90" w:type="dxa"/>
              <w:start w:w="90" w:type="dxa"/>
              <w:bottom w:w="90" w:type="dxa"/>
              <w:end w:w="90" w:type="dxa"/>
            </w:tcMar>
          </w:tcPr>
          <w:p>
            <w:r>
              <w:rPr>
                <w:sz w:val="18"/>
              </w:rPr>
              <w:t>Dan6 – Theme 2</w:t>
            </w:r>
          </w:p>
        </w:tc>
      </w:tr>
      <w:tr>
        <w:tc>
          <w:tcPr>
            <w:tcW w:type="dxa" w:w="2268"/>
            <w:vAlign w:val="top"/>
            <w:tcMar>
              <w:top w:w="90" w:type="dxa"/>
              <w:start w:w="90" w:type="dxa"/>
              <w:bottom w:w="90" w:type="dxa"/>
              <w:end w:w="90" w:type="dxa"/>
            </w:tcMar>
          </w:tcPr>
          <w:p>
            <w:r>
              <w:rPr>
                <w:sz w:val="18"/>
              </w:rPr>
              <w:t>WP2 code artefact</w:t>
            </w:r>
          </w:p>
        </w:tc>
        <w:tc>
          <w:tcPr>
            <w:tcW w:type="dxa" w:w="6803"/>
            <w:vAlign w:val="top"/>
            <w:tcMar>
              <w:top w:w="90" w:type="dxa"/>
              <w:start w:w="90" w:type="dxa"/>
              <w:bottom w:w="90" w:type="dxa"/>
              <w:end w:w="90" w:type="dxa"/>
            </w:tcMar>
          </w:tcPr>
          <w:p>
            <w:r>
              <w:rPr>
                <w:sz w:val="18"/>
              </w:rPr>
              <w:t>WP2_Bishal_Dahal_Validation.py</w:t>
            </w:r>
          </w:p>
        </w:tc>
      </w:tr>
      <w:tr>
        <w:tc>
          <w:tcPr>
            <w:tcW w:type="dxa" w:w="2268"/>
            <w:vAlign w:val="top"/>
            <w:tcMar>
              <w:top w:w="90" w:type="dxa"/>
              <w:start w:w="90" w:type="dxa"/>
              <w:bottom w:w="90" w:type="dxa"/>
              <w:end w:w="90" w:type="dxa"/>
            </w:tcMar>
          </w:tcPr>
          <w:p>
            <w:r>
              <w:rPr>
                <w:sz w:val="18"/>
              </w:rPr>
              <w:t>Integrated pipeline</w:t>
            </w:r>
          </w:p>
        </w:tc>
        <w:tc>
          <w:tcPr>
            <w:tcW w:type="dxa" w:w="6803"/>
            <w:vAlign w:val="top"/>
            <w:tcMar>
              <w:top w:w="90" w:type="dxa"/>
              <w:start w:w="90" w:type="dxa"/>
              <w:bottom w:w="90" w:type="dxa"/>
              <w:end w:w="90" w:type="dxa"/>
            </w:tcMar>
          </w:tcPr>
          <w:p>
            <w:r>
              <w:rPr>
                <w:sz w:val="18"/>
              </w:rPr>
              <w:t>Preprocessing Final.py</w:t>
            </w:r>
          </w:p>
        </w:tc>
      </w:tr>
      <w:tr>
        <w:tc>
          <w:tcPr>
            <w:tcW w:type="dxa" w:w="2268"/>
            <w:vAlign w:val="top"/>
            <w:tcMar>
              <w:top w:w="90" w:type="dxa"/>
              <w:start w:w="90" w:type="dxa"/>
              <w:bottom w:w="90" w:type="dxa"/>
              <w:end w:w="90" w:type="dxa"/>
            </w:tcMar>
          </w:tcPr>
          <w:p>
            <w:r>
              <w:rPr>
                <w:sz w:val="18"/>
              </w:rPr>
              <w:t>Verified output</w:t>
            </w:r>
          </w:p>
        </w:tc>
        <w:tc>
          <w:tcPr>
            <w:tcW w:type="dxa" w:w="6803"/>
            <w:vAlign w:val="top"/>
            <w:tcMar>
              <w:top w:w="90" w:type="dxa"/>
              <w:start w:w="90" w:type="dxa"/>
              <w:bottom w:w="90" w:type="dxa"/>
              <w:end w:w="90" w:type="dxa"/>
            </w:tcMar>
          </w:tcPr>
          <w:p>
            <w:r>
              <w:rPr>
                <w:sz w:val="18"/>
              </w:rPr>
              <w:t>Stage2_Preprocessing_Output_20260914_150854.zip</w:t>
            </w:r>
          </w:p>
        </w:tc>
      </w:tr>
    </w:tbl>
    <w:p/>
    <w:p>
      <w:pPr>
        <w:pStyle w:val="Heading1"/>
      </w:pPr>
      <w:r>
        <w:t>1. Contribution overview</w:t>
      </w:r>
    </w:p>
    <w:p>
      <w:pPr>
        <w:spacing w:after="120" w:line="259" w:lineRule="auto"/>
      </w:pPr>
      <w:r>
        <w:t>My Stage 2 workstream focused on independent verification. The purpose was to make sure that successful execution was not confused with successful preprocessing. I therefore built checks that compare raw, cleaned, harmonised and feature-engineered states and produce an evidence trail that Stage 3 can rely on.</w:t>
      </w:r>
    </w:p>
    <w:p>
      <w:r>
        <w:rPr>
          <w:b/>
        </w:rPr>
        <w:t xml:space="preserve">Contribution boundary. </w:t>
      </w:r>
      <w:r>
        <w:t>The final Stage 2 pipeline is a joint integration. This report identifies the student's primary workstream and the technical interfaces it contributed, but it does not claim that one person independently authored the complete preprocessing or feature-engineering pipeline. Feature engineering is intentionally collaborative: reliable time structure, source-quality controls, calendar/holiday context, forecasting features and independent validation are combined before the final handoff to Stage 3.</w:t>
      </w:r>
    </w:p>
    <w:p>
      <w:pPr>
        <w:pStyle w:val="Heading1"/>
      </w:pPr>
      <w:r>
        <w:t>2. How the initial preprocessing plan became my workstream</w:t>
      </w:r>
    </w:p>
    <w:tbl>
      <w:tblPr>
        <w:tblStyle w:val="TableGrid"/>
        <w:tblW w:type="auto" w:w="0"/>
        <w:jc w:val="center"/>
        <w:tblLook w:firstColumn="1" w:firstRow="1" w:lastColumn="0" w:lastRow="0" w:noHBand="0" w:noVBand="1" w:val="04A0"/>
      </w:tblPr>
      <w:tblGrid>
        <w:gridCol w:w="5156"/>
        <w:gridCol w:w="5156"/>
      </w:tblGrid>
      <w:tr>
        <w:tc>
          <w:tcPr>
            <w:tcW w:type="dxa" w:w="2948"/>
            <w:shd w:fill="D9EAF7"/>
            <w:vAlign w:val="center"/>
          </w:tcPr>
          <w:p>
            <w:r>
              <w:rPr>
                <w:b/>
                <w:sz w:val="18"/>
              </w:rPr>
              <w:t>Initial design requirement</w:t>
            </w:r>
          </w:p>
        </w:tc>
        <w:tc>
          <w:tcPr>
            <w:tcW w:type="dxa" w:w="6123"/>
            <w:shd w:fill="D9EAF7"/>
            <w:vAlign w:val="center"/>
          </w:tcPr>
          <w:p>
            <w:r>
              <w:rPr>
                <w:b/>
                <w:sz w:val="18"/>
              </w:rPr>
              <w:t>How it shaped this workstream</w:t>
            </w:r>
          </w:p>
        </w:tc>
      </w:tr>
      <w:tr>
        <w:tc>
          <w:tcPr>
            <w:tcW w:type="dxa" w:w="2948"/>
            <w:vAlign w:val="top"/>
            <w:tcMar>
              <w:top w:w="90" w:type="dxa"/>
              <w:start w:w="90" w:type="dxa"/>
              <w:bottom w:w="90" w:type="dxa"/>
              <w:end w:w="90" w:type="dxa"/>
            </w:tcMar>
          </w:tcPr>
          <w:p>
            <w:r>
              <w:rPr>
                <w:sz w:val="18"/>
              </w:rPr>
              <w:t>Audit summary</w:t>
            </w:r>
          </w:p>
        </w:tc>
        <w:tc>
          <w:tcPr>
            <w:tcW w:type="dxa" w:w="6123"/>
            <w:vAlign w:val="top"/>
            <w:tcMar>
              <w:top w:w="90" w:type="dxa"/>
              <w:start w:w="90" w:type="dxa"/>
              <w:bottom w:w="90" w:type="dxa"/>
              <w:end w:w="90" w:type="dxa"/>
            </w:tcMar>
          </w:tcPr>
          <w:p>
            <w:r>
              <w:rPr>
                <w:sz w:val="18"/>
              </w:rPr>
              <w:t>The design explicitly requested automatically generated evidence for raw import, timestamps, duplicates, frequency alignment, weather joins and feature engineering.</w:t>
            </w:r>
          </w:p>
        </w:tc>
      </w:tr>
      <w:tr>
        <w:tc>
          <w:tcPr>
            <w:tcW w:type="dxa" w:w="2948"/>
            <w:vAlign w:val="top"/>
            <w:tcMar>
              <w:top w:w="90" w:type="dxa"/>
              <w:start w:w="90" w:type="dxa"/>
              <w:bottom w:w="90" w:type="dxa"/>
              <w:end w:w="90" w:type="dxa"/>
            </w:tcMar>
          </w:tcPr>
          <w:p>
            <w:r>
              <w:rPr>
                <w:sz w:val="18"/>
              </w:rPr>
              <w:t>Model-ready validation</w:t>
            </w:r>
          </w:p>
        </w:tc>
        <w:tc>
          <w:tcPr>
            <w:tcW w:type="dxa" w:w="6123"/>
            <w:vAlign w:val="top"/>
            <w:tcMar>
              <w:top w:w="90" w:type="dxa"/>
              <w:start w:w="90" w:type="dxa"/>
              <w:bottom w:w="90" w:type="dxa"/>
              <w:end w:w="90" w:type="dxa"/>
            </w:tcMar>
          </w:tcPr>
          <w:p>
            <w:r>
              <w:rPr>
                <w:sz w:val="18"/>
              </w:rPr>
              <w:t>Preprocessing should export a documented analytical table rather than rely on manual claims.</w:t>
            </w:r>
          </w:p>
        </w:tc>
      </w:tr>
      <w:tr>
        <w:tc>
          <w:tcPr>
            <w:tcW w:type="dxa" w:w="2948"/>
            <w:vAlign w:val="top"/>
            <w:tcMar>
              <w:top w:w="90" w:type="dxa"/>
              <w:start w:w="90" w:type="dxa"/>
              <w:bottom w:w="90" w:type="dxa"/>
              <w:end w:w="90" w:type="dxa"/>
            </w:tcMar>
          </w:tcPr>
          <w:p>
            <w:r>
              <w:rPr>
                <w:sz w:val="18"/>
              </w:rPr>
              <w:t>Leakage control</w:t>
            </w:r>
          </w:p>
        </w:tc>
        <w:tc>
          <w:tcPr>
            <w:tcW w:type="dxa" w:w="6123"/>
            <w:vAlign w:val="top"/>
            <w:tcMar>
              <w:top w:w="90" w:type="dxa"/>
              <w:start w:w="90" w:type="dxa"/>
              <w:bottom w:w="90" w:type="dxa"/>
              <w:end w:w="90" w:type="dxa"/>
            </w:tcMar>
          </w:tcPr>
          <w:p>
            <w:r>
              <w:rPr>
                <w:sz w:val="18"/>
              </w:rPr>
              <w:t>Chronological rules had to be checked rather than only described.</w:t>
            </w:r>
          </w:p>
        </w:tc>
      </w:tr>
      <w:tr>
        <w:tc>
          <w:tcPr>
            <w:tcW w:type="dxa" w:w="2948"/>
            <w:vAlign w:val="top"/>
            <w:tcMar>
              <w:top w:w="90" w:type="dxa"/>
              <w:start w:w="90" w:type="dxa"/>
              <w:bottom w:w="90" w:type="dxa"/>
              <w:end w:w="90" w:type="dxa"/>
            </w:tcMar>
          </w:tcPr>
          <w:p>
            <w:r>
              <w:rPr>
                <w:sz w:val="18"/>
              </w:rPr>
              <w:t>2026 verification readiness</w:t>
            </w:r>
          </w:p>
        </w:tc>
        <w:tc>
          <w:tcPr>
            <w:tcW w:type="dxa" w:w="6123"/>
            <w:vAlign w:val="top"/>
            <w:tcMar>
              <w:top w:w="90" w:type="dxa"/>
              <w:start w:w="90" w:type="dxa"/>
              <w:bottom w:w="90" w:type="dxa"/>
              <w:end w:w="90" w:type="dxa"/>
            </w:tcMar>
          </w:tcPr>
          <w:p>
            <w:r>
              <w:rPr>
                <w:sz w:val="18"/>
              </w:rPr>
              <w:t>Known 2026 actuals should be preserved for later actual-vs-predicted evaluation.</w:t>
            </w:r>
          </w:p>
        </w:tc>
      </w:tr>
    </w:tbl>
    <w:p/>
    <w:p>
      <w:pPr>
        <w:pStyle w:val="Heading1"/>
      </w:pPr>
      <w:r>
        <w:t>3. Work completed</w:t>
      </w:r>
    </w:p>
    <w:p>
      <w:pPr>
        <w:pStyle w:val="Heading2"/>
      </w:pPr>
      <w:r>
        <w:t>3.1 Non-technical explanation</w:t>
      </w:r>
    </w:p>
    <w:p>
      <w:pPr>
        <w:pStyle w:val="ListBullet"/>
        <w:spacing w:after="60"/>
      </w:pPr>
      <w:r>
        <w:rPr>
          <w:b/>
        </w:rPr>
        <w:t xml:space="preserve">Check source and coverage. </w:t>
      </w:r>
      <w:r>
        <w:t>Required fields, numeric demand, chronological order and source frequency are confirmed before modelling readiness is considered.</w:t>
      </w:r>
    </w:p>
    <w:p>
      <w:pPr>
        <w:pStyle w:val="ListBullet"/>
        <w:spacing w:after="60"/>
      </w:pPr>
      <w:r>
        <w:rPr>
          <w:b/>
        </w:rPr>
        <w:t xml:space="preserve">Check duplicates and gaps. </w:t>
      </w:r>
      <w:r>
        <w:t>The test verifies that duplicate timestamps are gone, the final grid is uniform and long gaps have not been silently filled.</w:t>
      </w:r>
    </w:p>
    <w:p>
      <w:pPr>
        <w:pStyle w:val="ListBullet"/>
        <w:spacing w:after="60"/>
      </w:pPr>
      <w:r>
        <w:rPr>
          <w:b/>
        </w:rPr>
        <w:t xml:space="preserve">Recompute the resampling independently. </w:t>
      </w:r>
      <w:r>
        <w:t>Sampled half-hours are calculated again directly from the higher-frequency series, so the test can detect an incorrect aggregation window or sum-vs-mean mistake.</w:t>
      </w:r>
    </w:p>
    <w:p>
      <w:pPr>
        <w:pStyle w:val="ListBullet"/>
        <w:spacing w:after="60"/>
      </w:pPr>
      <w:r>
        <w:rPr>
          <w:b/>
        </w:rPr>
        <w:t xml:space="preserve">Reconcile rows and values. </w:t>
      </w:r>
      <w:r>
        <w:t>Counts and demand-level summaries are checked before and after transformation.</w:t>
      </w:r>
    </w:p>
    <w:p>
      <w:pPr>
        <w:pStyle w:val="ListBullet"/>
        <w:spacing w:after="60"/>
      </w:pPr>
      <w:r>
        <w:rPr>
          <w:b/>
        </w:rPr>
        <w:t xml:space="preserve">Validate weather and holidays. </w:t>
      </w:r>
      <w:r>
        <w:t>Historical coverage, local-date holiday mapping and the live seven-day forecast are checked for plausible values and correct lead dates.</w:t>
      </w:r>
    </w:p>
    <w:p>
      <w:pPr>
        <w:pStyle w:val="ListBullet"/>
        <w:spacing w:after="60"/>
      </w:pPr>
      <w:r>
        <w:rPr>
          <w:b/>
        </w:rPr>
        <w:t xml:space="preserve">Validate leakage and cutoff. </w:t>
      </w:r>
      <w:r>
        <w:t>The final run proves that modelling files end before September and that current-month actuals are held separately for verification.</w:t>
      </w:r>
    </w:p>
    <w:p>
      <w:pPr>
        <w:pStyle w:val="ListBullet"/>
        <w:spacing w:after="60"/>
      </w:pPr>
      <w:r>
        <w:rPr>
          <w:b/>
        </w:rPr>
        <w:t xml:space="preserve">Assign readiness. </w:t>
      </w:r>
      <w:r>
        <w:t>A region receives READY/READY_WITH_WARNINGS/NOT_READY from evidence rather than from a manual judgement.</w:t>
      </w:r>
    </w:p>
    <w:p>
      <w:pPr>
        <w:pStyle w:val="Heading2"/>
      </w:pPr>
      <w:r>
        <w:t>3.2 Technical code artefact</w:t>
      </w:r>
    </w:p>
    <w:p>
      <w:pPr>
        <w:spacing w:after="120" w:line="259" w:lineRule="auto"/>
      </w:pPr>
      <w:r>
        <w:t>The accompanying `WP2_Bishal_Dahal_Validation.py` is an updated individual contribution module reconstructed from the supplied WP2 module and aligned to the final Stage 2 architecture. It is intentionally narrower than the final integrated pipeline. Its main functions are:</w:t>
      </w:r>
    </w:p>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Pr>
                <w:b/>
                <w:sz w:val="18"/>
              </w:rPr>
              <w:t>Function / component</w:t>
            </w:r>
          </w:p>
        </w:tc>
        <w:tc>
          <w:tcPr>
            <w:tcW w:type="dxa" w:w="5669"/>
            <w:shd w:fill="D9EAF7"/>
            <w:vAlign w:val="center"/>
          </w:tcPr>
          <w:p>
            <w:r>
              <w:rPr>
                <w:b/>
                <w:sz w:val="18"/>
              </w:rPr>
              <w:t>Role in the workstream</w:t>
            </w:r>
          </w:p>
        </w:tc>
      </w:tr>
      <w:tr>
        <w:tc>
          <w:tcPr>
            <w:tcW w:type="dxa" w:w="3402"/>
            <w:vAlign w:val="top"/>
            <w:tcMar>
              <w:top w:w="90" w:type="dxa"/>
              <w:start w:w="90" w:type="dxa"/>
              <w:bottom w:w="90" w:type="dxa"/>
              <w:end w:w="90" w:type="dxa"/>
            </w:tcMar>
          </w:tcPr>
          <w:p>
            <w:r>
              <w:rPr>
                <w:sz w:val="18"/>
              </w:rPr>
              <w:t>_as_frame</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test_source_and_coverage</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test_duplicates_and_gaps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test_resampling_accuracy</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test_row_reconciliation</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test_weather_and_holidays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test_leakage_and_readiness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run_core_tests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validate_weather_forecast</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validate_training_cutoff</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assess_readiness</w:t>
            </w:r>
          </w:p>
        </w:tc>
        <w:tc>
          <w:tcPr>
            <w:tcW w:type="dxa" w:w="5669"/>
            <w:vAlign w:val="top"/>
            <w:tcMar>
              <w:top w:w="90" w:type="dxa"/>
              <w:start w:w="90" w:type="dxa"/>
              <w:bottom w:w="90" w:type="dxa"/>
              <w:end w:w="90" w:type="dxa"/>
            </w:tcMar>
          </w:tcPr>
          <w:p>
            <w:r>
              <w:rPr>
                <w:sz w:val="18"/>
              </w:rPr>
              <w:t>See code comments/docstring; integrated through Preprocessing Final.py.</w:t>
            </w:r>
          </w:p>
        </w:tc>
      </w:tr>
    </w:tbl>
    <w:p/>
    <w:p>
      <w:pPr>
        <w:pStyle w:val="Heading1"/>
      </w:pPr>
      <w:r>
        <w:t>4. Collaborative feature engineering and integration</w:t>
      </w:r>
    </w:p>
    <w:p>
      <w:pPr>
        <w:spacing w:after="120" w:line="259" w:lineRule="auto"/>
      </w:pPr>
      <w:r>
        <w:t>My feature-engineering contribution is verification rather than ownership of every feature formula. I independently test Suraj's aggregation, Sudip's cleaning decisions and Ashish's feature/leakage contract. This separation is intentional: a validation function should not simply call the same transformation it is supposed to verify. The final ZIP packaging and group handoff are integration tasks rather than being attributed solely to my workstream.</w:t>
      </w:r>
    </w:p>
    <w:tbl>
      <w:tblPr>
        <w:tblStyle w:val="TableGrid"/>
        <w:tblW w:type="auto" w:w="0"/>
        <w:jc w:val="center"/>
        <w:tblLook w:firstColumn="1" w:firstRow="1" w:lastColumn="0" w:lastRow="0" w:noHBand="0" w:noVBand="1" w:val="04A0"/>
      </w:tblPr>
      <w:tblGrid>
        <w:gridCol w:w="5156"/>
        <w:gridCol w:w="5156"/>
      </w:tblGrid>
      <w:tr>
        <w:tc>
          <w:tcPr>
            <w:tcW w:type="dxa" w:w="2551"/>
            <w:shd w:fill="D9EAF7"/>
            <w:vAlign w:val="center"/>
          </w:tcPr>
          <w:p>
            <w:r>
              <w:rPr>
                <w:b/>
                <w:sz w:val="18"/>
              </w:rPr>
              <w:t>Contributor interface</w:t>
            </w:r>
          </w:p>
        </w:tc>
        <w:tc>
          <w:tcPr>
            <w:tcW w:type="dxa" w:w="6520"/>
            <w:shd w:fill="D9EAF7"/>
            <w:vAlign w:val="center"/>
          </w:tcPr>
          <w:p>
            <w:r>
              <w:rPr>
                <w:b/>
                <w:sz w:val="18"/>
              </w:rPr>
              <w:t>What enters the final shared pipeline</w:t>
            </w:r>
          </w:p>
        </w:tc>
      </w:tr>
      <w:tr>
        <w:tc>
          <w:tcPr>
            <w:tcW w:type="dxa" w:w="2551"/>
            <w:vAlign w:val="top"/>
            <w:tcMar>
              <w:top w:w="90" w:type="dxa"/>
              <w:start w:w="90" w:type="dxa"/>
              <w:bottom w:w="90" w:type="dxa"/>
              <w:end w:w="90" w:type="dxa"/>
            </w:tcMar>
          </w:tcPr>
          <w:p>
            <w:r>
              <w:rPr>
                <w:sz w:val="18"/>
              </w:rPr>
              <w:t>Suraj – engineering</w:t>
            </w:r>
          </w:p>
        </w:tc>
        <w:tc>
          <w:tcPr>
            <w:tcW w:type="dxa" w:w="6520"/>
            <w:vAlign w:val="top"/>
            <w:tcMar>
              <w:top w:w="90" w:type="dxa"/>
              <w:start w:w="90" w:type="dxa"/>
              <w:bottom w:w="90" w:type="dxa"/>
              <w:end w:w="90" w:type="dxa"/>
            </w:tcMar>
          </w:tcPr>
          <w:p>
            <w:r>
              <w:rPr>
                <w:sz w:val="18"/>
              </w:rPr>
              <w:t>30-minute grid, local/canonical clock structure, calendar/cyclical features</w:t>
            </w:r>
          </w:p>
        </w:tc>
      </w:tr>
      <w:tr>
        <w:tc>
          <w:tcPr>
            <w:tcW w:type="dxa" w:w="2551"/>
            <w:vAlign w:val="top"/>
            <w:tcMar>
              <w:top w:w="90" w:type="dxa"/>
              <w:start w:w="90" w:type="dxa"/>
              <w:bottom w:w="90" w:type="dxa"/>
              <w:end w:w="90" w:type="dxa"/>
            </w:tcMar>
          </w:tcPr>
          <w:p>
            <w:r>
              <w:rPr>
                <w:sz w:val="18"/>
              </w:rPr>
              <w:t>Sudip – quality/context</w:t>
            </w:r>
          </w:p>
        </w:tc>
        <w:tc>
          <w:tcPr>
            <w:tcW w:type="dxa" w:w="6520"/>
            <w:vAlign w:val="top"/>
            <w:tcMar>
              <w:top w:w="90" w:type="dxa"/>
              <w:start w:w="90" w:type="dxa"/>
              <w:bottom w:w="90" w:type="dxa"/>
              <w:end w:w="90" w:type="dxa"/>
            </w:tcMar>
          </w:tcPr>
          <w:p>
            <w:r>
              <w:rPr>
                <w:sz w:val="18"/>
              </w:rPr>
              <w:t>gap and anomaly decisions, holiday fields, benchmark separation</w:t>
            </w:r>
          </w:p>
        </w:tc>
      </w:tr>
      <w:tr>
        <w:tc>
          <w:tcPr>
            <w:tcW w:type="dxa" w:w="2551"/>
            <w:vAlign w:val="top"/>
            <w:tcMar>
              <w:top w:w="90" w:type="dxa"/>
              <w:start w:w="90" w:type="dxa"/>
              <w:bottom w:w="90" w:type="dxa"/>
              <w:end w:w="90" w:type="dxa"/>
            </w:tcMar>
          </w:tcPr>
          <w:p>
            <w:r>
              <w:rPr>
                <w:sz w:val="18"/>
              </w:rPr>
              <w:t>Ashish – forecasting features</w:t>
            </w:r>
          </w:p>
        </w:tc>
        <w:tc>
          <w:tcPr>
            <w:tcW w:type="dxa" w:w="6520"/>
            <w:vAlign w:val="top"/>
            <w:tcMar>
              <w:top w:w="90" w:type="dxa"/>
              <w:start w:w="90" w:type="dxa"/>
              <w:bottom w:w="90" w:type="dxa"/>
              <w:end w:w="90" w:type="dxa"/>
            </w:tcMar>
          </w:tcPr>
          <w:p>
            <w:r>
              <w:rPr>
                <w:sz w:val="18"/>
              </w:rPr>
              <w:t>demand history, historical profiles, weather features, future frame, A/B contract</w:t>
            </w:r>
          </w:p>
        </w:tc>
      </w:tr>
      <w:tr>
        <w:tc>
          <w:tcPr>
            <w:tcW w:type="dxa" w:w="2551"/>
            <w:vAlign w:val="top"/>
            <w:tcMar>
              <w:top w:w="90" w:type="dxa"/>
              <w:start w:w="90" w:type="dxa"/>
              <w:bottom w:w="90" w:type="dxa"/>
              <w:end w:w="90" w:type="dxa"/>
            </w:tcMar>
          </w:tcPr>
          <w:p>
            <w:r>
              <w:rPr>
                <w:sz w:val="18"/>
              </w:rPr>
              <w:t>Bishal – verification</w:t>
            </w:r>
          </w:p>
        </w:tc>
        <w:tc>
          <w:tcPr>
            <w:tcW w:type="dxa" w:w="6520"/>
            <w:vAlign w:val="top"/>
            <w:tcMar>
              <w:top w:w="90" w:type="dxa"/>
              <w:start w:w="90" w:type="dxa"/>
              <w:bottom w:w="90" w:type="dxa"/>
              <w:end w:w="90" w:type="dxa"/>
            </w:tcMar>
          </w:tcPr>
          <w:p>
            <w:r>
              <w:rPr>
                <w:sz w:val="18"/>
              </w:rPr>
              <w:t>independent tests, weather/cutoff validation, readiness decision</w:t>
            </w:r>
          </w:p>
        </w:tc>
      </w:tr>
      <w:tr>
        <w:tc>
          <w:tcPr>
            <w:tcW w:type="dxa" w:w="2551"/>
            <w:vAlign w:val="top"/>
            <w:tcMar>
              <w:top w:w="90" w:type="dxa"/>
              <w:start w:w="90" w:type="dxa"/>
              <w:bottom w:w="90" w:type="dxa"/>
              <w:end w:w="90" w:type="dxa"/>
            </w:tcMar>
          </w:tcPr>
          <w:p>
            <w:r>
              <w:rPr>
                <w:sz w:val="18"/>
              </w:rPr>
              <w:t>Joint integration</w:t>
            </w:r>
          </w:p>
        </w:tc>
        <w:tc>
          <w:tcPr>
            <w:tcW w:type="dxa" w:w="6520"/>
            <w:vAlign w:val="top"/>
            <w:tcMar>
              <w:top w:w="90" w:type="dxa"/>
              <w:start w:w="90" w:type="dxa"/>
              <w:bottom w:w="90" w:type="dxa"/>
              <w:end w:w="90" w:type="dxa"/>
            </w:tcMar>
          </w:tcPr>
          <w:p>
            <w:r>
              <w:rPr>
                <w:sz w:val="18"/>
              </w:rPr>
              <w:t>strict previous-month cutoff, shared feature contract, Stage 2 handoff to Stage 3</w:t>
            </w:r>
          </w:p>
        </w:tc>
      </w:tr>
    </w:tbl>
    <w:p/>
    <w:p>
      <w:pPr>
        <w:pStyle w:val="Heading1"/>
      </w:pPr>
      <w:r>
        <w:t>5. Evidence from the final integrated Stage 2 run</w:t>
      </w:r>
    </w:p>
    <w:tbl>
      <w:tblPr>
        <w:tblStyle w:val="TableGrid"/>
        <w:tblW w:type="auto" w:w="0"/>
        <w:jc w:val="center"/>
        <w:tblLook w:firstColumn="1" w:firstRow="1" w:lastColumn="0" w:lastRow="0" w:noHBand="0" w:noVBand="1" w:val="04A0"/>
      </w:tblPr>
      <w:tblGrid>
        <w:gridCol w:w="3437"/>
        <w:gridCol w:w="3437"/>
        <w:gridCol w:w="3437"/>
      </w:tblGrid>
      <w:tr>
        <w:tc>
          <w:tcPr>
            <w:tcW w:type="dxa" w:w="2381"/>
            <w:shd w:fill="D9EAF7"/>
            <w:vAlign w:val="center"/>
          </w:tcPr>
          <w:p>
            <w:r>
              <w:rPr>
                <w:b/>
                <w:sz w:val="18"/>
              </w:rPr>
              <w:t>Evidence</w:t>
            </w:r>
          </w:p>
        </w:tc>
        <w:tc>
          <w:tcPr>
            <w:tcW w:type="dxa" w:w="2551"/>
            <w:shd w:fill="D9EAF7"/>
            <w:vAlign w:val="center"/>
          </w:tcPr>
          <w:p>
            <w:r>
              <w:rPr>
                <w:b/>
                <w:sz w:val="18"/>
              </w:rPr>
              <w:t>Observed result</w:t>
            </w:r>
          </w:p>
        </w:tc>
        <w:tc>
          <w:tcPr>
            <w:tcW w:type="dxa" w:w="4139"/>
            <w:shd w:fill="D9EAF7"/>
            <w:vAlign w:val="center"/>
          </w:tcPr>
          <w:p>
            <w:r>
              <w:rPr>
                <w:b/>
                <w:sz w:val="18"/>
              </w:rPr>
              <w:t>What it demonstrates</w:t>
            </w:r>
          </w:p>
        </w:tc>
      </w:tr>
      <w:tr>
        <w:tc>
          <w:tcPr>
            <w:tcW w:type="dxa" w:w="2381"/>
            <w:vAlign w:val="top"/>
            <w:tcMar>
              <w:top w:w="90" w:type="dxa"/>
              <w:start w:w="90" w:type="dxa"/>
              <w:bottom w:w="90" w:type="dxa"/>
              <w:end w:w="90" w:type="dxa"/>
            </w:tcMar>
          </w:tcPr>
          <w:p>
            <w:r>
              <w:rPr>
                <w:sz w:val="18"/>
              </w:rPr>
              <w:t>Core validation</w:t>
            </w:r>
          </w:p>
        </w:tc>
        <w:tc>
          <w:tcPr>
            <w:tcW w:type="dxa" w:w="2551"/>
            <w:vAlign w:val="top"/>
            <w:tcMar>
              <w:top w:w="90" w:type="dxa"/>
              <w:start w:w="90" w:type="dxa"/>
              <w:bottom w:w="90" w:type="dxa"/>
              <w:end w:w="90" w:type="dxa"/>
            </w:tcMar>
          </w:tcPr>
          <w:p>
            <w:r>
              <w:rPr>
                <w:sz w:val="18"/>
              </w:rPr>
              <w:t>162/162 PASS</w:t>
            </w:r>
          </w:p>
        </w:tc>
        <w:tc>
          <w:tcPr>
            <w:tcW w:type="dxa" w:w="4139"/>
            <w:vAlign w:val="top"/>
            <w:tcMar>
              <w:top w:w="90" w:type="dxa"/>
              <w:start w:w="90" w:type="dxa"/>
              <w:bottom w:w="90" w:type="dxa"/>
              <w:end w:w="90" w:type="dxa"/>
            </w:tcMar>
          </w:tcPr>
          <w:p>
            <w:r>
              <w:rPr>
                <w:sz w:val="18"/>
              </w:rPr>
              <w:t>Six groups across six regions; 27 checks per region.</w:t>
            </w:r>
          </w:p>
        </w:tc>
      </w:tr>
      <w:tr>
        <w:tc>
          <w:tcPr>
            <w:tcW w:type="dxa" w:w="2381"/>
            <w:vAlign w:val="top"/>
            <w:tcMar>
              <w:top w:w="90" w:type="dxa"/>
              <w:start w:w="90" w:type="dxa"/>
              <w:bottom w:w="90" w:type="dxa"/>
              <w:end w:w="90" w:type="dxa"/>
            </w:tcMar>
          </w:tcPr>
          <w:p>
            <w:r>
              <w:rPr>
                <w:sz w:val="18"/>
              </w:rPr>
              <w:t>Group sizes</w:t>
            </w:r>
          </w:p>
        </w:tc>
        <w:tc>
          <w:tcPr>
            <w:tcW w:type="dxa" w:w="2551"/>
            <w:vAlign w:val="top"/>
            <w:tcMar>
              <w:top w:w="90" w:type="dxa"/>
              <w:start w:w="90" w:type="dxa"/>
              <w:bottom w:w="90" w:type="dxa"/>
              <w:end w:w="90" w:type="dxa"/>
            </w:tcMar>
          </w:tcPr>
          <w:p>
            <w:r>
              <w:rPr>
                <w:sz w:val="18"/>
              </w:rPr>
              <w:t>30 / 24 / 18 / 24 / 30 / 36</w:t>
            </w:r>
          </w:p>
        </w:tc>
        <w:tc>
          <w:tcPr>
            <w:tcW w:type="dxa" w:w="4139"/>
            <w:vAlign w:val="top"/>
            <w:tcMar>
              <w:top w:w="90" w:type="dxa"/>
              <w:start w:w="90" w:type="dxa"/>
              <w:bottom w:w="90" w:type="dxa"/>
              <w:end w:w="90" w:type="dxa"/>
            </w:tcMar>
          </w:tcPr>
          <w:p>
            <w:r>
              <w:rPr>
                <w:sz w:val="18"/>
              </w:rPr>
              <w:t>Source, gaps, resampling, reconciliation, weather/holidays, leakage/readiness.</w:t>
            </w:r>
          </w:p>
        </w:tc>
      </w:tr>
      <w:tr>
        <w:tc>
          <w:tcPr>
            <w:tcW w:type="dxa" w:w="2381"/>
            <w:vAlign w:val="top"/>
            <w:tcMar>
              <w:top w:w="90" w:type="dxa"/>
              <w:start w:w="90" w:type="dxa"/>
              <w:bottom w:w="90" w:type="dxa"/>
              <w:end w:w="90" w:type="dxa"/>
            </w:tcMar>
          </w:tcPr>
          <w:p>
            <w:r>
              <w:rPr>
                <w:sz w:val="18"/>
              </w:rPr>
              <w:t>Weather forecast validation</w:t>
            </w:r>
          </w:p>
        </w:tc>
        <w:tc>
          <w:tcPr>
            <w:tcW w:type="dxa" w:w="2551"/>
            <w:vAlign w:val="top"/>
            <w:tcMar>
              <w:top w:w="90" w:type="dxa"/>
              <w:start w:w="90" w:type="dxa"/>
              <w:bottom w:w="90" w:type="dxa"/>
              <w:end w:w="90" w:type="dxa"/>
            </w:tcMar>
          </w:tcPr>
          <w:p>
            <w:r>
              <w:rPr>
                <w:sz w:val="18"/>
              </w:rPr>
              <w:t>60/60 PASS</w:t>
            </w:r>
          </w:p>
        </w:tc>
        <w:tc>
          <w:tcPr>
            <w:tcW w:type="dxa" w:w="4139"/>
            <w:vAlign w:val="top"/>
            <w:tcMar>
              <w:top w:w="90" w:type="dxa"/>
              <w:start w:w="90" w:type="dxa"/>
              <w:bottom w:w="90" w:type="dxa"/>
              <w:end w:w="90" w:type="dxa"/>
            </w:tcMar>
          </w:tcPr>
          <w:p>
            <w:r>
              <w:rPr>
                <w:sz w:val="18"/>
              </w:rPr>
              <w:t>Ten checks per region across all six regions.</w:t>
            </w:r>
          </w:p>
        </w:tc>
      </w:tr>
      <w:tr>
        <w:tc>
          <w:tcPr>
            <w:tcW w:type="dxa" w:w="2381"/>
            <w:vAlign w:val="top"/>
            <w:tcMar>
              <w:top w:w="90" w:type="dxa"/>
              <w:start w:w="90" w:type="dxa"/>
              <w:bottom w:w="90" w:type="dxa"/>
              <w:end w:w="90" w:type="dxa"/>
            </w:tcMar>
          </w:tcPr>
          <w:p>
            <w:r>
              <w:rPr>
                <w:sz w:val="18"/>
              </w:rPr>
              <w:t>Readiness</w:t>
            </w:r>
          </w:p>
        </w:tc>
        <w:tc>
          <w:tcPr>
            <w:tcW w:type="dxa" w:w="2551"/>
            <w:vAlign w:val="top"/>
            <w:tcMar>
              <w:top w:w="90" w:type="dxa"/>
              <w:start w:w="90" w:type="dxa"/>
              <w:bottom w:w="90" w:type="dxa"/>
              <w:end w:w="90" w:type="dxa"/>
            </w:tcMar>
          </w:tcPr>
          <w:p>
            <w:r>
              <w:rPr>
                <w:sz w:val="18"/>
              </w:rPr>
              <w:t>6/6 regions READY</w:t>
            </w:r>
          </w:p>
        </w:tc>
        <w:tc>
          <w:tcPr>
            <w:tcW w:type="dxa" w:w="4139"/>
            <w:vAlign w:val="top"/>
            <w:tcMar>
              <w:top w:w="90" w:type="dxa"/>
              <w:start w:w="90" w:type="dxa"/>
              <w:bottom w:w="90" w:type="dxa"/>
              <w:end w:w="90" w:type="dxa"/>
            </w:tcMar>
          </w:tcPr>
          <w:p>
            <w:r>
              <w:rPr>
                <w:sz w:val="18"/>
              </w:rPr>
              <w:t>No region had a critical validation failure in the supplied final run.</w:t>
            </w:r>
          </w:p>
        </w:tc>
      </w:tr>
      <w:tr>
        <w:tc>
          <w:tcPr>
            <w:tcW w:type="dxa" w:w="2381"/>
            <w:vAlign w:val="top"/>
            <w:tcMar>
              <w:top w:w="90" w:type="dxa"/>
              <w:start w:w="90" w:type="dxa"/>
              <w:bottom w:w="90" w:type="dxa"/>
              <w:end w:w="90" w:type="dxa"/>
            </w:tcMar>
          </w:tcPr>
          <w:p>
            <w:r>
              <w:rPr>
                <w:sz w:val="18"/>
              </w:rPr>
              <w:t>Training cutoff</w:t>
            </w:r>
          </w:p>
        </w:tc>
        <w:tc>
          <w:tcPr>
            <w:tcW w:type="dxa" w:w="2551"/>
            <w:vAlign w:val="top"/>
            <w:tcMar>
              <w:top w:w="90" w:type="dxa"/>
              <w:start w:w="90" w:type="dxa"/>
              <w:bottom w:w="90" w:type="dxa"/>
              <w:end w:w="90" w:type="dxa"/>
            </w:tcMar>
          </w:tcPr>
          <w:p>
            <w:r>
              <w:rPr>
                <w:sz w:val="18"/>
              </w:rPr>
              <w:t>0 prediction-month rows in every modelling file</w:t>
            </w:r>
          </w:p>
        </w:tc>
        <w:tc>
          <w:tcPr>
            <w:tcW w:type="dxa" w:w="4139"/>
            <w:vAlign w:val="top"/>
            <w:tcMar>
              <w:top w:w="90" w:type="dxa"/>
              <w:start w:w="90" w:type="dxa"/>
              <w:bottom w:w="90" w:type="dxa"/>
              <w:end w:w="90" w:type="dxa"/>
            </w:tcMar>
          </w:tcPr>
          <w:p>
            <w:r>
              <w:rPr>
                <w:sz w:val="18"/>
              </w:rPr>
              <w:t>625 NEM rows and 640 WA rows were reserved separately for current-month verification.</w:t>
            </w:r>
          </w:p>
        </w:tc>
      </w:tr>
      <w:tr>
        <w:tc>
          <w:tcPr>
            <w:tcW w:type="dxa" w:w="2381"/>
            <w:vAlign w:val="top"/>
            <w:tcMar>
              <w:top w:w="90" w:type="dxa"/>
              <w:start w:w="90" w:type="dxa"/>
              <w:bottom w:w="90" w:type="dxa"/>
              <w:end w:w="90" w:type="dxa"/>
            </w:tcMar>
          </w:tcPr>
          <w:p>
            <w:r>
              <w:rPr>
                <w:sz w:val="18"/>
              </w:rPr>
              <w:t>WA transparency</w:t>
            </w:r>
          </w:p>
        </w:tc>
        <w:tc>
          <w:tcPr>
            <w:tcW w:type="dxa" w:w="2551"/>
            <w:vAlign w:val="top"/>
            <w:tcMar>
              <w:top w:w="90" w:type="dxa"/>
              <w:start w:w="90" w:type="dxa"/>
              <w:bottom w:w="90" w:type="dxa"/>
              <w:end w:w="90" w:type="dxa"/>
            </w:tcMar>
          </w:tcPr>
          <w:p>
            <w:r>
              <w:rPr>
                <w:sz w:val="18"/>
              </w:rPr>
              <w:t>16 missing demand rows remain</w:t>
            </w:r>
          </w:p>
        </w:tc>
        <w:tc>
          <w:tcPr>
            <w:tcW w:type="dxa" w:w="4139"/>
            <w:vAlign w:val="top"/>
            <w:tcMar>
              <w:top w:w="90" w:type="dxa"/>
              <w:start w:w="90" w:type="dxa"/>
              <w:bottom w:w="90" w:type="dxa"/>
              <w:end w:w="90" w:type="dxa"/>
            </w:tcMar>
          </w:tcPr>
          <w:p>
            <w:r>
              <w:rPr>
                <w:sz w:val="18"/>
              </w:rPr>
              <w:t>The validation does not force the region to look artificially complete.</w:t>
            </w:r>
          </w:p>
        </w:tc>
      </w:tr>
    </w:tbl>
    <w:p/>
    <w:p>
      <w:pPr>
        <w:spacing w:after="120" w:line="259" w:lineRule="auto"/>
      </w:pPr>
      <w:r>
        <w:t>Across the complete Stage 2 run, 162/162 core checks and 60/60 live-weather checks passed, with 6/6 regions marked READY. These are integrated-pipeline results; they demonstrate that the combined team implementation passed validation, not that one individual module alone produced the outcome.</w:t>
      </w:r>
    </w:p>
    <w:p>
      <w:pPr>
        <w:pStyle w:val="Heading1"/>
      </w:pPr>
      <w:r>
        <w:t>6. Changes from the initial plan</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D9EAF7"/>
            <w:vAlign w:val="center"/>
          </w:tcPr>
          <w:p>
            <w:r>
              <w:rPr>
                <w:b/>
                <w:sz w:val="18"/>
              </w:rPr>
              <w:t>Initial position</w:t>
            </w:r>
          </w:p>
        </w:tc>
        <w:tc>
          <w:tcPr>
            <w:tcW w:type="dxa" w:w="2835"/>
            <w:shd w:fill="D9EAF7"/>
            <w:vAlign w:val="center"/>
          </w:tcPr>
          <w:p>
            <w:r>
              <w:rPr>
                <w:b/>
                <w:sz w:val="18"/>
              </w:rPr>
              <w:t>Final implementation</w:t>
            </w:r>
          </w:p>
        </w:tc>
        <w:tc>
          <w:tcPr>
            <w:tcW w:type="dxa" w:w="3685"/>
            <w:shd w:fill="D9EAF7"/>
            <w:vAlign w:val="center"/>
          </w:tcPr>
          <w:p>
            <w:r>
              <w:rPr>
                <w:b/>
                <w:sz w:val="18"/>
              </w:rPr>
              <w:t>Reason for change</w:t>
            </w:r>
          </w:p>
        </w:tc>
      </w:tr>
      <w:tr>
        <w:tc>
          <w:tcPr>
            <w:tcW w:type="dxa" w:w="2551"/>
            <w:vAlign w:val="top"/>
            <w:tcMar>
              <w:top w:w="90" w:type="dxa"/>
              <w:start w:w="90" w:type="dxa"/>
              <w:bottom w:w="90" w:type="dxa"/>
              <w:end w:w="90" w:type="dxa"/>
            </w:tcMar>
          </w:tcPr>
          <w:p>
            <w:r>
              <w:rPr>
                <w:sz w:val="18"/>
              </w:rPr>
              <w:t>General audit summary proposed</w:t>
            </w:r>
          </w:p>
        </w:tc>
        <w:tc>
          <w:tcPr>
            <w:tcW w:type="dxa" w:w="2835"/>
            <w:vAlign w:val="top"/>
            <w:tcMar>
              <w:top w:w="90" w:type="dxa"/>
              <w:start w:w="90" w:type="dxa"/>
              <w:bottom w:w="90" w:type="dxa"/>
              <w:end w:w="90" w:type="dxa"/>
            </w:tcMar>
          </w:tcPr>
          <w:p>
            <w:r>
              <w:rPr>
                <w:sz w:val="18"/>
              </w:rPr>
              <w:t>Six formal core test groups</w:t>
            </w:r>
          </w:p>
        </w:tc>
        <w:tc>
          <w:tcPr>
            <w:tcW w:type="dxa" w:w="3685"/>
            <w:vAlign w:val="top"/>
            <w:tcMar>
              <w:top w:w="90" w:type="dxa"/>
              <w:start w:w="90" w:type="dxa"/>
              <w:bottom w:w="90" w:type="dxa"/>
              <w:end w:w="90" w:type="dxa"/>
            </w:tcMar>
          </w:tcPr>
          <w:p>
            <w:r>
              <w:rPr>
                <w:sz w:val="18"/>
              </w:rPr>
              <w:t>Transforms the plan into repeatable before/after evidence.</w:t>
            </w:r>
          </w:p>
        </w:tc>
      </w:tr>
      <w:tr>
        <w:tc>
          <w:tcPr>
            <w:tcW w:type="dxa" w:w="2551"/>
            <w:vAlign w:val="top"/>
            <w:tcMar>
              <w:top w:w="90" w:type="dxa"/>
              <w:start w:w="90" w:type="dxa"/>
              <w:bottom w:w="90" w:type="dxa"/>
              <w:end w:w="90" w:type="dxa"/>
            </w:tcMar>
          </w:tcPr>
          <w:p>
            <w:r>
              <w:rPr>
                <w:sz w:val="18"/>
              </w:rPr>
              <w:t>File existence checks</w:t>
            </w:r>
          </w:p>
        </w:tc>
        <w:tc>
          <w:tcPr>
            <w:tcW w:type="dxa" w:w="2835"/>
            <w:vAlign w:val="top"/>
            <w:tcMar>
              <w:top w:w="90" w:type="dxa"/>
              <w:start w:w="90" w:type="dxa"/>
              <w:bottom w:w="90" w:type="dxa"/>
              <w:end w:w="90" w:type="dxa"/>
            </w:tcMar>
          </w:tcPr>
          <w:p>
            <w:r>
              <w:rPr>
                <w:sz w:val="18"/>
              </w:rPr>
              <w:t>Content and numerical validation</w:t>
            </w:r>
          </w:p>
        </w:tc>
        <w:tc>
          <w:tcPr>
            <w:tcW w:type="dxa" w:w="3685"/>
            <w:vAlign w:val="top"/>
            <w:tcMar>
              <w:top w:w="90" w:type="dxa"/>
              <w:start w:w="90" w:type="dxa"/>
              <w:bottom w:w="90" w:type="dxa"/>
              <w:end w:w="90" w:type="dxa"/>
            </w:tcMar>
          </w:tcPr>
          <w:p>
            <w:r>
              <w:rPr>
                <w:sz w:val="18"/>
              </w:rPr>
              <w:t>Weather is checked for target dates, numeric temperature, humidity bounds and non-negative rainfall.</w:t>
            </w:r>
          </w:p>
        </w:tc>
      </w:tr>
      <w:tr>
        <w:tc>
          <w:tcPr>
            <w:tcW w:type="dxa" w:w="2551"/>
            <w:vAlign w:val="top"/>
            <w:tcMar>
              <w:top w:w="90" w:type="dxa"/>
              <w:start w:w="90" w:type="dxa"/>
              <w:bottom w:w="90" w:type="dxa"/>
              <w:end w:w="90" w:type="dxa"/>
            </w:tcMar>
          </w:tcPr>
          <w:p>
            <w:r>
              <w:rPr>
                <w:sz w:val="18"/>
              </w:rPr>
              <w:t>Leakage described conceptually</w:t>
            </w:r>
          </w:p>
        </w:tc>
        <w:tc>
          <w:tcPr>
            <w:tcW w:type="dxa" w:w="2835"/>
            <w:vAlign w:val="top"/>
            <w:tcMar>
              <w:top w:w="90" w:type="dxa"/>
              <w:start w:w="90" w:type="dxa"/>
              <w:bottom w:w="90" w:type="dxa"/>
              <w:end w:w="90" w:type="dxa"/>
            </w:tcMar>
          </w:tcPr>
          <w:p>
            <w:r>
              <w:rPr>
                <w:sz w:val="18"/>
              </w:rPr>
              <w:t>Explicit lag, benchmark and cutoff tests</w:t>
            </w:r>
          </w:p>
        </w:tc>
        <w:tc>
          <w:tcPr>
            <w:tcW w:type="dxa" w:w="3685"/>
            <w:vAlign w:val="top"/>
            <w:tcMar>
              <w:top w:w="90" w:type="dxa"/>
              <w:start w:w="90" w:type="dxa"/>
              <w:bottom w:w="90" w:type="dxa"/>
              <w:end w:w="90" w:type="dxa"/>
            </w:tcMar>
          </w:tcPr>
          <w:p>
            <w:r>
              <w:rPr>
                <w:sz w:val="18"/>
              </w:rPr>
              <w:t>Makes forecast-time availability testable.</w:t>
            </w:r>
          </w:p>
        </w:tc>
      </w:tr>
      <w:tr>
        <w:tc>
          <w:tcPr>
            <w:tcW w:type="dxa" w:w="2551"/>
            <w:vAlign w:val="top"/>
            <w:tcMar>
              <w:top w:w="90" w:type="dxa"/>
              <w:start w:w="90" w:type="dxa"/>
              <w:bottom w:w="90" w:type="dxa"/>
              <w:end w:w="90" w:type="dxa"/>
            </w:tcMar>
          </w:tcPr>
          <w:p>
            <w:r>
              <w:rPr>
                <w:sz w:val="18"/>
              </w:rPr>
              <w:t>Current-month actuals part of source history</w:t>
            </w:r>
          </w:p>
        </w:tc>
        <w:tc>
          <w:tcPr>
            <w:tcW w:type="dxa" w:w="2835"/>
            <w:vAlign w:val="top"/>
            <w:tcMar>
              <w:top w:w="90" w:type="dxa"/>
              <w:start w:w="90" w:type="dxa"/>
              <w:bottom w:w="90" w:type="dxa"/>
              <w:end w:w="90" w:type="dxa"/>
            </w:tcMar>
          </w:tcPr>
          <w:p>
            <w:r>
              <w:rPr>
                <w:sz w:val="18"/>
              </w:rPr>
              <w:t>Verification-only holdout file</w:t>
            </w:r>
          </w:p>
        </w:tc>
        <w:tc>
          <w:tcPr>
            <w:tcW w:type="dxa" w:w="3685"/>
            <w:vAlign w:val="top"/>
            <w:tcMar>
              <w:top w:w="90" w:type="dxa"/>
              <w:start w:w="90" w:type="dxa"/>
              <w:bottom w:w="90" w:type="dxa"/>
              <w:end w:w="90" w:type="dxa"/>
            </w:tcMar>
          </w:tcPr>
          <w:p>
            <w:r>
              <w:rPr>
                <w:sz w:val="18"/>
              </w:rPr>
              <w:t>Prevents the prediction month from entering model training while preserving evidence for Stage 3.</w:t>
            </w:r>
          </w:p>
        </w:tc>
      </w:tr>
    </w:tbl>
    <w:p/>
    <w:p>
      <w:pPr>
        <w:pStyle w:val="Heading1"/>
      </w:pPr>
      <w:r>
        <w:t>7. Progress, handoff and reflection</w:t>
      </w:r>
    </w:p>
    <w:p>
      <w:pPr>
        <w:spacing w:after="120" w:line="259" w:lineRule="auto"/>
      </w:pPr>
      <w:r>
        <w:t>The biggest lesson from validation is that a pipeline can finish successfully and still be wrong. Independent recomputation, explicit cutoff checks and forecast-provenance tests are designed to fail when assumptions are violated. My Stage 3 focus should continue the same principle by separating model-selection evidence, live forecast evidence and benchmark comparisons instead of combining them into one headline accuracy number.</w:t>
      </w:r>
    </w:p>
    <w:p>
      <w:pPr>
        <w:pStyle w:val="Heading2"/>
      </w:pPr>
      <w:r>
        <w:t>7.1 Handoff to final integration</w:t>
      </w:r>
    </w:p>
    <w:p>
      <w:pPr>
        <w:pStyle w:val="ListBullet"/>
        <w:spacing w:after="60"/>
      </w:pPr>
      <w:r>
        <w:rPr>
          <w:b/>
        </w:rPr>
        <w:t xml:space="preserve">Individual artefact: </w:t>
      </w:r>
      <w:r>
        <w:t>WP2_Bishal_Dahal_Validation.py</w:t>
      </w:r>
    </w:p>
    <w:p>
      <w:pPr>
        <w:pStyle w:val="ListBullet"/>
        <w:spacing w:after="60"/>
      </w:pPr>
      <w:r>
        <w:rPr>
          <w:b/>
        </w:rPr>
        <w:t xml:space="preserve">Final integrated code: </w:t>
      </w:r>
      <w:r>
        <w:t>Preprocessing Final.py</w:t>
      </w:r>
    </w:p>
    <w:p>
      <w:pPr>
        <w:pStyle w:val="ListBullet"/>
        <w:spacing w:after="60"/>
      </w:pPr>
      <w:r>
        <w:rPr>
          <w:b/>
        </w:rPr>
        <w:t xml:space="preserve">Verified Stage 2 output: </w:t>
      </w:r>
      <w:r>
        <w:t>Stage2_Preprocessing_Output_20260914_150854.zip</w:t>
      </w:r>
    </w:p>
    <w:p>
      <w:pPr>
        <w:pStyle w:val="ListBullet"/>
        <w:spacing w:after="60"/>
      </w:pPr>
      <w:r>
        <w:rPr>
          <w:b/>
        </w:rPr>
        <w:t xml:space="preserve">Stage 3 contract: </w:t>
      </w:r>
      <w:r>
        <w:t>30-minute regional modelling files, 39-feature Model A, 54-feature Model B, future feature frame, validation and provenance files.</w:t>
      </w:r>
    </w:p>
    <w:p>
      <w:pPr>
        <w:pStyle w:val="ListBullet"/>
        <w:spacing w:after="60"/>
      </w:pPr>
      <w:r>
        <w:rPr>
          <w:b/>
        </w:rPr>
        <w:t xml:space="preserve">Evidence principle: </w:t>
      </w:r>
      <w:r>
        <w:t>Git/GitHub history should be used where the assessment requires dated authorship or commit evidence; this WP2 report does not invent commits or timestamps.</w:t>
      </w:r>
    </w:p>
    <w:p>
      <w:pPr>
        <w:pStyle w:val="Heading1"/>
      </w:pPr>
      <w:r>
        <w:t>8. Evidence sources used for this update</w:t>
      </w:r>
    </w:p>
    <w:tbl>
      <w:tblPr>
        <w:tblStyle w:val="TableGrid"/>
        <w:tblW w:type="auto" w:w="0"/>
        <w:jc w:val="center"/>
        <w:tblLook w:firstColumn="1" w:firstRow="1" w:lastColumn="0" w:lastRow="0" w:noHBand="0" w:noVBand="1" w:val="04A0"/>
      </w:tblPr>
      <w:tblGrid>
        <w:gridCol w:w="5156"/>
        <w:gridCol w:w="5156"/>
      </w:tblGrid>
      <w:tr>
        <w:tc>
          <w:tcPr>
            <w:tcW w:type="dxa" w:w="4252"/>
            <w:shd w:fill="D9EAF7"/>
            <w:vAlign w:val="center"/>
          </w:tcPr>
          <w:p>
            <w:r>
              <w:rPr>
                <w:b/>
                <w:sz w:val="18"/>
              </w:rPr>
              <w:t>Artefact</w:t>
            </w:r>
          </w:p>
        </w:tc>
        <w:tc>
          <w:tcPr>
            <w:tcW w:type="dxa" w:w="4819"/>
            <w:shd w:fill="D9EAF7"/>
            <w:vAlign w:val="center"/>
          </w:tcPr>
          <w:p>
            <w:r>
              <w:rPr>
                <w:b/>
                <w:sz w:val="18"/>
              </w:rPr>
              <w:t>Use</w:t>
            </w:r>
          </w:p>
        </w:tc>
      </w:tr>
      <w:tr>
        <w:tc>
          <w:tcPr>
            <w:tcW w:type="dxa" w:w="4252"/>
            <w:vAlign w:val="top"/>
            <w:tcMar>
              <w:top w:w="90" w:type="dxa"/>
              <w:start w:w="90" w:type="dxa"/>
              <w:bottom w:w="90" w:type="dxa"/>
              <w:end w:w="90" w:type="dxa"/>
            </w:tcMar>
          </w:tcPr>
          <w:p>
            <w:r>
              <w:rPr>
                <w:sz w:val="18"/>
              </w:rPr>
              <w:t>Preprocessing Design(1).docx</w:t>
            </w:r>
          </w:p>
        </w:tc>
        <w:tc>
          <w:tcPr>
            <w:tcW w:type="dxa" w:w="4819"/>
            <w:vAlign w:val="top"/>
            <w:tcMar>
              <w:top w:w="90" w:type="dxa"/>
              <w:start w:w="90" w:type="dxa"/>
              <w:bottom w:w="90" w:type="dxa"/>
              <w:end w:w="90" w:type="dxa"/>
            </w:tcMar>
          </w:tcPr>
          <w:p>
            <w:r>
              <w:rPr>
                <w:sz w:val="18"/>
              </w:rPr>
              <w:t>Initial Stage 2 design, proposed sequence, leakage and feature-engineering plan</w:t>
            </w:r>
          </w:p>
        </w:tc>
      </w:tr>
      <w:tr>
        <w:tc>
          <w:tcPr>
            <w:tcW w:type="dxa" w:w="4252"/>
            <w:vAlign w:val="top"/>
            <w:tcMar>
              <w:top w:w="90" w:type="dxa"/>
              <w:start w:w="90" w:type="dxa"/>
              <w:bottom w:w="90" w:type="dxa"/>
              <w:end w:w="90" w:type="dxa"/>
            </w:tcMar>
          </w:tcPr>
          <w:p>
            <w:r>
              <w:rPr>
                <w:sz w:val="18"/>
              </w:rPr>
              <w:t>Preprocessing Final.py</w:t>
            </w:r>
          </w:p>
        </w:tc>
        <w:tc>
          <w:tcPr>
            <w:tcW w:type="dxa" w:w="4819"/>
            <w:vAlign w:val="top"/>
            <w:tcMar>
              <w:top w:w="90" w:type="dxa"/>
              <w:start w:w="90" w:type="dxa"/>
              <w:bottom w:w="90" w:type="dxa"/>
              <w:end w:w="90" w:type="dxa"/>
            </w:tcMar>
          </w:tcPr>
          <w:p>
            <w:r>
              <w:rPr>
                <w:sz w:val="18"/>
              </w:rPr>
              <w:t>Final integrated preprocessing and feature-engineering implementation</w:t>
            </w:r>
          </w:p>
        </w:tc>
      </w:tr>
      <w:tr>
        <w:tc>
          <w:tcPr>
            <w:tcW w:type="dxa" w:w="4252"/>
            <w:vAlign w:val="top"/>
            <w:tcMar>
              <w:top w:w="90" w:type="dxa"/>
              <w:start w:w="90" w:type="dxa"/>
              <w:bottom w:w="90" w:type="dxa"/>
              <w:end w:w="90" w:type="dxa"/>
            </w:tcMar>
          </w:tcPr>
          <w:p>
            <w:r>
              <w:rPr>
                <w:sz w:val="18"/>
              </w:rPr>
              <w:t>Stage2_Preprocessing_Output_20260914_150854.zip</w:t>
            </w:r>
          </w:p>
        </w:tc>
        <w:tc>
          <w:tcPr>
            <w:tcW w:type="dxa" w:w="4819"/>
            <w:vAlign w:val="top"/>
            <w:tcMar>
              <w:top w:w="90" w:type="dxa"/>
              <w:start w:w="90" w:type="dxa"/>
              <w:bottom w:w="90" w:type="dxa"/>
              <w:end w:w="90" w:type="dxa"/>
            </w:tcMar>
          </w:tcPr>
          <w:p>
            <w:r>
              <w:rPr>
                <w:sz w:val="18"/>
              </w:rPr>
              <w:t>Final test, readiness, feature, forecast-weather and cutoff evidence</w:t>
            </w:r>
          </w:p>
        </w:tc>
      </w:tr>
      <w:tr>
        <w:tc>
          <w:tcPr>
            <w:tcW w:type="dxa" w:w="4252"/>
            <w:vAlign w:val="top"/>
            <w:tcMar>
              <w:top w:w="90" w:type="dxa"/>
              <w:start w:w="90" w:type="dxa"/>
              <w:bottom w:w="90" w:type="dxa"/>
              <w:end w:w="90" w:type="dxa"/>
            </w:tcMar>
          </w:tcPr>
          <w:p>
            <w:r>
              <w:rPr>
                <w:sz w:val="18"/>
              </w:rPr>
              <w:t>PRT661_Group2_WP2_Preprocessing.zip</w:t>
            </w:r>
          </w:p>
        </w:tc>
        <w:tc>
          <w:tcPr>
            <w:tcW w:type="dxa" w:w="4819"/>
            <w:vAlign w:val="top"/>
            <w:tcMar>
              <w:top w:w="90" w:type="dxa"/>
              <w:start w:w="90" w:type="dxa"/>
              <w:bottom w:w="90" w:type="dxa"/>
              <w:end w:w="90" w:type="dxa"/>
            </w:tcMar>
          </w:tcPr>
          <w:p>
            <w:r>
              <w:rPr>
                <w:sz w:val="18"/>
              </w:rPr>
              <w:t>Earlier individual WP2 reports and contribution modules used as the baseline for revision</w:t>
            </w:r>
          </w:p>
        </w:tc>
      </w:tr>
      <w:tr>
        <w:tc>
          <w:tcPr>
            <w:tcW w:type="dxa" w:w="4252"/>
            <w:vAlign w:val="top"/>
            <w:tcMar>
              <w:top w:w="90" w:type="dxa"/>
              <w:start w:w="90" w:type="dxa"/>
              <w:bottom w:w="90" w:type="dxa"/>
              <w:end w:w="90" w:type="dxa"/>
            </w:tcMar>
          </w:tcPr>
          <w:p>
            <w:r>
              <w:rPr>
                <w:sz w:val="18"/>
              </w:rPr>
              <w:t>WP2_Bishal_Dahal_Validation.py</w:t>
            </w:r>
          </w:p>
        </w:tc>
        <w:tc>
          <w:tcPr>
            <w:tcW w:type="dxa" w:w="4819"/>
            <w:vAlign w:val="top"/>
            <w:tcMar>
              <w:top w:w="90" w:type="dxa"/>
              <w:start w:w="90" w:type="dxa"/>
              <w:bottom w:w="90" w:type="dxa"/>
              <w:end w:w="90" w:type="dxa"/>
            </w:tcMar>
          </w:tcPr>
          <w:p>
            <w:r>
              <w:rPr>
                <w:sz w:val="18"/>
              </w:rPr>
              <w:t>Updated individual contribution code supplied with this report</w:t>
            </w:r>
          </w:p>
        </w:tc>
      </w:tr>
    </w:tbl>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Bishal Dahal | Individual Contribution and Progress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WP2 Stage 2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