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WP2 Individual Contribution</w:t>
        <w:br/>
        <w:t>and Progress Report</w:t>
      </w:r>
    </w:p>
    <w:p>
      <w:pPr>
        <w:jc w:val="center"/>
      </w:pPr>
      <w:r>
        <w:rPr>
          <w:b/>
          <w:sz w:val="24"/>
        </w:rPr>
        <w:t>Australian Electricity Demand Forecasting</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Pr>
                <w:b/>
                <w:sz w:val="18"/>
              </w:rPr>
              <w:t>Field</w:t>
            </w:r>
          </w:p>
        </w:tc>
        <w:tc>
          <w:tcPr>
            <w:tcW w:type="dxa" w:w="6803"/>
            <w:shd w:fill="D9EAF7"/>
            <w:vAlign w:val="center"/>
          </w:tcPr>
          <w:p>
            <w:r>
              <w:rPr>
                <w:b/>
                <w:sz w:val="18"/>
              </w:rPr>
              <w:t>Detail</w:t>
            </w:r>
          </w:p>
        </w:tc>
      </w:tr>
      <w:tr>
        <w:tc>
          <w:tcPr>
            <w:tcW w:type="dxa" w:w="2268"/>
            <w:vAlign w:val="top"/>
            <w:tcMar>
              <w:top w:w="90" w:type="dxa"/>
              <w:start w:w="90" w:type="dxa"/>
              <w:bottom w:w="90" w:type="dxa"/>
              <w:end w:w="90" w:type="dxa"/>
            </w:tcMar>
          </w:tcPr>
          <w:p>
            <w:r>
              <w:rPr>
                <w:sz w:val="18"/>
              </w:rPr>
              <w:t>Student</w:t>
            </w:r>
          </w:p>
        </w:tc>
        <w:tc>
          <w:tcPr>
            <w:tcW w:type="dxa" w:w="6803"/>
            <w:vAlign w:val="top"/>
            <w:tcMar>
              <w:top w:w="90" w:type="dxa"/>
              <w:start w:w="90" w:type="dxa"/>
              <w:bottom w:w="90" w:type="dxa"/>
              <w:end w:w="90" w:type="dxa"/>
            </w:tcMar>
          </w:tcPr>
          <w:p>
            <w:r>
              <w:rPr>
                <w:sz w:val="18"/>
              </w:rPr>
              <w:t>Ashish Shrestha</w:t>
            </w:r>
          </w:p>
        </w:tc>
      </w:tr>
      <w:tr>
        <w:tc>
          <w:tcPr>
            <w:tcW w:type="dxa" w:w="2268"/>
            <w:vAlign w:val="top"/>
            <w:tcMar>
              <w:top w:w="90" w:type="dxa"/>
              <w:start w:w="90" w:type="dxa"/>
              <w:bottom w:w="90" w:type="dxa"/>
              <w:end w:w="90" w:type="dxa"/>
            </w:tcMar>
          </w:tcPr>
          <w:p>
            <w:r>
              <w:rPr>
                <w:sz w:val="18"/>
              </w:rPr>
              <w:t>Student ID</w:t>
            </w:r>
          </w:p>
        </w:tc>
        <w:tc>
          <w:tcPr>
            <w:tcW w:type="dxa" w:w="6803"/>
            <w:vAlign w:val="top"/>
            <w:tcMar>
              <w:top w:w="90" w:type="dxa"/>
              <w:start w:w="90" w:type="dxa"/>
              <w:bottom w:w="90" w:type="dxa"/>
              <w:end w:w="90" w:type="dxa"/>
            </w:tcMar>
          </w:tcPr>
          <w:p>
            <w:r>
              <w:rPr>
                <w:sz w:val="18"/>
              </w:rPr>
              <w:t>S388084</w:t>
            </w:r>
          </w:p>
        </w:tc>
      </w:tr>
      <w:tr>
        <w:tc>
          <w:tcPr>
            <w:tcW w:type="dxa" w:w="2268"/>
            <w:vAlign w:val="top"/>
            <w:tcMar>
              <w:top w:w="90" w:type="dxa"/>
              <w:start w:w="90" w:type="dxa"/>
              <w:bottom w:w="90" w:type="dxa"/>
              <w:end w:w="90" w:type="dxa"/>
            </w:tcMar>
          </w:tcPr>
          <w:p>
            <w:r>
              <w:rPr>
                <w:sz w:val="18"/>
              </w:rPr>
              <w:t>Role</w:t>
            </w:r>
          </w:p>
        </w:tc>
        <w:tc>
          <w:tcPr>
            <w:tcW w:type="dxa" w:w="6803"/>
            <w:vAlign w:val="top"/>
            <w:tcMar>
              <w:top w:w="90" w:type="dxa"/>
              <w:start w:w="90" w:type="dxa"/>
              <w:bottom w:w="90" w:type="dxa"/>
              <w:end w:w="90" w:type="dxa"/>
            </w:tcMar>
          </w:tcPr>
          <w:p>
            <w:r>
              <w:rPr>
                <w:sz w:val="18"/>
              </w:rPr>
              <w:t>Forecasting Lead</w:t>
            </w:r>
          </w:p>
        </w:tc>
      </w:tr>
      <w:tr>
        <w:tc>
          <w:tcPr>
            <w:tcW w:type="dxa" w:w="2268"/>
            <w:vAlign w:val="top"/>
            <w:tcMar>
              <w:top w:w="90" w:type="dxa"/>
              <w:start w:w="90" w:type="dxa"/>
              <w:bottom w:w="90" w:type="dxa"/>
              <w:end w:w="90" w:type="dxa"/>
            </w:tcMar>
          </w:tcPr>
          <w:p>
            <w:r>
              <w:rPr>
                <w:sz w:val="18"/>
              </w:rPr>
              <w:t>Group</w:t>
            </w:r>
          </w:p>
        </w:tc>
        <w:tc>
          <w:tcPr>
            <w:tcW w:type="dxa" w:w="6803"/>
            <w:vAlign w:val="top"/>
            <w:tcMar>
              <w:top w:w="90" w:type="dxa"/>
              <w:start w:w="90" w:type="dxa"/>
              <w:bottom w:w="90" w:type="dxa"/>
              <w:end w:w="90" w:type="dxa"/>
            </w:tcMar>
          </w:tcPr>
          <w:p>
            <w:r>
              <w:rPr>
                <w:sz w:val="18"/>
              </w:rPr>
              <w:t>Dan6 – Theme 2</w:t>
            </w:r>
          </w:p>
        </w:tc>
      </w:tr>
      <w:tr>
        <w:tc>
          <w:tcPr>
            <w:tcW w:type="dxa" w:w="2268"/>
            <w:vAlign w:val="top"/>
            <w:tcMar>
              <w:top w:w="90" w:type="dxa"/>
              <w:start w:w="90" w:type="dxa"/>
              <w:bottom w:w="90" w:type="dxa"/>
              <w:end w:w="90" w:type="dxa"/>
            </w:tcMar>
          </w:tcPr>
          <w:p>
            <w:r>
              <w:rPr>
                <w:sz w:val="18"/>
              </w:rPr>
              <w:t>WP2 code artefact</w:t>
            </w:r>
          </w:p>
        </w:tc>
        <w:tc>
          <w:tcPr>
            <w:tcW w:type="dxa" w:w="6803"/>
            <w:vAlign w:val="top"/>
            <w:tcMar>
              <w:top w:w="90" w:type="dxa"/>
              <w:start w:w="90" w:type="dxa"/>
              <w:bottom w:w="90" w:type="dxa"/>
              <w:end w:w="90" w:type="dxa"/>
            </w:tcMar>
          </w:tcPr>
          <w:p>
            <w:r>
              <w:rPr>
                <w:sz w:val="18"/>
              </w:rPr>
              <w:t>WP2_Ashish_Shrestha_Feature_Engineering.py</w:t>
            </w:r>
          </w:p>
        </w:tc>
      </w:tr>
      <w:tr>
        <w:tc>
          <w:tcPr>
            <w:tcW w:type="dxa" w:w="2268"/>
            <w:vAlign w:val="top"/>
            <w:tcMar>
              <w:top w:w="90" w:type="dxa"/>
              <w:start w:w="90" w:type="dxa"/>
              <w:bottom w:w="90" w:type="dxa"/>
              <w:end w:w="90" w:type="dxa"/>
            </w:tcMar>
          </w:tcPr>
          <w:p>
            <w:r>
              <w:rPr>
                <w:sz w:val="18"/>
              </w:rPr>
              <w:t>Integrated pipeline</w:t>
            </w:r>
          </w:p>
        </w:tc>
        <w:tc>
          <w:tcPr>
            <w:tcW w:type="dxa" w:w="6803"/>
            <w:vAlign w:val="top"/>
            <w:tcMar>
              <w:top w:w="90" w:type="dxa"/>
              <w:start w:w="90" w:type="dxa"/>
              <w:bottom w:w="90" w:type="dxa"/>
              <w:end w:w="90" w:type="dxa"/>
            </w:tcMar>
          </w:tcPr>
          <w:p>
            <w:r>
              <w:rPr>
                <w:sz w:val="18"/>
              </w:rPr>
              <w:t>Preprocessing Final.py</w:t>
            </w:r>
          </w:p>
        </w:tc>
      </w:tr>
      <w:tr>
        <w:tc>
          <w:tcPr>
            <w:tcW w:type="dxa" w:w="2268"/>
            <w:vAlign w:val="top"/>
            <w:tcMar>
              <w:top w:w="90" w:type="dxa"/>
              <w:start w:w="90" w:type="dxa"/>
              <w:bottom w:w="90" w:type="dxa"/>
              <w:end w:w="90" w:type="dxa"/>
            </w:tcMar>
          </w:tcPr>
          <w:p>
            <w:r>
              <w:rPr>
                <w:sz w:val="18"/>
              </w:rPr>
              <w:t>Verified output</w:t>
            </w:r>
          </w:p>
        </w:tc>
        <w:tc>
          <w:tcPr>
            <w:tcW w:type="dxa" w:w="6803"/>
            <w:vAlign w:val="top"/>
            <w:tcMar>
              <w:top w:w="90" w:type="dxa"/>
              <w:start w:w="90" w:type="dxa"/>
              <w:bottom w:w="90" w:type="dxa"/>
              <w:end w:w="90" w:type="dxa"/>
            </w:tcMar>
          </w:tcPr>
          <w:p>
            <w:r>
              <w:rPr>
                <w:sz w:val="18"/>
              </w:rPr>
              <w:t>Stage2_Preprocessing_Output_20260914_150854.zip</w:t>
            </w:r>
          </w:p>
        </w:tc>
      </w:tr>
    </w:tbl>
    <w:p/>
    <w:p>
      <w:pPr>
        <w:pStyle w:val="Heading1"/>
      </w:pPr>
      <w:r>
        <w:t>1. Contribution overview</w:t>
      </w:r>
    </w:p>
    <w:p>
      <w:pPr>
        <w:spacing w:after="120" w:line="259" w:lineRule="auto"/>
      </w:pPr>
      <w:r>
        <w:t>My Stage 2 workstream focused on turning the cleaned 30-minute history into forecast-usable features. The central question was not simply whether a variable correlates with demand, but whether that variable would genuinely exist at the forecast origin. I therefore led the demand-history, historical-profile and weather-feature design while integrating calendar/holiday inputs produced by the other workstreams.</w:t>
      </w:r>
    </w:p>
    <w:p>
      <w:r>
        <w:rPr>
          <w:b/>
        </w:rPr>
        <w:t xml:space="preserve">Contribution boundary. </w:t>
      </w:r>
      <w:r>
        <w:t>The final Stage 2 pipeline is a joint integration. This report identifies the student's primary workstream and the technical interfaces it contributed, but it does not claim that one person independently authored the complete preprocessing or feature-engineering pipeline. Feature engineering is intentionally collaborative: reliable time structure, source-quality controls, calendar/holiday context, forecasting features and independent validation are combined before the final handoff to Stage 3.</w:t>
      </w:r>
    </w:p>
    <w:p>
      <w:pPr>
        <w:pStyle w:val="Heading1"/>
      </w:pPr>
      <w:r>
        <w:t>2. How the initial preprocessing plan became my workstream</w:t>
      </w:r>
    </w:p>
    <w:tbl>
      <w:tblPr>
        <w:tblStyle w:val="TableGrid"/>
        <w:tblW w:type="auto" w:w="0"/>
        <w:jc w:val="center"/>
        <w:tblLook w:firstColumn="1" w:firstRow="1" w:lastColumn="0" w:lastRow="0" w:noHBand="0" w:noVBand="1" w:val="04A0"/>
      </w:tblPr>
      <w:tblGrid>
        <w:gridCol w:w="5156"/>
        <w:gridCol w:w="5156"/>
      </w:tblGrid>
      <w:tr>
        <w:tc>
          <w:tcPr>
            <w:tcW w:type="dxa" w:w="2948"/>
            <w:shd w:fill="D9EAF7"/>
            <w:vAlign w:val="center"/>
          </w:tcPr>
          <w:p>
            <w:r>
              <w:rPr>
                <w:b/>
                <w:sz w:val="18"/>
              </w:rPr>
              <w:t>Initial design requirement</w:t>
            </w:r>
          </w:p>
        </w:tc>
        <w:tc>
          <w:tcPr>
            <w:tcW w:type="dxa" w:w="6123"/>
            <w:shd w:fill="D9EAF7"/>
            <w:vAlign w:val="center"/>
          </w:tcPr>
          <w:p>
            <w:r>
              <w:rPr>
                <w:b/>
                <w:sz w:val="18"/>
              </w:rPr>
              <w:t>How it shaped this workstream</w:t>
            </w:r>
          </w:p>
        </w:tc>
      </w:tr>
      <w:tr>
        <w:tc>
          <w:tcPr>
            <w:tcW w:type="dxa" w:w="2948"/>
            <w:vAlign w:val="top"/>
            <w:tcMar>
              <w:top w:w="90" w:type="dxa"/>
              <w:start w:w="90" w:type="dxa"/>
              <w:bottom w:w="90" w:type="dxa"/>
              <w:end w:w="90" w:type="dxa"/>
            </w:tcMar>
          </w:tcPr>
          <w:p>
            <w:r>
              <w:rPr>
                <w:sz w:val="18"/>
              </w:rPr>
              <w:t>Lag features</w:t>
            </w:r>
          </w:p>
        </w:tc>
        <w:tc>
          <w:tcPr>
            <w:tcW w:type="dxa" w:w="6123"/>
            <w:vAlign w:val="top"/>
            <w:tcMar>
              <w:top w:w="90" w:type="dxa"/>
              <w:start w:w="90" w:type="dxa"/>
              <w:bottom w:w="90" w:type="dxa"/>
              <w:end w:w="90" w:type="dxa"/>
            </w:tcMar>
          </w:tcPr>
          <w:p>
            <w:r>
              <w:rPr>
                <w:sz w:val="18"/>
              </w:rPr>
              <w:t>Initial plan listed lag 1, lag 2, previous-day and previous-week concepts.</w:t>
            </w:r>
          </w:p>
        </w:tc>
      </w:tr>
      <w:tr>
        <w:tc>
          <w:tcPr>
            <w:tcW w:type="dxa" w:w="2948"/>
            <w:vAlign w:val="top"/>
            <w:tcMar>
              <w:top w:w="90" w:type="dxa"/>
              <w:start w:w="90" w:type="dxa"/>
              <w:bottom w:w="90" w:type="dxa"/>
              <w:end w:w="90" w:type="dxa"/>
            </w:tcMar>
          </w:tcPr>
          <w:p>
            <w:r>
              <w:rPr>
                <w:sz w:val="18"/>
              </w:rPr>
              <w:t>Rolling features</w:t>
            </w:r>
          </w:p>
        </w:tc>
        <w:tc>
          <w:tcPr>
            <w:tcW w:type="dxa" w:w="6123"/>
            <w:vAlign w:val="top"/>
            <w:tcMar>
              <w:top w:w="90" w:type="dxa"/>
              <w:start w:w="90" w:type="dxa"/>
              <w:bottom w:w="90" w:type="dxa"/>
              <w:end w:w="90" w:type="dxa"/>
            </w:tcMar>
          </w:tcPr>
          <w:p>
            <w:r>
              <w:rPr>
                <w:sz w:val="18"/>
              </w:rPr>
              <w:t>Recent rolling means/variation were proposed as candidate predictors.</w:t>
            </w:r>
          </w:p>
        </w:tc>
      </w:tr>
      <w:tr>
        <w:tc>
          <w:tcPr>
            <w:tcW w:type="dxa" w:w="2948"/>
            <w:vAlign w:val="top"/>
            <w:tcMar>
              <w:top w:w="90" w:type="dxa"/>
              <w:start w:w="90" w:type="dxa"/>
              <w:bottom w:w="90" w:type="dxa"/>
              <w:end w:w="90" w:type="dxa"/>
            </w:tcMar>
          </w:tcPr>
          <w:p>
            <w:r>
              <w:rPr>
                <w:sz w:val="18"/>
              </w:rPr>
              <w:t>Weather variables</w:t>
            </w:r>
          </w:p>
        </w:tc>
        <w:tc>
          <w:tcPr>
            <w:tcW w:type="dxa" w:w="6123"/>
            <w:vAlign w:val="top"/>
            <w:tcMar>
              <w:top w:w="90" w:type="dxa"/>
              <w:start w:w="90" w:type="dxa"/>
              <w:bottom w:w="90" w:type="dxa"/>
              <w:end w:w="90" w:type="dxa"/>
            </w:tcMar>
          </w:tcPr>
          <w:p>
            <w:r>
              <w:rPr>
                <w:sz w:val="18"/>
              </w:rPr>
              <w:t>Temperature and rainfall were intended to provide exogenous demand context.</w:t>
            </w:r>
          </w:p>
        </w:tc>
      </w:tr>
      <w:tr>
        <w:tc>
          <w:tcPr>
            <w:tcW w:type="dxa" w:w="2948"/>
            <w:vAlign w:val="top"/>
            <w:tcMar>
              <w:top w:w="90" w:type="dxa"/>
              <w:start w:w="90" w:type="dxa"/>
              <w:bottom w:w="90" w:type="dxa"/>
              <w:end w:w="90" w:type="dxa"/>
            </w:tcMar>
          </w:tcPr>
          <w:p>
            <w:r>
              <w:rPr>
                <w:sz w:val="18"/>
              </w:rPr>
              <w:t>Leakage prevention</w:t>
            </w:r>
          </w:p>
        </w:tc>
        <w:tc>
          <w:tcPr>
            <w:tcW w:type="dxa" w:w="6123"/>
            <w:vAlign w:val="top"/>
            <w:tcMar>
              <w:top w:w="90" w:type="dxa"/>
              <w:start w:w="90" w:type="dxa"/>
              <w:bottom w:w="90" w:type="dxa"/>
              <w:end w:w="90" w:type="dxa"/>
            </w:tcMar>
          </w:tcPr>
          <w:p>
            <w:r>
              <w:rPr>
                <w:sz w:val="18"/>
              </w:rPr>
              <w:t>All features had to respect chronological availability at forecast creation time.</w:t>
            </w:r>
          </w:p>
        </w:tc>
      </w:tr>
      <w:tr>
        <w:tc>
          <w:tcPr>
            <w:tcW w:type="dxa" w:w="2948"/>
            <w:vAlign w:val="top"/>
            <w:tcMar>
              <w:top w:w="90" w:type="dxa"/>
              <w:start w:w="90" w:type="dxa"/>
              <w:bottom w:w="90" w:type="dxa"/>
              <w:end w:w="90" w:type="dxa"/>
            </w:tcMar>
          </w:tcPr>
          <w:p>
            <w:r>
              <w:rPr>
                <w:sz w:val="18"/>
              </w:rPr>
              <w:t>2026 validation</w:t>
            </w:r>
          </w:p>
        </w:tc>
        <w:tc>
          <w:tcPr>
            <w:tcW w:type="dxa" w:w="6123"/>
            <w:vAlign w:val="top"/>
            <w:tcMar>
              <w:top w:w="90" w:type="dxa"/>
              <w:start w:w="90" w:type="dxa"/>
              <w:bottom w:w="90" w:type="dxa"/>
              <w:end w:w="90" w:type="dxa"/>
            </w:tcMar>
          </w:tcPr>
          <w:p>
            <w:r>
              <w:rPr>
                <w:sz w:val="18"/>
              </w:rPr>
              <w:t>Historical data would train the system while known 2026 actuals support later verification.</w:t>
            </w:r>
          </w:p>
        </w:tc>
      </w:tr>
    </w:tbl>
    <w:p/>
    <w:p>
      <w:pPr>
        <w:pStyle w:val="Heading1"/>
      </w:pPr>
      <w:r>
        <w:t>3. Work completed</w:t>
      </w:r>
    </w:p>
    <w:p>
      <w:pPr>
        <w:pStyle w:val="Heading2"/>
      </w:pPr>
      <w:r>
        <w:t>3.1 Non-technical explanation</w:t>
      </w:r>
    </w:p>
    <w:p>
      <w:pPr>
        <w:pStyle w:val="ListBullet"/>
        <w:spacing w:after="60"/>
      </w:pPr>
      <w:r>
        <w:rPr>
          <w:b/>
        </w:rPr>
        <w:t xml:space="preserve">Use lags that survive a long forecast horizon. </w:t>
      </w:r>
      <w:r>
        <w:t>Production features use lag 48, 96 and 336 rather than relying on lag 1/2, which would require thousands of one-step recursive predictions over four months.</w:t>
      </w:r>
    </w:p>
    <w:p>
      <w:pPr>
        <w:pStyle w:val="ListBullet"/>
        <w:spacing w:after="60"/>
      </w:pPr>
      <w:r>
        <w:rPr>
          <w:b/>
        </w:rPr>
        <w:t xml:space="preserve">Summarise the previous day and same clock time. </w:t>
      </w:r>
      <w:r>
        <w:t>Previous-day mean/peak/min and 7/14-day same-half-hour averages provide stable demand context without using target-period future actuals.</w:t>
      </w:r>
    </w:p>
    <w:p>
      <w:pPr>
        <w:pStyle w:val="ListBullet"/>
        <w:spacing w:after="60"/>
      </w:pPr>
      <w:r>
        <w:rPr>
          <w:b/>
        </w:rPr>
        <w:t xml:space="preserve">Build prior-year seasonal profiles. </w:t>
      </w:r>
      <w:r>
        <w:t>Month/half-hour and weekday/half-hour history gives the model stable seasonal structure even when short lags become recursive.</w:t>
      </w:r>
    </w:p>
    <w:p>
      <w:pPr>
        <w:pStyle w:val="ListBullet"/>
        <w:spacing w:after="60"/>
      </w:pPr>
      <w:r>
        <w:rPr>
          <w:b/>
        </w:rPr>
        <w:t xml:space="preserve">Create weather-aware Model B inputs. </w:t>
      </w:r>
      <w:r>
        <w:t>Historical training uses observed/reanalysis weather; live future rows use the genuine seven-day forecast where available; later rows use labelled climatology fallback.</w:t>
      </w:r>
    </w:p>
    <w:p>
      <w:pPr>
        <w:pStyle w:val="ListBullet"/>
        <w:spacing w:after="60"/>
      </w:pPr>
      <w:r>
        <w:rPr>
          <w:b/>
        </w:rPr>
        <w:t xml:space="preserve">Keep provenance separate from predictors. </w:t>
      </w:r>
      <w:r>
        <w:t>Weather source, issue date, model and lead day are retained for audit but are not fitted as model inputs.</w:t>
      </w:r>
    </w:p>
    <w:p>
      <w:pPr>
        <w:pStyle w:val="ListBullet"/>
        <w:spacing w:after="60"/>
      </w:pPr>
      <w:r>
        <w:rPr>
          <w:b/>
        </w:rPr>
        <w:t xml:space="preserve">Define two comparable feature contracts. </w:t>
      </w:r>
      <w:r>
        <w:t>Feature Set A contains 39 core features; Feature Set B contains 54 and adds weather information.</w:t>
      </w:r>
    </w:p>
    <w:p>
      <w:pPr>
        <w:pStyle w:val="ListBullet"/>
        <w:spacing w:after="60"/>
      </w:pPr>
      <w:r>
        <w:rPr>
          <w:b/>
        </w:rPr>
        <w:t xml:space="preserve">Apply a strict training cutoff. </w:t>
      </w:r>
      <w:r>
        <w:t>For the supplied September run, training ends 2026-08-31 23:30:00 and the prediction month begins 2026-09-01.</w:t>
      </w:r>
    </w:p>
    <w:p>
      <w:pPr>
        <w:pStyle w:val="Heading2"/>
      </w:pPr>
      <w:r>
        <w:t>3.2 Technical code artefact</w:t>
      </w:r>
    </w:p>
    <w:p>
      <w:pPr>
        <w:spacing w:after="120" w:line="259" w:lineRule="auto"/>
      </w:pPr>
      <w:r>
        <w:t>The accompanying `WP2_Ashish_Shrestha_Feature_Engineering.py` is an updated individual contribution module reconstructed from the supplied WP2 module and aligned to the final Stage 2 architecture. It is intentionally narrower than the final integrated pipeline. Its main functions are:</w:t>
      </w:r>
    </w:p>
    <w:tbl>
      <w:tblPr>
        <w:tblStyle w:val="TableGrid"/>
        <w:tblW w:type="auto" w:w="0"/>
        <w:jc w:val="center"/>
        <w:tblLook w:firstColumn="1" w:firstRow="1" w:lastColumn="0" w:lastRow="0" w:noHBand="0" w:noVBand="1" w:val="04A0"/>
      </w:tblPr>
      <w:tblGrid>
        <w:gridCol w:w="5156"/>
        <w:gridCol w:w="5156"/>
      </w:tblGrid>
      <w:tr>
        <w:tc>
          <w:tcPr>
            <w:tcW w:type="dxa" w:w="3402"/>
            <w:shd w:fill="D9EAF7"/>
            <w:vAlign w:val="center"/>
          </w:tcPr>
          <w:p>
            <w:r>
              <w:rPr>
                <w:b/>
                <w:sz w:val="18"/>
              </w:rPr>
              <w:t>Function / component</w:t>
            </w:r>
          </w:p>
        </w:tc>
        <w:tc>
          <w:tcPr>
            <w:tcW w:type="dxa" w:w="5669"/>
            <w:shd w:fill="D9EAF7"/>
            <w:vAlign w:val="center"/>
          </w:tcPr>
          <w:p>
            <w:r>
              <w:rPr>
                <w:b/>
                <w:sz w:val="18"/>
              </w:rPr>
              <w:t>Role in the workstream</w:t>
            </w:r>
          </w:p>
        </w:tc>
      </w:tr>
      <w:tr>
        <w:tc>
          <w:tcPr>
            <w:tcW w:type="dxa" w:w="3402"/>
            <w:vAlign w:val="top"/>
            <w:tcMar>
              <w:top w:w="90" w:type="dxa"/>
              <w:start w:w="90" w:type="dxa"/>
              <w:bottom w:w="90" w:type="dxa"/>
              <w:end w:w="90" w:type="dxa"/>
            </w:tcMar>
          </w:tcPr>
          <w:p>
            <w:r>
              <w:rPr>
                <w:sz w:val="18"/>
              </w:rPr>
              <w:t>derive_model_cutoff</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determine_rolling_window</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load_weather_daily</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load_weather_hourly</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load_weather_forecast</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add_horizon_safe_demand_features</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add_trend_features</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build_historical_month_profiles</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apply_historical_month_profiles</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derive_balance_point</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add_weather_features</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_build_weather_climatology</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_map_multiindex</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build_future_feature_frame</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build_horizon_safe_feature_report</w:t>
            </w:r>
          </w:p>
        </w:tc>
        <w:tc>
          <w:tcPr>
            <w:tcW w:type="dxa" w:w="5669"/>
            <w:vAlign w:val="top"/>
            <w:tcMar>
              <w:top w:w="90" w:type="dxa"/>
              <w:start w:w="90" w:type="dxa"/>
              <w:bottom w:w="90" w:type="dxa"/>
              <w:end w:w="90" w:type="dxa"/>
            </w:tcMar>
          </w:tcPr>
          <w:p>
            <w:r>
              <w:rPr>
                <w:sz w:val="18"/>
              </w:rPr>
              <w:t>See code comments/docstring; integrated through Preprocessing Final.py.</w:t>
            </w:r>
          </w:p>
        </w:tc>
      </w:tr>
      <w:tr>
        <w:tc>
          <w:tcPr>
            <w:tcW w:type="dxa" w:w="3402"/>
            <w:vAlign w:val="top"/>
            <w:tcMar>
              <w:top w:w="90" w:type="dxa"/>
              <w:start w:w="90" w:type="dxa"/>
              <w:bottom w:w="90" w:type="dxa"/>
              <w:end w:w="90" w:type="dxa"/>
            </w:tcMar>
          </w:tcPr>
          <w:p>
            <w:r>
              <w:rPr>
                <w:sz w:val="18"/>
              </w:rPr>
              <w:t>build_weather_feature_provenance</w:t>
            </w:r>
          </w:p>
        </w:tc>
        <w:tc>
          <w:tcPr>
            <w:tcW w:type="dxa" w:w="5669"/>
            <w:vAlign w:val="top"/>
            <w:tcMar>
              <w:top w:w="90" w:type="dxa"/>
              <w:start w:w="90" w:type="dxa"/>
              <w:bottom w:w="90" w:type="dxa"/>
              <w:end w:w="90" w:type="dxa"/>
            </w:tcMar>
          </w:tcPr>
          <w:p>
            <w:r>
              <w:rPr>
                <w:sz w:val="18"/>
              </w:rPr>
              <w:t>See code comments/docstring; integrated through Preprocessing Final.py.</w:t>
            </w:r>
          </w:p>
        </w:tc>
      </w:tr>
    </w:tbl>
    <w:p/>
    <w:p>
      <w:pPr>
        <w:pStyle w:val="Heading1"/>
      </w:pPr>
      <w:r>
        <w:t>4. Collaborative feature engineering and integration</w:t>
      </w:r>
    </w:p>
    <w:p>
      <w:pPr>
        <w:spacing w:after="120" w:line="259" w:lineRule="auto"/>
      </w:pPr>
      <w:r>
        <w:t>Feature engineering is deliberately shared. Suraj contributes the continuous 30-minute grid plus calendar/cyclical fields; Sudip contributes holiday context and source-quality decisions; I lead the demand-history, seasonal-profile, trend and weather feature design; Bishal independently checks the lag definitions, weather provenance, cutoff and readiness. The integrated `Preprocessing Final.py` is therefore a group merge, not my individual code copied wholesale.</w:t>
      </w:r>
    </w:p>
    <w:tbl>
      <w:tblPr>
        <w:tblStyle w:val="TableGrid"/>
        <w:tblW w:type="auto" w:w="0"/>
        <w:jc w:val="center"/>
        <w:tblLook w:firstColumn="1" w:firstRow="1" w:lastColumn="0" w:lastRow="0" w:noHBand="0" w:noVBand="1" w:val="04A0"/>
      </w:tblPr>
      <w:tblGrid>
        <w:gridCol w:w="5156"/>
        <w:gridCol w:w="5156"/>
      </w:tblGrid>
      <w:tr>
        <w:tc>
          <w:tcPr>
            <w:tcW w:type="dxa" w:w="2551"/>
            <w:shd w:fill="D9EAF7"/>
            <w:vAlign w:val="center"/>
          </w:tcPr>
          <w:p>
            <w:r>
              <w:rPr>
                <w:b/>
                <w:sz w:val="18"/>
              </w:rPr>
              <w:t>Contributor interface</w:t>
            </w:r>
          </w:p>
        </w:tc>
        <w:tc>
          <w:tcPr>
            <w:tcW w:type="dxa" w:w="6520"/>
            <w:shd w:fill="D9EAF7"/>
            <w:vAlign w:val="center"/>
          </w:tcPr>
          <w:p>
            <w:r>
              <w:rPr>
                <w:b/>
                <w:sz w:val="18"/>
              </w:rPr>
              <w:t>What enters the final shared pipeline</w:t>
            </w:r>
          </w:p>
        </w:tc>
      </w:tr>
      <w:tr>
        <w:tc>
          <w:tcPr>
            <w:tcW w:type="dxa" w:w="2551"/>
            <w:vAlign w:val="top"/>
            <w:tcMar>
              <w:top w:w="90" w:type="dxa"/>
              <w:start w:w="90" w:type="dxa"/>
              <w:bottom w:w="90" w:type="dxa"/>
              <w:end w:w="90" w:type="dxa"/>
            </w:tcMar>
          </w:tcPr>
          <w:p>
            <w:r>
              <w:rPr>
                <w:sz w:val="18"/>
              </w:rPr>
              <w:t>Suraj – engineering</w:t>
            </w:r>
          </w:p>
        </w:tc>
        <w:tc>
          <w:tcPr>
            <w:tcW w:type="dxa" w:w="6520"/>
            <w:vAlign w:val="top"/>
            <w:tcMar>
              <w:top w:w="90" w:type="dxa"/>
              <w:start w:w="90" w:type="dxa"/>
              <w:bottom w:w="90" w:type="dxa"/>
              <w:end w:w="90" w:type="dxa"/>
            </w:tcMar>
          </w:tcPr>
          <w:p>
            <w:r>
              <w:rPr>
                <w:sz w:val="18"/>
              </w:rPr>
              <w:t>30-minute grid, local/canonical clock structure, calendar/cyclical features</w:t>
            </w:r>
          </w:p>
        </w:tc>
      </w:tr>
      <w:tr>
        <w:tc>
          <w:tcPr>
            <w:tcW w:type="dxa" w:w="2551"/>
            <w:vAlign w:val="top"/>
            <w:tcMar>
              <w:top w:w="90" w:type="dxa"/>
              <w:start w:w="90" w:type="dxa"/>
              <w:bottom w:w="90" w:type="dxa"/>
              <w:end w:w="90" w:type="dxa"/>
            </w:tcMar>
          </w:tcPr>
          <w:p>
            <w:r>
              <w:rPr>
                <w:sz w:val="18"/>
              </w:rPr>
              <w:t>Sudip – quality/context</w:t>
            </w:r>
          </w:p>
        </w:tc>
        <w:tc>
          <w:tcPr>
            <w:tcW w:type="dxa" w:w="6520"/>
            <w:vAlign w:val="top"/>
            <w:tcMar>
              <w:top w:w="90" w:type="dxa"/>
              <w:start w:w="90" w:type="dxa"/>
              <w:bottom w:w="90" w:type="dxa"/>
              <w:end w:w="90" w:type="dxa"/>
            </w:tcMar>
          </w:tcPr>
          <w:p>
            <w:r>
              <w:rPr>
                <w:sz w:val="18"/>
              </w:rPr>
              <w:t>gap and anomaly decisions, holiday fields, benchmark separation</w:t>
            </w:r>
          </w:p>
        </w:tc>
      </w:tr>
      <w:tr>
        <w:tc>
          <w:tcPr>
            <w:tcW w:type="dxa" w:w="2551"/>
            <w:vAlign w:val="top"/>
            <w:tcMar>
              <w:top w:w="90" w:type="dxa"/>
              <w:start w:w="90" w:type="dxa"/>
              <w:bottom w:w="90" w:type="dxa"/>
              <w:end w:w="90" w:type="dxa"/>
            </w:tcMar>
          </w:tcPr>
          <w:p>
            <w:r>
              <w:rPr>
                <w:sz w:val="18"/>
              </w:rPr>
              <w:t>Ashish – forecasting features</w:t>
            </w:r>
          </w:p>
        </w:tc>
        <w:tc>
          <w:tcPr>
            <w:tcW w:type="dxa" w:w="6520"/>
            <w:vAlign w:val="top"/>
            <w:tcMar>
              <w:top w:w="90" w:type="dxa"/>
              <w:start w:w="90" w:type="dxa"/>
              <w:bottom w:w="90" w:type="dxa"/>
              <w:end w:w="90" w:type="dxa"/>
            </w:tcMar>
          </w:tcPr>
          <w:p>
            <w:r>
              <w:rPr>
                <w:sz w:val="18"/>
              </w:rPr>
              <w:t>demand history, historical profiles, weather features, future frame, A/B contract</w:t>
            </w:r>
          </w:p>
        </w:tc>
      </w:tr>
      <w:tr>
        <w:tc>
          <w:tcPr>
            <w:tcW w:type="dxa" w:w="2551"/>
            <w:vAlign w:val="top"/>
            <w:tcMar>
              <w:top w:w="90" w:type="dxa"/>
              <w:start w:w="90" w:type="dxa"/>
              <w:bottom w:w="90" w:type="dxa"/>
              <w:end w:w="90" w:type="dxa"/>
            </w:tcMar>
          </w:tcPr>
          <w:p>
            <w:r>
              <w:rPr>
                <w:sz w:val="18"/>
              </w:rPr>
              <w:t>Bishal – verification</w:t>
            </w:r>
          </w:p>
        </w:tc>
        <w:tc>
          <w:tcPr>
            <w:tcW w:type="dxa" w:w="6520"/>
            <w:vAlign w:val="top"/>
            <w:tcMar>
              <w:top w:w="90" w:type="dxa"/>
              <w:start w:w="90" w:type="dxa"/>
              <w:bottom w:w="90" w:type="dxa"/>
              <w:end w:w="90" w:type="dxa"/>
            </w:tcMar>
          </w:tcPr>
          <w:p>
            <w:r>
              <w:rPr>
                <w:sz w:val="18"/>
              </w:rPr>
              <w:t>independent tests, weather/cutoff validation, readiness decision</w:t>
            </w:r>
          </w:p>
        </w:tc>
      </w:tr>
      <w:tr>
        <w:tc>
          <w:tcPr>
            <w:tcW w:type="dxa" w:w="2551"/>
            <w:vAlign w:val="top"/>
            <w:tcMar>
              <w:top w:w="90" w:type="dxa"/>
              <w:start w:w="90" w:type="dxa"/>
              <w:bottom w:w="90" w:type="dxa"/>
              <w:end w:w="90" w:type="dxa"/>
            </w:tcMar>
          </w:tcPr>
          <w:p>
            <w:r>
              <w:rPr>
                <w:sz w:val="18"/>
              </w:rPr>
              <w:t>Joint integration</w:t>
            </w:r>
          </w:p>
        </w:tc>
        <w:tc>
          <w:tcPr>
            <w:tcW w:type="dxa" w:w="6520"/>
            <w:vAlign w:val="top"/>
            <w:tcMar>
              <w:top w:w="90" w:type="dxa"/>
              <w:start w:w="90" w:type="dxa"/>
              <w:bottom w:w="90" w:type="dxa"/>
              <w:end w:w="90" w:type="dxa"/>
            </w:tcMar>
          </w:tcPr>
          <w:p>
            <w:r>
              <w:rPr>
                <w:sz w:val="18"/>
              </w:rPr>
              <w:t>strict previous-month cutoff, shared feature contract, Stage 2 handoff to Stage 3</w:t>
            </w:r>
          </w:p>
        </w:tc>
      </w:tr>
    </w:tbl>
    <w:p/>
    <w:p>
      <w:pPr>
        <w:pStyle w:val="Heading1"/>
      </w:pPr>
      <w:r>
        <w:t>5. Evidence from the final integrated Stage 2 run</w:t>
      </w:r>
    </w:p>
    <w:tbl>
      <w:tblPr>
        <w:tblStyle w:val="TableGrid"/>
        <w:tblW w:type="auto" w:w="0"/>
        <w:jc w:val="center"/>
        <w:tblLook w:firstColumn="1" w:firstRow="1" w:lastColumn="0" w:lastRow="0" w:noHBand="0" w:noVBand="1" w:val="04A0"/>
      </w:tblPr>
      <w:tblGrid>
        <w:gridCol w:w="3437"/>
        <w:gridCol w:w="3437"/>
        <w:gridCol w:w="3437"/>
      </w:tblGrid>
      <w:tr>
        <w:tc>
          <w:tcPr>
            <w:tcW w:type="dxa" w:w="2381"/>
            <w:shd w:fill="D9EAF7"/>
            <w:vAlign w:val="center"/>
          </w:tcPr>
          <w:p>
            <w:r>
              <w:rPr>
                <w:b/>
                <w:sz w:val="18"/>
              </w:rPr>
              <w:t>Evidence</w:t>
            </w:r>
          </w:p>
        </w:tc>
        <w:tc>
          <w:tcPr>
            <w:tcW w:type="dxa" w:w="2551"/>
            <w:shd w:fill="D9EAF7"/>
            <w:vAlign w:val="center"/>
          </w:tcPr>
          <w:p>
            <w:r>
              <w:rPr>
                <w:b/>
                <w:sz w:val="18"/>
              </w:rPr>
              <w:t>Observed result</w:t>
            </w:r>
          </w:p>
        </w:tc>
        <w:tc>
          <w:tcPr>
            <w:tcW w:type="dxa" w:w="4139"/>
            <w:shd w:fill="D9EAF7"/>
            <w:vAlign w:val="center"/>
          </w:tcPr>
          <w:p>
            <w:r>
              <w:rPr>
                <w:b/>
                <w:sz w:val="18"/>
              </w:rPr>
              <w:t>What it demonstrates</w:t>
            </w:r>
          </w:p>
        </w:tc>
      </w:tr>
      <w:tr>
        <w:tc>
          <w:tcPr>
            <w:tcW w:type="dxa" w:w="2381"/>
            <w:vAlign w:val="top"/>
            <w:tcMar>
              <w:top w:w="90" w:type="dxa"/>
              <w:start w:w="90" w:type="dxa"/>
              <w:bottom w:w="90" w:type="dxa"/>
              <w:end w:w="90" w:type="dxa"/>
            </w:tcMar>
          </w:tcPr>
          <w:p>
            <w:r>
              <w:rPr>
                <w:sz w:val="18"/>
              </w:rPr>
              <w:t>Feature Set A</w:t>
            </w:r>
          </w:p>
        </w:tc>
        <w:tc>
          <w:tcPr>
            <w:tcW w:type="dxa" w:w="2551"/>
            <w:vAlign w:val="top"/>
            <w:tcMar>
              <w:top w:w="90" w:type="dxa"/>
              <w:start w:w="90" w:type="dxa"/>
              <w:bottom w:w="90" w:type="dxa"/>
              <w:end w:w="90" w:type="dxa"/>
            </w:tcMar>
          </w:tcPr>
          <w:p>
            <w:r>
              <w:rPr>
                <w:sz w:val="18"/>
              </w:rPr>
              <w:t>39 features</w:t>
            </w:r>
          </w:p>
        </w:tc>
        <w:tc>
          <w:tcPr>
            <w:tcW w:type="dxa" w:w="4139"/>
            <w:vAlign w:val="top"/>
            <w:tcMar>
              <w:top w:w="90" w:type="dxa"/>
              <w:start w:w="90" w:type="dxa"/>
              <w:bottom w:w="90" w:type="dxa"/>
              <w:end w:w="90" w:type="dxa"/>
            </w:tcMar>
          </w:tcPr>
          <w:p>
            <w:r>
              <w:rPr>
                <w:sz w:val="18"/>
              </w:rPr>
              <w:t>Demand history, calendar, holidays, seasonal profiles and trend.</w:t>
            </w:r>
          </w:p>
        </w:tc>
      </w:tr>
      <w:tr>
        <w:tc>
          <w:tcPr>
            <w:tcW w:type="dxa" w:w="2381"/>
            <w:vAlign w:val="top"/>
            <w:tcMar>
              <w:top w:w="90" w:type="dxa"/>
              <w:start w:w="90" w:type="dxa"/>
              <w:bottom w:w="90" w:type="dxa"/>
              <w:end w:w="90" w:type="dxa"/>
            </w:tcMar>
          </w:tcPr>
          <w:p>
            <w:r>
              <w:rPr>
                <w:sz w:val="18"/>
              </w:rPr>
              <w:t>Feature Set B</w:t>
            </w:r>
          </w:p>
        </w:tc>
        <w:tc>
          <w:tcPr>
            <w:tcW w:type="dxa" w:w="2551"/>
            <w:vAlign w:val="top"/>
            <w:tcMar>
              <w:top w:w="90" w:type="dxa"/>
              <w:start w:w="90" w:type="dxa"/>
              <w:bottom w:w="90" w:type="dxa"/>
              <w:end w:w="90" w:type="dxa"/>
            </w:tcMar>
          </w:tcPr>
          <w:p>
            <w:r>
              <w:rPr>
                <w:sz w:val="18"/>
              </w:rPr>
              <w:t>54 features</w:t>
            </w:r>
          </w:p>
        </w:tc>
        <w:tc>
          <w:tcPr>
            <w:tcW w:type="dxa" w:w="4139"/>
            <w:vAlign w:val="top"/>
            <w:tcMar>
              <w:top w:w="90" w:type="dxa"/>
              <w:start w:w="90" w:type="dxa"/>
              <w:bottom w:w="90" w:type="dxa"/>
              <w:end w:w="90" w:type="dxa"/>
            </w:tcMar>
          </w:tcPr>
          <w:p>
            <w:r>
              <w:rPr>
                <w:sz w:val="18"/>
              </w:rPr>
              <w:t>Feature Set A plus 15 weather/weather-context predictors.</w:t>
            </w:r>
          </w:p>
        </w:tc>
      </w:tr>
      <w:tr>
        <w:tc>
          <w:tcPr>
            <w:tcW w:type="dxa" w:w="2381"/>
            <w:vAlign w:val="top"/>
            <w:tcMar>
              <w:top w:w="90" w:type="dxa"/>
              <w:start w:w="90" w:type="dxa"/>
              <w:bottom w:w="90" w:type="dxa"/>
              <w:end w:w="90" w:type="dxa"/>
            </w:tcMar>
          </w:tcPr>
          <w:p>
            <w:r>
              <w:rPr>
                <w:sz w:val="18"/>
              </w:rPr>
              <w:t>Live forecast coverage</w:t>
            </w:r>
          </w:p>
        </w:tc>
        <w:tc>
          <w:tcPr>
            <w:tcW w:type="dxa" w:w="2551"/>
            <w:vAlign w:val="top"/>
            <w:tcMar>
              <w:top w:w="90" w:type="dxa"/>
              <w:start w:w="90" w:type="dxa"/>
              <w:bottom w:w="90" w:type="dxa"/>
              <w:end w:w="90" w:type="dxa"/>
            </w:tcMar>
          </w:tcPr>
          <w:p>
            <w:r>
              <w:rPr>
                <w:sz w:val="18"/>
              </w:rPr>
              <w:t>7 days / 336 half-hour rows per region</w:t>
            </w:r>
          </w:p>
        </w:tc>
        <w:tc>
          <w:tcPr>
            <w:tcW w:type="dxa" w:w="4139"/>
            <w:vAlign w:val="top"/>
            <w:tcMar>
              <w:top w:w="90" w:type="dxa"/>
              <w:start w:w="90" w:type="dxa"/>
              <w:bottom w:w="90" w:type="dxa"/>
              <w:end w:w="90" w:type="dxa"/>
            </w:tcMar>
          </w:tcPr>
          <w:p>
            <w:r>
              <w:rPr>
                <w:sz w:val="18"/>
              </w:rPr>
              <w:t>The real forecast is used only where it exists.</w:t>
            </w:r>
          </w:p>
        </w:tc>
      </w:tr>
      <w:tr>
        <w:tc>
          <w:tcPr>
            <w:tcW w:type="dxa" w:w="2381"/>
            <w:vAlign w:val="top"/>
            <w:tcMar>
              <w:top w:w="90" w:type="dxa"/>
              <w:start w:w="90" w:type="dxa"/>
              <w:bottom w:w="90" w:type="dxa"/>
              <w:end w:w="90" w:type="dxa"/>
            </w:tcMar>
          </w:tcPr>
          <w:p>
            <w:r>
              <w:rPr>
                <w:sz w:val="18"/>
              </w:rPr>
              <w:t>Longer-horizon weather</w:t>
            </w:r>
          </w:p>
        </w:tc>
        <w:tc>
          <w:tcPr>
            <w:tcW w:type="dxa" w:w="2551"/>
            <w:vAlign w:val="top"/>
            <w:tcMar>
              <w:top w:w="90" w:type="dxa"/>
              <w:start w:w="90" w:type="dxa"/>
              <w:bottom w:w="90" w:type="dxa"/>
              <w:end w:w="90" w:type="dxa"/>
            </w:tcMar>
          </w:tcPr>
          <w:p>
            <w:r>
              <w:rPr>
                <w:sz w:val="18"/>
              </w:rPr>
              <w:t>5520 half-hour climatology-fallback rows per region</w:t>
            </w:r>
          </w:p>
        </w:tc>
        <w:tc>
          <w:tcPr>
            <w:tcW w:type="dxa" w:w="4139"/>
            <w:vAlign w:val="top"/>
            <w:tcMar>
              <w:top w:w="90" w:type="dxa"/>
              <w:start w:w="90" w:type="dxa"/>
              <w:bottom w:w="90" w:type="dxa"/>
              <w:end w:w="90" w:type="dxa"/>
            </w:tcMar>
          </w:tcPr>
          <w:p>
            <w:r>
              <w:rPr>
                <w:sz w:val="18"/>
              </w:rPr>
              <w:t>Fallback is explicitly labelled and never presented as a live weather forecast.</w:t>
            </w:r>
          </w:p>
        </w:tc>
      </w:tr>
      <w:tr>
        <w:tc>
          <w:tcPr>
            <w:tcW w:type="dxa" w:w="2381"/>
            <w:vAlign w:val="top"/>
            <w:tcMar>
              <w:top w:w="90" w:type="dxa"/>
              <w:start w:w="90" w:type="dxa"/>
              <w:bottom w:w="90" w:type="dxa"/>
              <w:end w:w="90" w:type="dxa"/>
            </w:tcMar>
          </w:tcPr>
          <w:p>
            <w:r>
              <w:rPr>
                <w:sz w:val="18"/>
              </w:rPr>
              <w:t>Weather validation</w:t>
            </w:r>
          </w:p>
        </w:tc>
        <w:tc>
          <w:tcPr>
            <w:tcW w:type="dxa" w:w="2551"/>
            <w:vAlign w:val="top"/>
            <w:tcMar>
              <w:top w:w="90" w:type="dxa"/>
              <w:start w:w="90" w:type="dxa"/>
              <w:bottom w:w="90" w:type="dxa"/>
              <w:end w:w="90" w:type="dxa"/>
            </w:tcMar>
          </w:tcPr>
          <w:p>
            <w:r>
              <w:rPr>
                <w:sz w:val="18"/>
              </w:rPr>
              <w:t>60/60 PASS</w:t>
            </w:r>
          </w:p>
        </w:tc>
        <w:tc>
          <w:tcPr>
            <w:tcW w:type="dxa" w:w="4139"/>
            <w:vAlign w:val="top"/>
            <w:tcMar>
              <w:top w:w="90" w:type="dxa"/>
              <w:start w:w="90" w:type="dxa"/>
              <w:bottom w:w="90" w:type="dxa"/>
              <w:end w:w="90" w:type="dxa"/>
            </w:tcMar>
          </w:tcPr>
          <w:p>
            <w:r>
              <w:rPr>
                <w:sz w:val="18"/>
              </w:rPr>
              <w:t>Forecast range, lead days, temperature, humidity, rainfall and future-only use were checked.</w:t>
            </w:r>
          </w:p>
        </w:tc>
      </w:tr>
      <w:tr>
        <w:tc>
          <w:tcPr>
            <w:tcW w:type="dxa" w:w="2381"/>
            <w:vAlign w:val="top"/>
            <w:tcMar>
              <w:top w:w="90" w:type="dxa"/>
              <w:start w:w="90" w:type="dxa"/>
              <w:bottom w:w="90" w:type="dxa"/>
              <w:end w:w="90" w:type="dxa"/>
            </w:tcMar>
          </w:tcPr>
          <w:p>
            <w:r>
              <w:rPr>
                <w:sz w:val="18"/>
              </w:rPr>
              <w:t>Regional balance point examples</w:t>
            </w:r>
          </w:p>
        </w:tc>
        <w:tc>
          <w:tcPr>
            <w:tcW w:type="dxa" w:w="2551"/>
            <w:vAlign w:val="top"/>
            <w:tcMar>
              <w:top w:w="90" w:type="dxa"/>
              <w:start w:w="90" w:type="dxa"/>
              <w:bottom w:w="90" w:type="dxa"/>
              <w:end w:w="90" w:type="dxa"/>
            </w:tcMar>
          </w:tcPr>
          <w:p>
            <w:r>
              <w:rPr>
                <w:sz w:val="18"/>
              </w:rPr>
              <w:t>NSW1 19.0°C; QLD1 18.0°C; TAS1 17.5°C; WA 19.0°C</w:t>
            </w:r>
          </w:p>
        </w:tc>
        <w:tc>
          <w:tcPr>
            <w:tcW w:type="dxa" w:w="4139"/>
            <w:vAlign w:val="top"/>
            <w:tcMar>
              <w:top w:w="90" w:type="dxa"/>
              <w:start w:w="90" w:type="dxa"/>
              <w:bottom w:w="90" w:type="dxa"/>
              <w:end w:w="90" w:type="dxa"/>
            </w:tcMar>
          </w:tcPr>
          <w:p>
            <w:r>
              <w:rPr>
                <w:sz w:val="18"/>
              </w:rPr>
              <w:t>The base temperature is data-derived rather than assumed universally.</w:t>
            </w:r>
          </w:p>
        </w:tc>
      </w:tr>
    </w:tbl>
    <w:p/>
    <w:p>
      <w:pPr>
        <w:spacing w:after="120" w:line="259" w:lineRule="auto"/>
      </w:pPr>
      <w:r>
        <w:t>Across the complete Stage 2 run, 162/162 core checks and 60/60 live-weather checks passed, with 6/6 regions marked READY. These are integrated-pipeline results; they demonstrate that the combined team implementation passed validation, not that one individual module alone produced the outcome.</w:t>
      </w:r>
    </w:p>
    <w:p>
      <w:pPr>
        <w:pStyle w:val="Heading1"/>
      </w:pPr>
      <w:r>
        <w:t>6. Changes from the initial plan</w:t>
      </w:r>
    </w:p>
    <w:tbl>
      <w:tblPr>
        <w:tblStyle w:val="TableGrid"/>
        <w:tblW w:type="auto" w:w="0"/>
        <w:jc w:val="center"/>
        <w:tblLook w:firstColumn="1" w:firstRow="1" w:lastColumn="0" w:lastRow="0" w:noHBand="0" w:noVBand="1" w:val="04A0"/>
      </w:tblPr>
      <w:tblGrid>
        <w:gridCol w:w="3437"/>
        <w:gridCol w:w="3437"/>
        <w:gridCol w:w="3437"/>
      </w:tblGrid>
      <w:tr>
        <w:tc>
          <w:tcPr>
            <w:tcW w:type="dxa" w:w="2551"/>
            <w:shd w:fill="D9EAF7"/>
            <w:vAlign w:val="center"/>
          </w:tcPr>
          <w:p>
            <w:r>
              <w:rPr>
                <w:b/>
                <w:sz w:val="18"/>
              </w:rPr>
              <w:t>Initial position</w:t>
            </w:r>
          </w:p>
        </w:tc>
        <w:tc>
          <w:tcPr>
            <w:tcW w:type="dxa" w:w="2835"/>
            <w:shd w:fill="D9EAF7"/>
            <w:vAlign w:val="center"/>
          </w:tcPr>
          <w:p>
            <w:r>
              <w:rPr>
                <w:b/>
                <w:sz w:val="18"/>
              </w:rPr>
              <w:t>Final implementation</w:t>
            </w:r>
          </w:p>
        </w:tc>
        <w:tc>
          <w:tcPr>
            <w:tcW w:type="dxa" w:w="3685"/>
            <w:shd w:fill="D9EAF7"/>
            <w:vAlign w:val="center"/>
          </w:tcPr>
          <w:p>
            <w:r>
              <w:rPr>
                <w:b/>
                <w:sz w:val="18"/>
              </w:rPr>
              <w:t>Reason for change</w:t>
            </w:r>
          </w:p>
        </w:tc>
      </w:tr>
      <w:tr>
        <w:tc>
          <w:tcPr>
            <w:tcW w:type="dxa" w:w="2551"/>
            <w:vAlign w:val="top"/>
            <w:tcMar>
              <w:top w:w="90" w:type="dxa"/>
              <w:start w:w="90" w:type="dxa"/>
              <w:bottom w:w="90" w:type="dxa"/>
              <w:end w:w="90" w:type="dxa"/>
            </w:tcMar>
          </w:tcPr>
          <w:p>
            <w:r>
              <w:rPr>
                <w:sz w:val="18"/>
              </w:rPr>
              <w:t>lag 1 and lag 2 proposed</w:t>
            </w:r>
          </w:p>
        </w:tc>
        <w:tc>
          <w:tcPr>
            <w:tcW w:type="dxa" w:w="2835"/>
            <w:vAlign w:val="top"/>
            <w:tcMar>
              <w:top w:w="90" w:type="dxa"/>
              <w:start w:w="90" w:type="dxa"/>
              <w:bottom w:w="90" w:type="dxa"/>
              <w:end w:w="90" w:type="dxa"/>
            </w:tcMar>
          </w:tcPr>
          <w:p>
            <w:r>
              <w:rPr>
                <w:sz w:val="18"/>
              </w:rPr>
              <w:t>Removed from production feature set</w:t>
            </w:r>
          </w:p>
        </w:tc>
        <w:tc>
          <w:tcPr>
            <w:tcW w:type="dxa" w:w="3685"/>
            <w:vAlign w:val="top"/>
            <w:tcMar>
              <w:top w:w="90" w:type="dxa"/>
              <w:start w:w="90" w:type="dxa"/>
              <w:bottom w:w="90" w:type="dxa"/>
              <w:end w:w="90" w:type="dxa"/>
            </w:tcMar>
          </w:tcPr>
          <w:p>
            <w:r>
              <w:rPr>
                <w:sz w:val="18"/>
              </w:rPr>
              <w:t>They are attractive in short backtests but impractical for a long recursive operational horizon.</w:t>
            </w:r>
          </w:p>
        </w:tc>
      </w:tr>
      <w:tr>
        <w:tc>
          <w:tcPr>
            <w:tcW w:type="dxa" w:w="2551"/>
            <w:vAlign w:val="top"/>
            <w:tcMar>
              <w:top w:w="90" w:type="dxa"/>
              <w:start w:w="90" w:type="dxa"/>
              <w:bottom w:w="90" w:type="dxa"/>
              <w:end w:w="90" w:type="dxa"/>
            </w:tcMar>
          </w:tcPr>
          <w:p>
            <w:r>
              <w:rPr>
                <w:sz w:val="18"/>
              </w:rPr>
              <w:t>Simple recent rolling windows</w:t>
            </w:r>
          </w:p>
        </w:tc>
        <w:tc>
          <w:tcPr>
            <w:tcW w:type="dxa" w:w="2835"/>
            <w:vAlign w:val="top"/>
            <w:tcMar>
              <w:top w:w="90" w:type="dxa"/>
              <w:start w:w="90" w:type="dxa"/>
              <w:bottom w:w="90" w:type="dxa"/>
              <w:end w:w="90" w:type="dxa"/>
            </w:tcMar>
          </w:tcPr>
          <w:p>
            <w:r>
              <w:rPr>
                <w:sz w:val="18"/>
              </w:rPr>
              <w:t>t-48-anchored rolling summaries</w:t>
            </w:r>
          </w:p>
        </w:tc>
        <w:tc>
          <w:tcPr>
            <w:tcW w:type="dxa" w:w="3685"/>
            <w:vAlign w:val="top"/>
            <w:tcMar>
              <w:top w:w="90" w:type="dxa"/>
              <w:start w:w="90" w:type="dxa"/>
              <w:bottom w:w="90" w:type="dxa"/>
              <w:end w:w="90" w:type="dxa"/>
            </w:tcMar>
          </w:tcPr>
          <w:p>
            <w:r>
              <w:rPr>
                <w:sz w:val="18"/>
              </w:rPr>
              <w:t>Makes the feature definition reproducible at forecast origin.</w:t>
            </w:r>
          </w:p>
        </w:tc>
      </w:tr>
      <w:tr>
        <w:tc>
          <w:tcPr>
            <w:tcW w:type="dxa" w:w="2551"/>
            <w:vAlign w:val="top"/>
            <w:tcMar>
              <w:top w:w="90" w:type="dxa"/>
              <w:start w:w="90" w:type="dxa"/>
              <w:bottom w:w="90" w:type="dxa"/>
              <w:end w:w="90" w:type="dxa"/>
            </w:tcMar>
          </w:tcPr>
          <w:p>
            <w:r>
              <w:rPr>
                <w:sz w:val="18"/>
              </w:rPr>
              <w:t>Daily weather concept</w:t>
            </w:r>
          </w:p>
        </w:tc>
        <w:tc>
          <w:tcPr>
            <w:tcW w:type="dxa" w:w="2835"/>
            <w:vAlign w:val="top"/>
            <w:tcMar>
              <w:top w:w="90" w:type="dxa"/>
              <w:start w:w="90" w:type="dxa"/>
              <w:bottom w:w="90" w:type="dxa"/>
              <w:end w:w="90" w:type="dxa"/>
            </w:tcMar>
          </w:tcPr>
          <w:p>
            <w:r>
              <w:rPr>
                <w:sz w:val="18"/>
              </w:rPr>
              <w:t>Observed history + seven-day forecast + climatology fallback</w:t>
            </w:r>
          </w:p>
        </w:tc>
        <w:tc>
          <w:tcPr>
            <w:tcW w:type="dxa" w:w="3685"/>
            <w:vAlign w:val="top"/>
            <w:tcMar>
              <w:top w:w="90" w:type="dxa"/>
              <w:start w:w="90" w:type="dxa"/>
              <w:bottom w:w="90" w:type="dxa"/>
              <w:end w:w="90" w:type="dxa"/>
            </w:tcMar>
          </w:tcPr>
          <w:p>
            <w:r>
              <w:rPr>
                <w:sz w:val="18"/>
              </w:rPr>
              <w:t>Separates training information from genuinely knowable future weather.</w:t>
            </w:r>
          </w:p>
        </w:tc>
      </w:tr>
      <w:tr>
        <w:tc>
          <w:tcPr>
            <w:tcW w:type="dxa" w:w="2551"/>
            <w:vAlign w:val="top"/>
            <w:tcMar>
              <w:top w:w="90" w:type="dxa"/>
              <w:start w:w="90" w:type="dxa"/>
              <w:bottom w:w="90" w:type="dxa"/>
              <w:end w:w="90" w:type="dxa"/>
            </w:tcMar>
          </w:tcPr>
          <w:p>
            <w:r>
              <w:rPr>
                <w:sz w:val="18"/>
              </w:rPr>
              <w:t>Single feature table</w:t>
            </w:r>
          </w:p>
        </w:tc>
        <w:tc>
          <w:tcPr>
            <w:tcW w:type="dxa" w:w="2835"/>
            <w:vAlign w:val="top"/>
            <w:tcMar>
              <w:top w:w="90" w:type="dxa"/>
              <w:start w:w="90" w:type="dxa"/>
              <w:bottom w:w="90" w:type="dxa"/>
              <w:end w:w="90" w:type="dxa"/>
            </w:tcMar>
          </w:tcPr>
          <w:p>
            <w:r>
              <w:rPr>
                <w:sz w:val="18"/>
              </w:rPr>
              <w:t>Model A / Model B contracts</w:t>
            </w:r>
          </w:p>
        </w:tc>
        <w:tc>
          <w:tcPr>
            <w:tcW w:type="dxa" w:w="3685"/>
            <w:vAlign w:val="top"/>
            <w:tcMar>
              <w:top w:w="90" w:type="dxa"/>
              <w:start w:w="90" w:type="dxa"/>
              <w:bottom w:w="90" w:type="dxa"/>
              <w:end w:w="90" w:type="dxa"/>
            </w:tcMar>
          </w:tcPr>
          <w:p>
            <w:r>
              <w:rPr>
                <w:sz w:val="18"/>
              </w:rPr>
              <w:t>Allows Stage 3 to test whether weather adds value instead of assuming it does.</w:t>
            </w:r>
          </w:p>
        </w:tc>
      </w:tr>
      <w:tr>
        <w:tc>
          <w:tcPr>
            <w:tcW w:type="dxa" w:w="2551"/>
            <w:vAlign w:val="top"/>
            <w:tcMar>
              <w:top w:w="90" w:type="dxa"/>
              <w:start w:w="90" w:type="dxa"/>
              <w:bottom w:w="90" w:type="dxa"/>
              <w:end w:w="90" w:type="dxa"/>
            </w:tcMar>
          </w:tcPr>
          <w:p>
            <w:r>
              <w:rPr>
                <w:sz w:val="18"/>
              </w:rPr>
              <w:t>Use all latest actuals for training</w:t>
            </w:r>
          </w:p>
        </w:tc>
        <w:tc>
          <w:tcPr>
            <w:tcW w:type="dxa" w:w="2835"/>
            <w:vAlign w:val="top"/>
            <w:tcMar>
              <w:top w:w="90" w:type="dxa"/>
              <w:start w:w="90" w:type="dxa"/>
              <w:bottom w:w="90" w:type="dxa"/>
              <w:end w:w="90" w:type="dxa"/>
            </w:tcMar>
          </w:tcPr>
          <w:p>
            <w:r>
              <w:rPr>
                <w:sz w:val="18"/>
              </w:rPr>
              <w:t>Strict previous-month cutoff</w:t>
            </w:r>
          </w:p>
        </w:tc>
        <w:tc>
          <w:tcPr>
            <w:tcW w:type="dxa" w:w="3685"/>
            <w:vAlign w:val="top"/>
            <w:tcMar>
              <w:top w:w="90" w:type="dxa"/>
              <w:start w:w="90" w:type="dxa"/>
              <w:bottom w:w="90" w:type="dxa"/>
              <w:end w:w="90" w:type="dxa"/>
            </w:tcMar>
          </w:tcPr>
          <w:p>
            <w:r>
              <w:rPr>
                <w:sz w:val="18"/>
              </w:rPr>
              <w:t>Keeps the current prediction month independent for verification and prevents partial-month leakage.</w:t>
            </w:r>
          </w:p>
        </w:tc>
      </w:tr>
    </w:tbl>
    <w:p/>
    <w:p>
      <w:pPr>
        <w:pStyle w:val="Heading1"/>
      </w:pPr>
      <w:r>
        <w:t>7. Progress, handoff and reflection</w:t>
      </w:r>
    </w:p>
    <w:p>
      <w:pPr>
        <w:spacing w:after="120" w:line="259" w:lineRule="auto"/>
      </w:pPr>
      <w:r>
        <w:t>The most important change in my approach was moving from 'which features look predictive?' to 'which features can be reproduced honestly at the forecast origin?'. That led to dropping short lags from the production contract, adding provenance to weather, and separating current-month verification actuals from training. Stage 3 should now be able to compare Model A and Model B without giving either one information that would not exist in live use.</w:t>
      </w:r>
    </w:p>
    <w:p>
      <w:pPr>
        <w:pStyle w:val="Heading2"/>
      </w:pPr>
      <w:r>
        <w:t>7.1 Handoff to final integration</w:t>
      </w:r>
    </w:p>
    <w:p>
      <w:pPr>
        <w:pStyle w:val="ListBullet"/>
        <w:spacing w:after="60"/>
      </w:pPr>
      <w:r>
        <w:rPr>
          <w:b/>
        </w:rPr>
        <w:t xml:space="preserve">Individual artefact: </w:t>
      </w:r>
      <w:r>
        <w:t>WP2_Ashish_Shrestha_Feature_Engineering.py</w:t>
      </w:r>
    </w:p>
    <w:p>
      <w:pPr>
        <w:pStyle w:val="ListBullet"/>
        <w:spacing w:after="60"/>
      </w:pPr>
      <w:r>
        <w:rPr>
          <w:b/>
        </w:rPr>
        <w:t xml:space="preserve">Final integrated code: </w:t>
      </w:r>
      <w:r>
        <w:t>Preprocessing Final.py</w:t>
      </w:r>
    </w:p>
    <w:p>
      <w:pPr>
        <w:pStyle w:val="ListBullet"/>
        <w:spacing w:after="60"/>
      </w:pPr>
      <w:r>
        <w:rPr>
          <w:b/>
        </w:rPr>
        <w:t xml:space="preserve">Verified Stage 2 output: </w:t>
      </w:r>
      <w:r>
        <w:t>Stage2_Preprocessing_Output_20260914_150854.zip</w:t>
      </w:r>
    </w:p>
    <w:p>
      <w:pPr>
        <w:pStyle w:val="ListBullet"/>
        <w:spacing w:after="60"/>
      </w:pPr>
      <w:r>
        <w:rPr>
          <w:b/>
        </w:rPr>
        <w:t xml:space="preserve">Stage 3 contract: </w:t>
      </w:r>
      <w:r>
        <w:t>30-minute regional modelling files, 39-feature Model A, 54-feature Model B, future feature frame, validation and provenance files.</w:t>
      </w:r>
    </w:p>
    <w:p>
      <w:pPr>
        <w:pStyle w:val="ListBullet"/>
        <w:spacing w:after="60"/>
      </w:pPr>
      <w:r>
        <w:rPr>
          <w:b/>
        </w:rPr>
        <w:t xml:space="preserve">Evidence principle: </w:t>
      </w:r>
      <w:r>
        <w:t>Git/GitHub history should be used where the assessment requires dated authorship or commit evidence; this WP2 report does not invent commits or timestamps.</w:t>
      </w:r>
    </w:p>
    <w:p>
      <w:pPr>
        <w:pStyle w:val="Heading1"/>
      </w:pPr>
      <w:r>
        <w:t>8. Evidence sources used for this update</w:t>
      </w:r>
    </w:p>
    <w:tbl>
      <w:tblPr>
        <w:tblStyle w:val="TableGrid"/>
        <w:tblW w:type="auto" w:w="0"/>
        <w:jc w:val="center"/>
        <w:tblLook w:firstColumn="1" w:firstRow="1" w:lastColumn="0" w:lastRow="0" w:noHBand="0" w:noVBand="1" w:val="04A0"/>
      </w:tblPr>
      <w:tblGrid>
        <w:gridCol w:w="5156"/>
        <w:gridCol w:w="5156"/>
      </w:tblGrid>
      <w:tr>
        <w:tc>
          <w:tcPr>
            <w:tcW w:type="dxa" w:w="4252"/>
            <w:shd w:fill="D9EAF7"/>
            <w:vAlign w:val="center"/>
          </w:tcPr>
          <w:p>
            <w:r>
              <w:rPr>
                <w:b/>
                <w:sz w:val="18"/>
              </w:rPr>
              <w:t>Artefact</w:t>
            </w:r>
          </w:p>
        </w:tc>
        <w:tc>
          <w:tcPr>
            <w:tcW w:type="dxa" w:w="4819"/>
            <w:shd w:fill="D9EAF7"/>
            <w:vAlign w:val="center"/>
          </w:tcPr>
          <w:p>
            <w:r>
              <w:rPr>
                <w:b/>
                <w:sz w:val="18"/>
              </w:rPr>
              <w:t>Use</w:t>
            </w:r>
          </w:p>
        </w:tc>
      </w:tr>
      <w:tr>
        <w:tc>
          <w:tcPr>
            <w:tcW w:type="dxa" w:w="4252"/>
            <w:vAlign w:val="top"/>
            <w:tcMar>
              <w:top w:w="90" w:type="dxa"/>
              <w:start w:w="90" w:type="dxa"/>
              <w:bottom w:w="90" w:type="dxa"/>
              <w:end w:w="90" w:type="dxa"/>
            </w:tcMar>
          </w:tcPr>
          <w:p>
            <w:r>
              <w:rPr>
                <w:sz w:val="18"/>
              </w:rPr>
              <w:t>Preprocessing Design(1).docx</w:t>
            </w:r>
          </w:p>
        </w:tc>
        <w:tc>
          <w:tcPr>
            <w:tcW w:type="dxa" w:w="4819"/>
            <w:vAlign w:val="top"/>
            <w:tcMar>
              <w:top w:w="90" w:type="dxa"/>
              <w:start w:w="90" w:type="dxa"/>
              <w:bottom w:w="90" w:type="dxa"/>
              <w:end w:w="90" w:type="dxa"/>
            </w:tcMar>
          </w:tcPr>
          <w:p>
            <w:r>
              <w:rPr>
                <w:sz w:val="18"/>
              </w:rPr>
              <w:t>Initial Stage 2 design, proposed sequence, leakage and feature-engineering plan</w:t>
            </w:r>
          </w:p>
        </w:tc>
      </w:tr>
      <w:tr>
        <w:tc>
          <w:tcPr>
            <w:tcW w:type="dxa" w:w="4252"/>
            <w:vAlign w:val="top"/>
            <w:tcMar>
              <w:top w:w="90" w:type="dxa"/>
              <w:start w:w="90" w:type="dxa"/>
              <w:bottom w:w="90" w:type="dxa"/>
              <w:end w:w="90" w:type="dxa"/>
            </w:tcMar>
          </w:tcPr>
          <w:p>
            <w:r>
              <w:rPr>
                <w:sz w:val="18"/>
              </w:rPr>
              <w:t>Preprocessing Final.py</w:t>
            </w:r>
          </w:p>
        </w:tc>
        <w:tc>
          <w:tcPr>
            <w:tcW w:type="dxa" w:w="4819"/>
            <w:vAlign w:val="top"/>
            <w:tcMar>
              <w:top w:w="90" w:type="dxa"/>
              <w:start w:w="90" w:type="dxa"/>
              <w:bottom w:w="90" w:type="dxa"/>
              <w:end w:w="90" w:type="dxa"/>
            </w:tcMar>
          </w:tcPr>
          <w:p>
            <w:r>
              <w:rPr>
                <w:sz w:val="18"/>
              </w:rPr>
              <w:t>Final integrated preprocessing and feature-engineering implementation</w:t>
            </w:r>
          </w:p>
        </w:tc>
      </w:tr>
      <w:tr>
        <w:tc>
          <w:tcPr>
            <w:tcW w:type="dxa" w:w="4252"/>
            <w:vAlign w:val="top"/>
            <w:tcMar>
              <w:top w:w="90" w:type="dxa"/>
              <w:start w:w="90" w:type="dxa"/>
              <w:bottom w:w="90" w:type="dxa"/>
              <w:end w:w="90" w:type="dxa"/>
            </w:tcMar>
          </w:tcPr>
          <w:p>
            <w:r>
              <w:rPr>
                <w:sz w:val="18"/>
              </w:rPr>
              <w:t>Stage2_Preprocessing_Output_20260914_150854.zip</w:t>
            </w:r>
          </w:p>
        </w:tc>
        <w:tc>
          <w:tcPr>
            <w:tcW w:type="dxa" w:w="4819"/>
            <w:vAlign w:val="top"/>
            <w:tcMar>
              <w:top w:w="90" w:type="dxa"/>
              <w:start w:w="90" w:type="dxa"/>
              <w:bottom w:w="90" w:type="dxa"/>
              <w:end w:w="90" w:type="dxa"/>
            </w:tcMar>
          </w:tcPr>
          <w:p>
            <w:r>
              <w:rPr>
                <w:sz w:val="18"/>
              </w:rPr>
              <w:t>Final test, readiness, feature, forecast-weather and cutoff evidence</w:t>
            </w:r>
          </w:p>
        </w:tc>
      </w:tr>
      <w:tr>
        <w:tc>
          <w:tcPr>
            <w:tcW w:type="dxa" w:w="4252"/>
            <w:vAlign w:val="top"/>
            <w:tcMar>
              <w:top w:w="90" w:type="dxa"/>
              <w:start w:w="90" w:type="dxa"/>
              <w:bottom w:w="90" w:type="dxa"/>
              <w:end w:w="90" w:type="dxa"/>
            </w:tcMar>
          </w:tcPr>
          <w:p>
            <w:r>
              <w:rPr>
                <w:sz w:val="18"/>
              </w:rPr>
              <w:t>PRT661_Group2_WP2_Preprocessing.zip</w:t>
            </w:r>
          </w:p>
        </w:tc>
        <w:tc>
          <w:tcPr>
            <w:tcW w:type="dxa" w:w="4819"/>
            <w:vAlign w:val="top"/>
            <w:tcMar>
              <w:top w:w="90" w:type="dxa"/>
              <w:start w:w="90" w:type="dxa"/>
              <w:bottom w:w="90" w:type="dxa"/>
              <w:end w:w="90" w:type="dxa"/>
            </w:tcMar>
          </w:tcPr>
          <w:p>
            <w:r>
              <w:rPr>
                <w:sz w:val="18"/>
              </w:rPr>
              <w:t>Earlier individual WP2 reports and contribution modules used as the baseline for revision</w:t>
            </w:r>
          </w:p>
        </w:tc>
      </w:tr>
      <w:tr>
        <w:tc>
          <w:tcPr>
            <w:tcW w:type="dxa" w:w="4252"/>
            <w:vAlign w:val="top"/>
            <w:tcMar>
              <w:top w:w="90" w:type="dxa"/>
              <w:start w:w="90" w:type="dxa"/>
              <w:bottom w:w="90" w:type="dxa"/>
              <w:end w:w="90" w:type="dxa"/>
            </w:tcMar>
          </w:tcPr>
          <w:p>
            <w:r>
              <w:rPr>
                <w:sz w:val="18"/>
              </w:rPr>
              <w:t>WP2_Ashish_Shrestha_Feature_Engineering.py</w:t>
            </w:r>
          </w:p>
        </w:tc>
        <w:tc>
          <w:tcPr>
            <w:tcW w:type="dxa" w:w="4819"/>
            <w:vAlign w:val="top"/>
            <w:tcMar>
              <w:top w:w="90" w:type="dxa"/>
              <w:start w:w="90" w:type="dxa"/>
              <w:bottom w:w="90" w:type="dxa"/>
              <w:end w:w="90" w:type="dxa"/>
            </w:tcMar>
          </w:tcPr>
          <w:p>
            <w:r>
              <w:rPr>
                <w:sz w:val="18"/>
              </w:rPr>
              <w:t>Updated individual contribution code supplied with this report</w:t>
            </w:r>
          </w:p>
        </w:tc>
      </w:tr>
    </w:tbl>
    <w:p/>
    <w:sectPr w:rsidR="00FC693F" w:rsidRPr="0006063C" w:rsidSect="00034616">
      <w:headerReference w:type="default" r:id="rId9"/>
      <w:footerReference w:type="default" r:id="rId10"/>
      <w:pgSz w:w="12240" w:h="15840"/>
      <w:pgMar w:top="879"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Ashish Shrestha | Individual Contribution and Progress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PRT661 – Data Science Practice | WP2 Stage 2 Preprocessing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