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C7A17" w14:textId="77777777" w:rsidR="00684265" w:rsidRPr="00360C69" w:rsidRDefault="00000000">
      <w:pPr>
        <w:pStyle w:val="Heading1"/>
        <w:rPr>
          <w:rFonts w:ascii="Times New Roman" w:hAnsi="Times New Roman" w:cs="Times New Roman"/>
          <w:sz w:val="22"/>
          <w:szCs w:val="22"/>
        </w:rPr>
      </w:pPr>
      <w:r w:rsidRPr="00360C69">
        <w:rPr>
          <w:rFonts w:ascii="Times New Roman" w:hAnsi="Times New Roman" w:cs="Times New Roman"/>
          <w:sz w:val="22"/>
          <w:szCs w:val="22"/>
        </w:rPr>
        <w:t>Meeting 1 — Data Acquisition Planning and Source Investigation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22"/>
        <w:gridCol w:w="5222"/>
      </w:tblGrid>
      <w:tr w:rsidR="00684265" w:rsidRPr="00360C69" w14:paraId="183E04AE" w14:textId="77777777">
        <w:trPr>
          <w:cantSplit/>
          <w:tblHeader/>
          <w:jc w:val="center"/>
        </w:trPr>
        <w:tc>
          <w:tcPr>
            <w:tcW w:w="5227" w:type="dxa"/>
            <w:shd w:val="clear" w:color="auto" w:fill="EAF2F8"/>
            <w:vAlign w:val="center"/>
          </w:tcPr>
          <w:p w14:paraId="08547CEE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b/>
                <w:color w:val="14375F"/>
                <w:sz w:val="22"/>
              </w:rPr>
              <w:t>Date</w:t>
            </w:r>
          </w:p>
        </w:tc>
        <w:tc>
          <w:tcPr>
            <w:tcW w:w="5227" w:type="dxa"/>
            <w:vAlign w:val="center"/>
          </w:tcPr>
          <w:p w14:paraId="2C496F42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Tuesday, 19 August 2026</w:t>
            </w:r>
          </w:p>
        </w:tc>
      </w:tr>
      <w:tr w:rsidR="00684265" w:rsidRPr="00360C69" w14:paraId="5E7F16D5" w14:textId="77777777">
        <w:trPr>
          <w:cantSplit/>
          <w:jc w:val="center"/>
        </w:trPr>
        <w:tc>
          <w:tcPr>
            <w:tcW w:w="5227" w:type="dxa"/>
            <w:shd w:val="clear" w:color="auto" w:fill="EAF2F8"/>
            <w:vAlign w:val="center"/>
          </w:tcPr>
          <w:p w14:paraId="1E46488D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b/>
                <w:color w:val="14375F"/>
                <w:sz w:val="22"/>
              </w:rPr>
              <w:t>Time</w:t>
            </w:r>
          </w:p>
        </w:tc>
        <w:tc>
          <w:tcPr>
            <w:tcW w:w="5227" w:type="dxa"/>
            <w:vAlign w:val="center"/>
          </w:tcPr>
          <w:p w14:paraId="095A0BB0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11:00 AM – 12:30 PM (1 hour 30 minutes)</w:t>
            </w:r>
          </w:p>
        </w:tc>
      </w:tr>
      <w:tr w:rsidR="00684265" w:rsidRPr="00360C69" w14:paraId="5CFFE3A2" w14:textId="77777777">
        <w:trPr>
          <w:cantSplit/>
          <w:jc w:val="center"/>
        </w:trPr>
        <w:tc>
          <w:tcPr>
            <w:tcW w:w="5227" w:type="dxa"/>
            <w:shd w:val="clear" w:color="auto" w:fill="EAF2F8"/>
            <w:vAlign w:val="center"/>
          </w:tcPr>
          <w:p w14:paraId="4C9BD68D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b/>
                <w:color w:val="14375F"/>
                <w:sz w:val="22"/>
              </w:rPr>
              <w:t>Location / method</w:t>
            </w:r>
          </w:p>
        </w:tc>
        <w:tc>
          <w:tcPr>
            <w:tcW w:w="5227" w:type="dxa"/>
            <w:vAlign w:val="center"/>
          </w:tcPr>
          <w:p w14:paraId="1182ABA7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Danala campus, study room (after class)</w:t>
            </w:r>
          </w:p>
        </w:tc>
      </w:tr>
      <w:tr w:rsidR="00684265" w:rsidRPr="00360C69" w14:paraId="0C0C3DB7" w14:textId="77777777">
        <w:trPr>
          <w:cantSplit/>
          <w:jc w:val="center"/>
        </w:trPr>
        <w:tc>
          <w:tcPr>
            <w:tcW w:w="5227" w:type="dxa"/>
            <w:shd w:val="clear" w:color="auto" w:fill="EAF2F8"/>
            <w:vAlign w:val="center"/>
          </w:tcPr>
          <w:p w14:paraId="5FCCA002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b/>
                <w:color w:val="14375F"/>
                <w:sz w:val="22"/>
              </w:rPr>
              <w:t>Chair</w:t>
            </w:r>
          </w:p>
        </w:tc>
        <w:tc>
          <w:tcPr>
            <w:tcW w:w="5227" w:type="dxa"/>
            <w:vAlign w:val="center"/>
          </w:tcPr>
          <w:p w14:paraId="4823449E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Sudip Lamichhane</w:t>
            </w:r>
          </w:p>
        </w:tc>
      </w:tr>
      <w:tr w:rsidR="00684265" w:rsidRPr="00360C69" w14:paraId="3CCF627C" w14:textId="77777777">
        <w:trPr>
          <w:cantSplit/>
          <w:jc w:val="center"/>
        </w:trPr>
        <w:tc>
          <w:tcPr>
            <w:tcW w:w="5227" w:type="dxa"/>
            <w:shd w:val="clear" w:color="auto" w:fill="EAF2F8"/>
            <w:vAlign w:val="center"/>
          </w:tcPr>
          <w:p w14:paraId="4CA84090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b/>
                <w:color w:val="14375F"/>
                <w:sz w:val="22"/>
              </w:rPr>
              <w:t>Minutes</w:t>
            </w:r>
          </w:p>
        </w:tc>
        <w:tc>
          <w:tcPr>
            <w:tcW w:w="5227" w:type="dxa"/>
            <w:vAlign w:val="center"/>
          </w:tcPr>
          <w:p w14:paraId="6DC1BF28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Ashish Shrestha</w:t>
            </w:r>
          </w:p>
        </w:tc>
      </w:tr>
      <w:tr w:rsidR="00684265" w:rsidRPr="00360C69" w14:paraId="77CA9030" w14:textId="77777777">
        <w:trPr>
          <w:cantSplit/>
          <w:jc w:val="center"/>
        </w:trPr>
        <w:tc>
          <w:tcPr>
            <w:tcW w:w="5227" w:type="dxa"/>
            <w:shd w:val="clear" w:color="auto" w:fill="EAF2F8"/>
            <w:vAlign w:val="center"/>
          </w:tcPr>
          <w:p w14:paraId="7B01F9BF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b/>
                <w:color w:val="14375F"/>
                <w:sz w:val="22"/>
              </w:rPr>
              <w:t>Attendees</w:t>
            </w:r>
          </w:p>
        </w:tc>
        <w:tc>
          <w:tcPr>
            <w:tcW w:w="5227" w:type="dxa"/>
            <w:vAlign w:val="center"/>
          </w:tcPr>
          <w:p w14:paraId="15D71843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Ashish Shrestha (S388084); Bishal Dahal (S388095); Sudip Lamichhane (S388085); Suraj Raut (S391201) — all present</w:t>
            </w:r>
          </w:p>
        </w:tc>
      </w:tr>
      <w:tr w:rsidR="00684265" w:rsidRPr="00360C69" w14:paraId="4963D7CC" w14:textId="77777777">
        <w:trPr>
          <w:cantSplit/>
          <w:jc w:val="center"/>
        </w:trPr>
        <w:tc>
          <w:tcPr>
            <w:tcW w:w="5227" w:type="dxa"/>
            <w:shd w:val="clear" w:color="auto" w:fill="EAF2F8"/>
            <w:vAlign w:val="center"/>
          </w:tcPr>
          <w:p w14:paraId="310A7713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b/>
                <w:color w:val="14375F"/>
                <w:sz w:val="22"/>
              </w:rPr>
              <w:t>Apologies</w:t>
            </w:r>
          </w:p>
        </w:tc>
        <w:tc>
          <w:tcPr>
            <w:tcW w:w="5227" w:type="dxa"/>
            <w:vAlign w:val="center"/>
          </w:tcPr>
          <w:p w14:paraId="7986F4A2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None</w:t>
            </w:r>
          </w:p>
        </w:tc>
      </w:tr>
      <w:tr w:rsidR="00684265" w:rsidRPr="00360C69" w14:paraId="463E128B" w14:textId="77777777">
        <w:trPr>
          <w:cantSplit/>
          <w:jc w:val="center"/>
        </w:trPr>
        <w:tc>
          <w:tcPr>
            <w:tcW w:w="5227" w:type="dxa"/>
            <w:shd w:val="clear" w:color="auto" w:fill="EAF2F8"/>
            <w:vAlign w:val="center"/>
          </w:tcPr>
          <w:p w14:paraId="165A8B26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b/>
                <w:color w:val="14375F"/>
                <w:sz w:val="22"/>
              </w:rPr>
              <w:t>Purpose</w:t>
            </w:r>
          </w:p>
        </w:tc>
        <w:tc>
          <w:tcPr>
            <w:tcW w:w="5227" w:type="dxa"/>
            <w:vAlign w:val="center"/>
          </w:tcPr>
          <w:p w14:paraId="2A98E2B5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Plan the shared data-acquisition pipeline, test the source assumptions from Assessment 1, identify risks early, and agree collaborative development responsibilities.</w:t>
            </w:r>
          </w:p>
        </w:tc>
      </w:tr>
      <w:tr w:rsidR="00684265" w:rsidRPr="00360C69" w14:paraId="4CCDFABB" w14:textId="77777777">
        <w:trPr>
          <w:cantSplit/>
          <w:jc w:val="center"/>
        </w:trPr>
        <w:tc>
          <w:tcPr>
            <w:tcW w:w="5227" w:type="dxa"/>
            <w:shd w:val="clear" w:color="auto" w:fill="EAF2F8"/>
            <w:vAlign w:val="center"/>
          </w:tcPr>
          <w:p w14:paraId="565A41B3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b/>
                <w:color w:val="14375F"/>
                <w:sz w:val="22"/>
              </w:rPr>
              <w:t>Next meeting</w:t>
            </w:r>
          </w:p>
        </w:tc>
        <w:tc>
          <w:tcPr>
            <w:tcW w:w="5227" w:type="dxa"/>
            <w:vAlign w:val="center"/>
          </w:tcPr>
          <w:p w14:paraId="5F975CBF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23 August 2026, 7:30–9:30 PM</w:t>
            </w:r>
          </w:p>
        </w:tc>
      </w:tr>
    </w:tbl>
    <w:p w14:paraId="1518AEA1" w14:textId="77777777" w:rsidR="00684265" w:rsidRPr="00360C69" w:rsidRDefault="00684265">
      <w:pPr>
        <w:spacing w:after="20"/>
        <w:rPr>
          <w:rFonts w:ascii="Times New Roman" w:hAnsi="Times New Roman" w:cs="Times New Roman"/>
          <w:sz w:val="22"/>
        </w:rPr>
      </w:pPr>
    </w:p>
    <w:p w14:paraId="6EF01008" w14:textId="77777777" w:rsidR="00684265" w:rsidRPr="00360C69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360C69">
        <w:rPr>
          <w:rFonts w:ascii="Times New Roman" w:hAnsi="Times New Roman" w:cs="Times New Roman"/>
          <w:sz w:val="22"/>
          <w:szCs w:val="22"/>
        </w:rPr>
        <w:t>1. Why the team met</w:t>
      </w:r>
    </w:p>
    <w:p w14:paraId="0AA3EFEE" w14:textId="77777777" w:rsidR="00684265" w:rsidRPr="00360C69" w:rsidRDefault="00000000">
      <w:pPr>
        <w:rPr>
          <w:rFonts w:ascii="Times New Roman" w:hAnsi="Times New Roman" w:cs="Times New Roman"/>
          <w:sz w:val="22"/>
        </w:rPr>
      </w:pPr>
      <w:r w:rsidRPr="00360C69">
        <w:rPr>
          <w:rFonts w:ascii="Times New Roman" w:hAnsi="Times New Roman" w:cs="Times New Roman"/>
          <w:sz w:val="22"/>
        </w:rPr>
        <w:t>The team deliberately investigated the real provider systems before finalising code. Each member checked the source aligned with their Assessment 1 role so that the acquisition design would be based on actual publication behaviour rather than assumptions. This source-first review exposed several issues that materially changed the pipeline architecture.</w:t>
      </w:r>
    </w:p>
    <w:p w14:paraId="4E383C07" w14:textId="77777777" w:rsidR="00684265" w:rsidRPr="00360C69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360C69">
        <w:rPr>
          <w:rFonts w:ascii="Times New Roman" w:hAnsi="Times New Roman" w:cs="Times New Roman"/>
          <w:sz w:val="22"/>
          <w:szCs w:val="22"/>
        </w:rPr>
        <w:t>2. Source findings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"/>
        <w:gridCol w:w="4579"/>
        <w:gridCol w:w="1148"/>
        <w:gridCol w:w="4286"/>
      </w:tblGrid>
      <w:tr w:rsidR="00684265" w:rsidRPr="00360C69" w14:paraId="19903159" w14:textId="77777777">
        <w:trPr>
          <w:cantSplit/>
          <w:tblHeader/>
          <w:jc w:val="center"/>
        </w:trPr>
        <w:tc>
          <w:tcPr>
            <w:tcW w:w="432" w:type="dxa"/>
            <w:shd w:val="clear" w:color="auto" w:fill="D9EAF7"/>
            <w:vAlign w:val="center"/>
          </w:tcPr>
          <w:p w14:paraId="5E63A5B8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b/>
                <w:color w:val="14375F"/>
                <w:sz w:val="22"/>
              </w:rPr>
              <w:t>#</w:t>
            </w:r>
          </w:p>
        </w:tc>
        <w:tc>
          <w:tcPr>
            <w:tcW w:w="4608" w:type="dxa"/>
            <w:shd w:val="clear" w:color="auto" w:fill="D9EAF7"/>
            <w:vAlign w:val="center"/>
          </w:tcPr>
          <w:p w14:paraId="2FD96121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b/>
                <w:color w:val="14375F"/>
                <w:sz w:val="22"/>
              </w:rPr>
              <w:t>Finding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41700E4C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b/>
                <w:color w:val="14375F"/>
                <w:sz w:val="22"/>
              </w:rPr>
              <w:t>Raised by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02E15540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b/>
                <w:color w:val="14375F"/>
                <w:sz w:val="22"/>
              </w:rPr>
              <w:t>Why it mattered</w:t>
            </w:r>
          </w:p>
        </w:tc>
      </w:tr>
      <w:tr w:rsidR="00684265" w:rsidRPr="00360C69" w14:paraId="04D6D070" w14:textId="77777777">
        <w:trPr>
          <w:cantSplit/>
          <w:jc w:val="center"/>
        </w:trPr>
        <w:tc>
          <w:tcPr>
            <w:tcW w:w="432" w:type="dxa"/>
            <w:vAlign w:val="center"/>
          </w:tcPr>
          <w:p w14:paraId="4BC1E68B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w="4608" w:type="dxa"/>
            <w:vAlign w:val="center"/>
          </w:tcPr>
          <w:p w14:paraId="68B650B7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The main AEMO NEM feed covers NSW1, QLD1, VIC1, SA1 and TAS1, but not WA or NT.</w:t>
            </w:r>
          </w:p>
        </w:tc>
        <w:tc>
          <w:tcPr>
            <w:tcW w:w="1152" w:type="dxa"/>
            <w:vAlign w:val="center"/>
          </w:tcPr>
          <w:p w14:paraId="35435DBD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Suraj</w:t>
            </w:r>
          </w:p>
        </w:tc>
        <w:tc>
          <w:tcPr>
            <w:tcW w:w="4320" w:type="dxa"/>
            <w:vAlign w:val="center"/>
          </w:tcPr>
          <w:p w14:paraId="746FECA8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WA and NT could not be treated as ordinary NEM regions.</w:t>
            </w:r>
          </w:p>
        </w:tc>
      </w:tr>
      <w:tr w:rsidR="00684265" w:rsidRPr="00360C69" w14:paraId="52296F85" w14:textId="77777777">
        <w:trPr>
          <w:cantSplit/>
          <w:jc w:val="center"/>
        </w:trPr>
        <w:tc>
          <w:tcPr>
            <w:tcW w:w="432" w:type="dxa"/>
            <w:vAlign w:val="center"/>
          </w:tcPr>
          <w:p w14:paraId="4006FF47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4608" w:type="dxa"/>
            <w:vAlign w:val="center"/>
          </w:tcPr>
          <w:p w14:paraId="677C0F2C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AEMO dispatch and pre-dispatch views contain mixed ACTUAL/FORECAST rows and overlapping periods.</w:t>
            </w:r>
          </w:p>
        </w:tc>
        <w:tc>
          <w:tcPr>
            <w:tcW w:w="1152" w:type="dxa"/>
            <w:vAlign w:val="center"/>
          </w:tcPr>
          <w:p w14:paraId="1D5EF6A9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Ashish</w:t>
            </w:r>
          </w:p>
        </w:tc>
        <w:tc>
          <w:tcPr>
            <w:tcW w:w="4320" w:type="dxa"/>
            <w:vAlign w:val="center"/>
          </w:tcPr>
          <w:p w14:paraId="5F29658B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Merging them would obscure what is observed versus forecast and create leakage risk.</w:t>
            </w:r>
          </w:p>
        </w:tc>
      </w:tr>
      <w:tr w:rsidR="00684265" w:rsidRPr="00360C69" w14:paraId="0868D36B" w14:textId="77777777">
        <w:trPr>
          <w:cantSplit/>
          <w:jc w:val="center"/>
        </w:trPr>
        <w:tc>
          <w:tcPr>
            <w:tcW w:w="432" w:type="dxa"/>
            <w:vAlign w:val="center"/>
          </w:tcPr>
          <w:p w14:paraId="1AA81BFB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4608" w:type="dxa"/>
            <w:vAlign w:val="center"/>
          </w:tcPr>
          <w:p w14:paraId="3E463DC8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WA is a separate electricity market with different sites and file structures.</w:t>
            </w:r>
          </w:p>
        </w:tc>
        <w:tc>
          <w:tcPr>
            <w:tcW w:w="1152" w:type="dxa"/>
            <w:vAlign w:val="center"/>
          </w:tcPr>
          <w:p w14:paraId="27BCF414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Sudip</w:t>
            </w:r>
          </w:p>
        </w:tc>
        <w:tc>
          <w:tcPr>
            <w:tcW w:w="4320" w:type="dxa"/>
            <w:vAlign w:val="center"/>
          </w:tcPr>
          <w:p w14:paraId="16EC759D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WA required a separate acquisition path.</w:t>
            </w:r>
          </w:p>
        </w:tc>
      </w:tr>
      <w:tr w:rsidR="00684265" w:rsidRPr="00360C69" w14:paraId="7D7D206F" w14:textId="77777777">
        <w:trPr>
          <w:cantSplit/>
          <w:jc w:val="center"/>
        </w:trPr>
        <w:tc>
          <w:tcPr>
            <w:tcW w:w="432" w:type="dxa"/>
            <w:vAlign w:val="center"/>
          </w:tcPr>
          <w:p w14:paraId="38835902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4608" w:type="dxa"/>
            <w:vAlign w:val="center"/>
          </w:tcPr>
          <w:p w14:paraId="21FA70DA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WA history spans different legacy/current sources rather than one uniform file family.</w:t>
            </w:r>
          </w:p>
        </w:tc>
        <w:tc>
          <w:tcPr>
            <w:tcW w:w="1152" w:type="dxa"/>
            <w:vAlign w:val="center"/>
          </w:tcPr>
          <w:p w14:paraId="1FC82DD8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Sudip</w:t>
            </w:r>
          </w:p>
        </w:tc>
        <w:tc>
          <w:tcPr>
            <w:tcW w:w="4320" w:type="dxa"/>
            <w:vAlign w:val="center"/>
          </w:tcPr>
          <w:p w14:paraId="5D93785B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Source precedence and traceability had to be explicit.</w:t>
            </w:r>
          </w:p>
        </w:tc>
      </w:tr>
      <w:tr w:rsidR="00684265" w:rsidRPr="00360C69" w14:paraId="0D59759B" w14:textId="77777777">
        <w:trPr>
          <w:cantSplit/>
          <w:jc w:val="center"/>
        </w:trPr>
        <w:tc>
          <w:tcPr>
            <w:tcW w:w="432" w:type="dxa"/>
            <w:vAlign w:val="center"/>
          </w:tcPr>
          <w:p w14:paraId="4452394F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4608" w:type="dxa"/>
            <w:vAlign w:val="center"/>
          </w:tcPr>
          <w:p w14:paraId="216D76A0" w14:textId="17DFB221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 xml:space="preserve">WA legacy history is </w:t>
            </w:r>
            <w:r w:rsidR="000D57CB" w:rsidRPr="00360C69">
              <w:rPr>
                <w:rFonts w:ascii="Times New Roman" w:hAnsi="Times New Roman" w:cs="Times New Roman"/>
                <w:sz w:val="22"/>
              </w:rPr>
              <w:t>30 minutes</w:t>
            </w:r>
            <w:r w:rsidRPr="00360C69">
              <w:rPr>
                <w:rFonts w:ascii="Times New Roman" w:hAnsi="Times New Roman" w:cs="Times New Roman"/>
                <w:sz w:val="22"/>
              </w:rPr>
              <w:t xml:space="preserve"> while the modern regime is 5-minute.</w:t>
            </w:r>
          </w:p>
        </w:tc>
        <w:tc>
          <w:tcPr>
            <w:tcW w:w="1152" w:type="dxa"/>
            <w:vAlign w:val="center"/>
          </w:tcPr>
          <w:p w14:paraId="7F6C9351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Sudip</w:t>
            </w:r>
          </w:p>
        </w:tc>
        <w:tc>
          <w:tcPr>
            <w:tcW w:w="4320" w:type="dxa"/>
            <w:vAlign w:val="center"/>
          </w:tcPr>
          <w:p w14:paraId="035C774D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Native interval evidence had to be preserved for later harmonisation.</w:t>
            </w:r>
          </w:p>
        </w:tc>
      </w:tr>
      <w:tr w:rsidR="00684265" w:rsidRPr="00360C69" w14:paraId="3FA0FD06" w14:textId="77777777">
        <w:trPr>
          <w:cantSplit/>
          <w:jc w:val="center"/>
        </w:trPr>
        <w:tc>
          <w:tcPr>
            <w:tcW w:w="432" w:type="dxa"/>
            <w:vAlign w:val="center"/>
          </w:tcPr>
          <w:p w14:paraId="3C016A5D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4608" w:type="dxa"/>
            <w:vAlign w:val="center"/>
          </w:tcPr>
          <w:p w14:paraId="1D5A4E53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A reproducible automated bulk NT historical-demand path was not available; the available route involved a manual request.</w:t>
            </w:r>
          </w:p>
        </w:tc>
        <w:tc>
          <w:tcPr>
            <w:tcW w:w="1152" w:type="dxa"/>
            <w:vAlign w:val="center"/>
          </w:tcPr>
          <w:p w14:paraId="2C7B8625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Bishal</w:t>
            </w:r>
          </w:p>
        </w:tc>
        <w:tc>
          <w:tcPr>
            <w:tcW w:w="4320" w:type="dxa"/>
            <w:vAlign w:val="center"/>
          </w:tcPr>
          <w:p w14:paraId="19D5F191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A manual one-off file would conflict with the project goal of a repeatable acquisition pipeline.</w:t>
            </w:r>
          </w:p>
        </w:tc>
      </w:tr>
    </w:tbl>
    <w:p w14:paraId="1E17B59C" w14:textId="77777777" w:rsidR="00684265" w:rsidRPr="00360C69" w:rsidRDefault="00684265">
      <w:pPr>
        <w:spacing w:after="20"/>
        <w:rPr>
          <w:rFonts w:ascii="Times New Roman" w:hAnsi="Times New Roman" w:cs="Times New Roman"/>
          <w:sz w:val="22"/>
        </w:rPr>
      </w:pPr>
    </w:p>
    <w:p w14:paraId="0E9EE0C4" w14:textId="77777777" w:rsidR="00684265" w:rsidRPr="00360C69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360C69">
        <w:rPr>
          <w:rFonts w:ascii="Times New Roman" w:hAnsi="Times New Roman" w:cs="Times New Roman"/>
          <w:sz w:val="22"/>
          <w:szCs w:val="22"/>
        </w:rPr>
        <w:t>3. Decisions</w:t>
      </w:r>
    </w:p>
    <w:p w14:paraId="0021706F" w14:textId="77777777" w:rsidR="00684265" w:rsidRPr="00360C69" w:rsidRDefault="00000000">
      <w:pPr>
        <w:pStyle w:val="Decision"/>
        <w:rPr>
          <w:rFonts w:ascii="Times New Roman" w:hAnsi="Times New Roman" w:cs="Times New Roman"/>
          <w:sz w:val="22"/>
        </w:rPr>
      </w:pPr>
      <w:r w:rsidRPr="00360C69">
        <w:rPr>
          <w:rFonts w:ascii="Times New Roman" w:hAnsi="Times New Roman" w:cs="Times New Roman"/>
          <w:sz w:val="22"/>
        </w:rPr>
        <w:t>DECISION: NT operational demand would not be included unless a reproducible automated path could be established. The scope change would be documented rather than hidden.</w:t>
      </w:r>
    </w:p>
    <w:p w14:paraId="1DE312C4" w14:textId="6ABC8496" w:rsidR="00684265" w:rsidRPr="00360C69" w:rsidRDefault="00000000">
      <w:pPr>
        <w:pStyle w:val="Decision"/>
        <w:rPr>
          <w:rFonts w:ascii="Times New Roman" w:hAnsi="Times New Roman" w:cs="Times New Roman"/>
          <w:sz w:val="22"/>
        </w:rPr>
      </w:pPr>
      <w:r w:rsidRPr="00360C69">
        <w:rPr>
          <w:rFonts w:ascii="Times New Roman" w:hAnsi="Times New Roman" w:cs="Times New Roman"/>
          <w:sz w:val="22"/>
        </w:rPr>
        <w:t xml:space="preserve">DECISION: WA would use its own acquisition </w:t>
      </w:r>
      <w:r w:rsidR="000D57CB" w:rsidRPr="00360C69">
        <w:rPr>
          <w:rFonts w:ascii="Times New Roman" w:hAnsi="Times New Roman" w:cs="Times New Roman"/>
          <w:sz w:val="22"/>
        </w:rPr>
        <w:t>module,</w:t>
      </w:r>
      <w:r w:rsidRPr="00360C69">
        <w:rPr>
          <w:rFonts w:ascii="Times New Roman" w:hAnsi="Times New Roman" w:cs="Times New Roman"/>
          <w:sz w:val="22"/>
        </w:rPr>
        <w:t xml:space="preserve"> and native 30-minute/5-minute source spacing would be preserved, not upsampled during acquisition.</w:t>
      </w:r>
    </w:p>
    <w:p w14:paraId="2B53A4C6" w14:textId="77777777" w:rsidR="00684265" w:rsidRPr="00360C69" w:rsidRDefault="00000000">
      <w:pPr>
        <w:pStyle w:val="Decision"/>
        <w:rPr>
          <w:rFonts w:ascii="Times New Roman" w:hAnsi="Times New Roman" w:cs="Times New Roman"/>
          <w:sz w:val="22"/>
        </w:rPr>
      </w:pPr>
      <w:r w:rsidRPr="00360C69">
        <w:rPr>
          <w:rFonts w:ascii="Times New Roman" w:hAnsi="Times New Roman" w:cs="Times New Roman"/>
          <w:sz w:val="22"/>
        </w:rPr>
        <w:t>DECISION: Dispatch and pre-dispatch would be stored separately with PERIODTYPE retained; AEMO forecasts would be used as an external benchmark rather than a model predictor.</w:t>
      </w:r>
    </w:p>
    <w:p w14:paraId="42E5114D" w14:textId="77777777" w:rsidR="00684265" w:rsidRPr="00360C69" w:rsidRDefault="00000000">
      <w:pPr>
        <w:pStyle w:val="Decision"/>
        <w:rPr>
          <w:rFonts w:ascii="Times New Roman" w:hAnsi="Times New Roman" w:cs="Times New Roman"/>
          <w:sz w:val="22"/>
        </w:rPr>
      </w:pPr>
      <w:r w:rsidRPr="00360C69">
        <w:rPr>
          <w:rFonts w:ascii="Times New Roman" w:hAnsi="Times New Roman" w:cs="Times New Roman"/>
          <w:sz w:val="22"/>
        </w:rPr>
        <w:t>DECISION: Raw provider columns/timestamp meaning would be preserved as far as practical. Cleaning and analytical transformation would occur later.</w:t>
      </w:r>
    </w:p>
    <w:p w14:paraId="68D59ADA" w14:textId="77777777" w:rsidR="00684265" w:rsidRPr="00360C69" w:rsidRDefault="00000000">
      <w:pPr>
        <w:pStyle w:val="Decision"/>
        <w:rPr>
          <w:rFonts w:ascii="Times New Roman" w:hAnsi="Times New Roman" w:cs="Times New Roman"/>
          <w:sz w:val="22"/>
        </w:rPr>
      </w:pPr>
      <w:r w:rsidRPr="00360C69">
        <w:rPr>
          <w:rFonts w:ascii="Times New Roman" w:hAnsi="Times New Roman" w:cs="Times New Roman"/>
          <w:sz w:val="22"/>
        </w:rPr>
        <w:lastRenderedPageBreak/>
        <w:t>DECISION: A repeatable validation step would report coverage, duplicates, gaps and source-frequency changes instead of treating a successful HTTP request as proof of valid data.</w:t>
      </w:r>
    </w:p>
    <w:p w14:paraId="65A27BE7" w14:textId="77777777" w:rsidR="00684265" w:rsidRPr="00360C69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360C69">
        <w:rPr>
          <w:rFonts w:ascii="Times New Roman" w:hAnsi="Times New Roman" w:cs="Times New Roman"/>
          <w:sz w:val="22"/>
          <w:szCs w:val="22"/>
        </w:rPr>
        <w:t>4. Initial work split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2448"/>
        <w:gridCol w:w="5760"/>
      </w:tblGrid>
      <w:tr w:rsidR="00684265" w:rsidRPr="00360C69" w14:paraId="6452CB07" w14:textId="77777777">
        <w:trPr>
          <w:cantSplit/>
          <w:tblHeader/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25783D8A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b/>
                <w:color w:val="14375F"/>
                <w:sz w:val="22"/>
              </w:rPr>
              <w:t>Member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10DD8AD6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b/>
                <w:color w:val="14375F"/>
                <w:sz w:val="22"/>
              </w:rPr>
              <w:t>Assessment 1 role</w:t>
            </w:r>
          </w:p>
        </w:tc>
        <w:tc>
          <w:tcPr>
            <w:tcW w:w="5760" w:type="dxa"/>
            <w:shd w:val="clear" w:color="auto" w:fill="D9EAF7"/>
            <w:vAlign w:val="center"/>
          </w:tcPr>
          <w:p w14:paraId="1E23F3F5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b/>
                <w:color w:val="14375F"/>
                <w:sz w:val="22"/>
              </w:rPr>
              <w:t>WP1 responsibility</w:t>
            </w:r>
          </w:p>
        </w:tc>
      </w:tr>
      <w:tr w:rsidR="00684265" w:rsidRPr="00360C69" w14:paraId="165E91F2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5743C141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Suraj Raut</w:t>
            </w:r>
          </w:p>
        </w:tc>
        <w:tc>
          <w:tcPr>
            <w:tcW w:w="2448" w:type="dxa"/>
            <w:vAlign w:val="center"/>
          </w:tcPr>
          <w:p w14:paraId="5D59C22A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Data Engineering Lead</w:t>
            </w:r>
          </w:p>
        </w:tc>
        <w:tc>
          <w:tcPr>
            <w:tcW w:w="5760" w:type="dxa"/>
            <w:vAlign w:val="center"/>
          </w:tcPr>
          <w:p w14:paraId="577AA025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NEM historical archive for the five NEM regions; shared schema/helper design.</w:t>
            </w:r>
          </w:p>
        </w:tc>
      </w:tr>
      <w:tr w:rsidR="00684265" w:rsidRPr="00360C69" w14:paraId="584D43D7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4511B6F9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Sudip Lamichhane</w:t>
            </w:r>
          </w:p>
        </w:tc>
        <w:tc>
          <w:tcPr>
            <w:tcW w:w="2448" w:type="dxa"/>
            <w:vAlign w:val="center"/>
          </w:tcPr>
          <w:p w14:paraId="53A541ED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Data Acquisition &amp; Correction Handling Lead</w:t>
            </w:r>
          </w:p>
        </w:tc>
        <w:tc>
          <w:tcPr>
            <w:tcW w:w="5760" w:type="dxa"/>
            <w:vAlign w:val="center"/>
          </w:tcPr>
          <w:p w14:paraId="05DF0847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WA/WEM acquisition across source regimes; source precedence and 2026 Market Requirements.</w:t>
            </w:r>
          </w:p>
        </w:tc>
      </w:tr>
      <w:tr w:rsidR="00684265" w:rsidRPr="00360C69" w14:paraId="634D0A89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273063DA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Ashish Shrestha</w:t>
            </w:r>
          </w:p>
        </w:tc>
        <w:tc>
          <w:tcPr>
            <w:tcW w:w="2448" w:type="dxa"/>
            <w:vAlign w:val="center"/>
          </w:tcPr>
          <w:p w14:paraId="06736662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Forecasting Lead</w:t>
            </w:r>
          </w:p>
        </w:tc>
        <w:tc>
          <w:tcPr>
            <w:tcW w:w="5760" w:type="dxa"/>
            <w:vAlign w:val="center"/>
          </w:tcPr>
          <w:p w14:paraId="142B7C52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AEMO dispatch/pre-dispatch snapshots and ACTUAL/FORECAST separation.</w:t>
            </w:r>
          </w:p>
        </w:tc>
      </w:tr>
      <w:tr w:rsidR="00684265" w:rsidRPr="00360C69" w14:paraId="4C21887C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1D9A252E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Bishal Dahal</w:t>
            </w:r>
          </w:p>
        </w:tc>
        <w:tc>
          <w:tcPr>
            <w:tcW w:w="2448" w:type="dxa"/>
            <w:vAlign w:val="center"/>
          </w:tcPr>
          <w:p w14:paraId="3D910F68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Verification &amp; Dashboard Lead</w:t>
            </w:r>
          </w:p>
        </w:tc>
        <w:tc>
          <w:tcPr>
            <w:tcW w:w="5760" w:type="dxa"/>
            <w:vAlign w:val="center"/>
          </w:tcPr>
          <w:p w14:paraId="0108DD61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Weather/holiday acquisition and repeatable output validation.</w:t>
            </w:r>
          </w:p>
        </w:tc>
      </w:tr>
      <w:tr w:rsidR="00684265" w:rsidRPr="00360C69" w14:paraId="5C338406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3D7DEA5E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All</w:t>
            </w:r>
          </w:p>
        </w:tc>
        <w:tc>
          <w:tcPr>
            <w:tcW w:w="2448" w:type="dxa"/>
            <w:vAlign w:val="center"/>
          </w:tcPr>
          <w:p w14:paraId="2294FDFA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Collaborative integration</w:t>
            </w:r>
          </w:p>
        </w:tc>
        <w:tc>
          <w:tcPr>
            <w:tcW w:w="5760" w:type="dxa"/>
            <w:vAlign w:val="center"/>
          </w:tcPr>
          <w:p w14:paraId="48E033E4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Repository structure, shared settings, common execution and integration review.</w:t>
            </w:r>
          </w:p>
        </w:tc>
      </w:tr>
    </w:tbl>
    <w:p w14:paraId="3F5CBDFC" w14:textId="77777777" w:rsidR="00684265" w:rsidRPr="00360C69" w:rsidRDefault="00684265">
      <w:pPr>
        <w:spacing w:after="20"/>
        <w:rPr>
          <w:rFonts w:ascii="Times New Roman" w:hAnsi="Times New Roman" w:cs="Times New Roman"/>
          <w:sz w:val="22"/>
        </w:rPr>
      </w:pPr>
    </w:p>
    <w:p w14:paraId="63F14449" w14:textId="77777777" w:rsidR="00684265" w:rsidRPr="00360C69" w:rsidRDefault="00000000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360C69">
        <w:rPr>
          <w:rFonts w:ascii="Times New Roman" w:hAnsi="Times New Roman" w:cs="Times New Roman"/>
          <w:sz w:val="22"/>
          <w:szCs w:val="22"/>
        </w:rPr>
        <w:t>5. Action register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5904"/>
        <w:gridCol w:w="1584"/>
        <w:gridCol w:w="2304"/>
      </w:tblGrid>
      <w:tr w:rsidR="00684265" w:rsidRPr="00360C69" w14:paraId="22858147" w14:textId="77777777">
        <w:trPr>
          <w:cantSplit/>
          <w:tblHeader/>
          <w:jc w:val="center"/>
        </w:trPr>
        <w:tc>
          <w:tcPr>
            <w:tcW w:w="648" w:type="dxa"/>
            <w:shd w:val="clear" w:color="auto" w:fill="D9EAF7"/>
            <w:vAlign w:val="center"/>
          </w:tcPr>
          <w:p w14:paraId="39D59942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b/>
                <w:color w:val="14375F"/>
                <w:sz w:val="22"/>
              </w:rPr>
              <w:t>ID</w:t>
            </w:r>
          </w:p>
        </w:tc>
        <w:tc>
          <w:tcPr>
            <w:tcW w:w="5904" w:type="dxa"/>
            <w:shd w:val="clear" w:color="auto" w:fill="D9EAF7"/>
            <w:vAlign w:val="center"/>
          </w:tcPr>
          <w:p w14:paraId="526552AA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b/>
                <w:color w:val="14375F"/>
                <w:sz w:val="22"/>
              </w:rPr>
              <w:t>Action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14212DDC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b/>
                <w:color w:val="14375F"/>
                <w:sz w:val="22"/>
              </w:rPr>
              <w:t>Owner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57E90C30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b/>
                <w:color w:val="14375F"/>
                <w:sz w:val="22"/>
              </w:rPr>
              <w:t>Due / outcome</w:t>
            </w:r>
          </w:p>
        </w:tc>
      </w:tr>
      <w:tr w:rsidR="00684265" w:rsidRPr="00360C69" w14:paraId="26936646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76BD5396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A1</w:t>
            </w:r>
          </w:p>
        </w:tc>
        <w:tc>
          <w:tcPr>
            <w:tcW w:w="5904" w:type="dxa"/>
            <w:vAlign w:val="center"/>
          </w:tcPr>
          <w:p w14:paraId="583C96AE" w14:textId="64E7BF5C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 xml:space="preserve">Create repository, shared </w:t>
            </w:r>
            <w:r w:rsidR="000D57CB" w:rsidRPr="00360C69">
              <w:rPr>
                <w:rFonts w:ascii="Times New Roman" w:hAnsi="Times New Roman" w:cs="Times New Roman"/>
                <w:sz w:val="22"/>
              </w:rPr>
              <w:t>branch’s</w:t>
            </w:r>
            <w:r w:rsidRPr="00360C69">
              <w:rPr>
                <w:rFonts w:ascii="Times New Roman" w:hAnsi="Times New Roman" w:cs="Times New Roman"/>
                <w:sz w:val="22"/>
              </w:rPr>
              <w:t>/readme/project structure.</w:t>
            </w:r>
          </w:p>
        </w:tc>
        <w:tc>
          <w:tcPr>
            <w:tcW w:w="1584" w:type="dxa"/>
            <w:vAlign w:val="center"/>
          </w:tcPr>
          <w:p w14:paraId="276D6E59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Ashish</w:t>
            </w:r>
          </w:p>
        </w:tc>
        <w:tc>
          <w:tcPr>
            <w:tcW w:w="2304" w:type="dxa"/>
            <w:vAlign w:val="center"/>
          </w:tcPr>
          <w:p w14:paraId="2C2F1DB5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Same day / taken forward to WP1 integration.</w:t>
            </w:r>
          </w:p>
        </w:tc>
      </w:tr>
      <w:tr w:rsidR="00684265" w:rsidRPr="00360C69" w14:paraId="4A6B1AFB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7FC743C6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A2</w:t>
            </w:r>
          </w:p>
        </w:tc>
        <w:tc>
          <w:tcPr>
            <w:tcW w:w="5904" w:type="dxa"/>
            <w:vAlign w:val="center"/>
          </w:tcPr>
          <w:p w14:paraId="1A7FF38D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Freeze common schema/settings.</w:t>
            </w:r>
          </w:p>
        </w:tc>
        <w:tc>
          <w:tcPr>
            <w:tcW w:w="1584" w:type="dxa"/>
            <w:vAlign w:val="center"/>
          </w:tcPr>
          <w:p w14:paraId="39AF1C00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Suraj</w:t>
            </w:r>
          </w:p>
        </w:tc>
        <w:tc>
          <w:tcPr>
            <w:tcW w:w="2304" w:type="dxa"/>
            <w:vAlign w:val="center"/>
          </w:tcPr>
          <w:p w14:paraId="0DD1F32F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Before module development.</w:t>
            </w:r>
          </w:p>
        </w:tc>
      </w:tr>
      <w:tr w:rsidR="00684265" w:rsidRPr="00360C69" w14:paraId="4F9863C8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09F6DEE9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A3</w:t>
            </w:r>
          </w:p>
        </w:tc>
        <w:tc>
          <w:tcPr>
            <w:tcW w:w="5904" w:type="dxa"/>
            <w:vAlign w:val="center"/>
          </w:tcPr>
          <w:p w14:paraId="5ED24E4F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Document source issues and scope changes.</w:t>
            </w:r>
          </w:p>
        </w:tc>
        <w:tc>
          <w:tcPr>
            <w:tcW w:w="1584" w:type="dxa"/>
            <w:vAlign w:val="center"/>
          </w:tcPr>
          <w:p w14:paraId="45131958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Bishal</w:t>
            </w:r>
          </w:p>
        </w:tc>
        <w:tc>
          <w:tcPr>
            <w:tcW w:w="2304" w:type="dxa"/>
            <w:vAlign w:val="center"/>
          </w:tcPr>
          <w:p w14:paraId="08C02D59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Before 23 Aug review.</w:t>
            </w:r>
          </w:p>
        </w:tc>
      </w:tr>
      <w:tr w:rsidR="00684265" w:rsidRPr="00360C69" w14:paraId="5AE2D86C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2438CF31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A4</w:t>
            </w:r>
          </w:p>
        </w:tc>
        <w:tc>
          <w:tcPr>
            <w:tcW w:w="5904" w:type="dxa"/>
            <w:vAlign w:val="center"/>
          </w:tcPr>
          <w:p w14:paraId="327154FB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Confirm NEM current-month coverage.</w:t>
            </w:r>
          </w:p>
        </w:tc>
        <w:tc>
          <w:tcPr>
            <w:tcW w:w="1584" w:type="dxa"/>
            <w:vAlign w:val="center"/>
          </w:tcPr>
          <w:p w14:paraId="40D5F448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Suraj</w:t>
            </w:r>
          </w:p>
        </w:tc>
        <w:tc>
          <w:tcPr>
            <w:tcW w:w="2304" w:type="dxa"/>
            <w:vAlign w:val="center"/>
          </w:tcPr>
          <w:p w14:paraId="6B09327D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23 Aug.</w:t>
            </w:r>
          </w:p>
        </w:tc>
      </w:tr>
      <w:tr w:rsidR="00684265" w:rsidRPr="00360C69" w14:paraId="5012AB30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4B95A08B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A5</w:t>
            </w:r>
          </w:p>
        </w:tc>
        <w:tc>
          <w:tcPr>
            <w:tcW w:w="5904" w:type="dxa"/>
            <w:vAlign w:val="center"/>
          </w:tcPr>
          <w:p w14:paraId="463CD142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Resolve WA source route and 2022/legacy history.</w:t>
            </w:r>
          </w:p>
        </w:tc>
        <w:tc>
          <w:tcPr>
            <w:tcW w:w="1584" w:type="dxa"/>
            <w:vAlign w:val="center"/>
          </w:tcPr>
          <w:p w14:paraId="2634A5DF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Sudip</w:t>
            </w:r>
          </w:p>
        </w:tc>
        <w:tc>
          <w:tcPr>
            <w:tcW w:w="2304" w:type="dxa"/>
            <w:vAlign w:val="center"/>
          </w:tcPr>
          <w:p w14:paraId="4CCC2E22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23 Aug.</w:t>
            </w:r>
          </w:p>
        </w:tc>
      </w:tr>
      <w:tr w:rsidR="00684265" w:rsidRPr="00360C69" w14:paraId="32B48484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773E2C4C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A6</w:t>
            </w:r>
          </w:p>
        </w:tc>
        <w:tc>
          <w:tcPr>
            <w:tcW w:w="5904" w:type="dxa"/>
            <w:vAlign w:val="center"/>
          </w:tcPr>
          <w:p w14:paraId="273653FA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Confirm dispatch/pre-dispatch PERIODTYPE behaviour.</w:t>
            </w:r>
          </w:p>
        </w:tc>
        <w:tc>
          <w:tcPr>
            <w:tcW w:w="1584" w:type="dxa"/>
            <w:vAlign w:val="center"/>
          </w:tcPr>
          <w:p w14:paraId="6A4054BE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Ashish</w:t>
            </w:r>
          </w:p>
        </w:tc>
        <w:tc>
          <w:tcPr>
            <w:tcW w:w="2304" w:type="dxa"/>
            <w:vAlign w:val="center"/>
          </w:tcPr>
          <w:p w14:paraId="40FFDC55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23 Aug.</w:t>
            </w:r>
          </w:p>
        </w:tc>
      </w:tr>
      <w:tr w:rsidR="00684265" w:rsidRPr="00360C69" w14:paraId="391E5F1B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524C9B69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A7</w:t>
            </w:r>
          </w:p>
        </w:tc>
        <w:tc>
          <w:tcPr>
            <w:tcW w:w="5904" w:type="dxa"/>
            <w:vAlign w:val="center"/>
          </w:tcPr>
          <w:p w14:paraId="5FF2F4B8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Prepare acquisition validation logic.</w:t>
            </w:r>
          </w:p>
        </w:tc>
        <w:tc>
          <w:tcPr>
            <w:tcW w:w="1584" w:type="dxa"/>
            <w:vAlign w:val="center"/>
          </w:tcPr>
          <w:p w14:paraId="06A30E10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Bishal</w:t>
            </w:r>
          </w:p>
        </w:tc>
        <w:tc>
          <w:tcPr>
            <w:tcW w:w="2304" w:type="dxa"/>
            <w:vAlign w:val="center"/>
          </w:tcPr>
          <w:p w14:paraId="385F3FC6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23 Aug.</w:t>
            </w:r>
          </w:p>
        </w:tc>
      </w:tr>
      <w:tr w:rsidR="00684265" w:rsidRPr="00360C69" w14:paraId="52D1E874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5D334FEB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A8</w:t>
            </w:r>
          </w:p>
        </w:tc>
        <w:tc>
          <w:tcPr>
            <w:tcW w:w="5904" w:type="dxa"/>
            <w:vAlign w:val="center"/>
          </w:tcPr>
          <w:p w14:paraId="148DE4A8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Bring source-specific modules for team integration.</w:t>
            </w:r>
          </w:p>
        </w:tc>
        <w:tc>
          <w:tcPr>
            <w:tcW w:w="1584" w:type="dxa"/>
            <w:vAlign w:val="center"/>
          </w:tcPr>
          <w:p w14:paraId="2289C54B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All</w:t>
            </w:r>
          </w:p>
        </w:tc>
        <w:tc>
          <w:tcPr>
            <w:tcW w:w="2304" w:type="dxa"/>
            <w:vAlign w:val="center"/>
          </w:tcPr>
          <w:p w14:paraId="1A6293EF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sz w:val="22"/>
              </w:rPr>
              <w:t>23 Aug.</w:t>
            </w:r>
          </w:p>
        </w:tc>
      </w:tr>
    </w:tbl>
    <w:p w14:paraId="59CF7F8F" w14:textId="77777777" w:rsidR="00684265" w:rsidRPr="00360C69" w:rsidRDefault="00684265">
      <w:pPr>
        <w:spacing w:after="20"/>
        <w:rPr>
          <w:rFonts w:ascii="Times New Roman" w:hAnsi="Times New Roman" w:cs="Times New Roman"/>
          <w:sz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444"/>
      </w:tblGrid>
      <w:tr w:rsidR="00684265" w:rsidRPr="00360C69" w14:paraId="033E1467" w14:textId="77777777">
        <w:trPr>
          <w:cantSplit/>
          <w:tblHeader/>
          <w:jc w:val="center"/>
        </w:trPr>
        <w:tc>
          <w:tcPr>
            <w:tcW w:w="10454" w:type="dxa"/>
            <w:shd w:val="clear" w:color="auto" w:fill="EAF2F8"/>
          </w:tcPr>
          <w:p w14:paraId="085D6D7D" w14:textId="77777777" w:rsidR="00684265" w:rsidRPr="00360C69" w:rsidRDefault="00000000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360C69">
              <w:rPr>
                <w:rFonts w:ascii="Times New Roman" w:hAnsi="Times New Roman" w:cs="Times New Roman"/>
                <w:b/>
                <w:sz w:val="22"/>
              </w:rPr>
              <w:t xml:space="preserve">Later closure for continuity. </w:t>
            </w:r>
            <w:r w:rsidRPr="00360C69">
              <w:rPr>
                <w:rFonts w:ascii="Times New Roman" w:hAnsi="Times New Roman" w:cs="Times New Roman"/>
                <w:sz w:val="22"/>
              </w:rPr>
              <w:t>The final WP1 implementation removed NT from the automated acquisition scope entirely and later replaced the original BOM weather path with Open-Meteo ERA5 historical reanalysis plus ECMWF IFS HRES seven-day forecast weather. Those later changes are documented in subsequent meetings rather than being retroactively treated as decisions made on 19 August.</w:t>
            </w:r>
          </w:p>
        </w:tc>
      </w:tr>
    </w:tbl>
    <w:p w14:paraId="7FA16B89" w14:textId="77777777" w:rsidR="00684265" w:rsidRPr="00360C69" w:rsidRDefault="00684265">
      <w:pPr>
        <w:spacing w:after="20"/>
        <w:rPr>
          <w:rFonts w:ascii="Times New Roman" w:hAnsi="Times New Roman" w:cs="Times New Roman"/>
          <w:sz w:val="22"/>
        </w:rPr>
      </w:pPr>
    </w:p>
    <w:p w14:paraId="6EA768D8" w14:textId="11697557" w:rsidR="00684265" w:rsidRPr="00360C69" w:rsidRDefault="00684265">
      <w:pPr>
        <w:rPr>
          <w:rFonts w:ascii="Times New Roman" w:hAnsi="Times New Roman" w:cs="Times New Roman"/>
          <w:sz w:val="22"/>
        </w:rPr>
      </w:pPr>
    </w:p>
    <w:sectPr w:rsidR="00684265" w:rsidRPr="00360C69" w:rsidSect="00034616">
      <w:footerReference w:type="default" r:id="rId8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ADD92" w14:textId="77777777" w:rsidR="005A455E" w:rsidRDefault="005A455E">
      <w:pPr>
        <w:spacing w:after="0" w:line="240" w:lineRule="auto"/>
      </w:pPr>
      <w:r>
        <w:separator/>
      </w:r>
    </w:p>
  </w:endnote>
  <w:endnote w:type="continuationSeparator" w:id="0">
    <w:p w14:paraId="4A32BB4F" w14:textId="77777777" w:rsidR="005A455E" w:rsidRDefault="005A4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677C8" w14:textId="77777777" w:rsidR="00684265" w:rsidRDefault="00000000">
    <w:pPr>
      <w:pStyle w:val="Footer"/>
      <w:jc w:val="right"/>
    </w:pPr>
    <w:r>
      <w:rPr>
        <w:rFonts w:ascii="Arial" w:hAnsi="Arial"/>
      </w:rPr>
      <w:t xml:space="preserve">PRT661 | Dan6: Theme 2 | Meeting 1 | Page </w:t>
    </w:r>
    <w:r>
      <w:fldChar w:fldCharType="begin"/>
    </w:r>
    <w:r>
      <w:instrText xml:space="preserve"> PAGE </w:instrText>
    </w:r>
    <w:r w:rsidR="00C67388">
      <w:fldChar w:fldCharType="separate"/>
    </w:r>
    <w:r w:rsidR="00C6738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3B412" w14:textId="77777777" w:rsidR="005A455E" w:rsidRDefault="005A455E">
      <w:pPr>
        <w:spacing w:after="0" w:line="240" w:lineRule="auto"/>
      </w:pPr>
      <w:r>
        <w:separator/>
      </w:r>
    </w:p>
  </w:footnote>
  <w:footnote w:type="continuationSeparator" w:id="0">
    <w:p w14:paraId="3BF7F2A7" w14:textId="77777777" w:rsidR="005A455E" w:rsidRDefault="005A45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8010089">
    <w:abstractNumId w:val="8"/>
  </w:num>
  <w:num w:numId="2" w16cid:durableId="1876885824">
    <w:abstractNumId w:val="6"/>
  </w:num>
  <w:num w:numId="3" w16cid:durableId="2122069787">
    <w:abstractNumId w:val="5"/>
  </w:num>
  <w:num w:numId="4" w16cid:durableId="1874226861">
    <w:abstractNumId w:val="4"/>
  </w:num>
  <w:num w:numId="5" w16cid:durableId="2116169756">
    <w:abstractNumId w:val="7"/>
  </w:num>
  <w:num w:numId="6" w16cid:durableId="622469335">
    <w:abstractNumId w:val="3"/>
  </w:num>
  <w:num w:numId="7" w16cid:durableId="1435515940">
    <w:abstractNumId w:val="2"/>
  </w:num>
  <w:num w:numId="8" w16cid:durableId="1581405498">
    <w:abstractNumId w:val="1"/>
  </w:num>
  <w:num w:numId="9" w16cid:durableId="542331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57CB"/>
    <w:rsid w:val="0015074B"/>
    <w:rsid w:val="0029639D"/>
    <w:rsid w:val="00326F90"/>
    <w:rsid w:val="00360C69"/>
    <w:rsid w:val="004F2887"/>
    <w:rsid w:val="005A455E"/>
    <w:rsid w:val="00684265"/>
    <w:rsid w:val="00AA1D8D"/>
    <w:rsid w:val="00B47730"/>
    <w:rsid w:val="00C6738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2405ED"/>
  <w14:defaultImageDpi w14:val="300"/>
  <w15:docId w15:val="{A32C2C5F-16F5-4369-BA02-72CD050B1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13376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496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3376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60"/>
    </w:pPr>
    <w:rPr>
      <w:rFonts w:ascii="Aptos" w:hAnsi="Aptos"/>
      <w:i/>
      <w:color w:val="505050"/>
      <w:sz w:val="17"/>
    </w:rPr>
  </w:style>
  <w:style w:type="paragraph" w:customStyle="1" w:styleId="Decision">
    <w:name w:val="Decision"/>
    <w:pPr>
      <w:spacing w:after="60"/>
      <w:ind w:left="216"/>
    </w:pPr>
    <w:rPr>
      <w:rFonts w:ascii="Aptos" w:hAnsi="Aptos"/>
      <w:b/>
      <w:color w:val="006100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676</Words>
  <Characters>3857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PRT661 Dan6 Meeting 1 - 19 Aug 2026</dc:title>
  <dc:subject>PRT661 Data Science Practice - Australian Electricity Demand Forecasting</dc:subject>
  <dc:creator>Dan6 Group</dc:creator>
  <cp:keywords>PRT661, Dan6, Meeting 1, 19 Aug 2026</cp:keywords>
  <dc:description>generated by python-docx</dc:description>
  <cp:lastModifiedBy>Ashish Shrestha</cp:lastModifiedBy>
  <cp:revision>4</cp:revision>
  <dcterms:created xsi:type="dcterms:W3CDTF">2026-09-15T07:26:00Z</dcterms:created>
  <dcterms:modified xsi:type="dcterms:W3CDTF">2026-09-15T07:26:00Z</dcterms:modified>
  <cp:category/>
</cp:coreProperties>
</file>