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2BAD" w14:textId="77777777" w:rsidR="00E42928" w:rsidRPr="004946F4" w:rsidRDefault="00000000" w:rsidP="004946F4">
      <w:pPr>
        <w:spacing w:after="60"/>
        <w:jc w:val="both"/>
        <w:rPr>
          <w:rFonts w:ascii="Times New Roman" w:hAnsi="Times New Roman" w:cs="Times New Roman"/>
          <w:sz w:val="22"/>
          <w:szCs w:val="22"/>
        </w:rPr>
      </w:pPr>
      <w:r w:rsidRPr="004946F4">
        <w:rPr>
          <w:rFonts w:ascii="Times New Roman" w:hAnsi="Times New Roman" w:cs="Times New Roman"/>
          <w:b/>
          <w:bCs/>
          <w:color w:val="1F3864"/>
          <w:sz w:val="22"/>
          <w:szCs w:val="22"/>
        </w:rPr>
        <w:t>PRT661 – Data Science Practice</w:t>
      </w:r>
    </w:p>
    <w:p w14:paraId="2DAA5B7F" w14:textId="4A9984DF" w:rsidR="00E42928" w:rsidRPr="004946F4" w:rsidRDefault="00000000" w:rsidP="004946F4">
      <w:pPr>
        <w:pBdr>
          <w:bottom w:val="single" w:sz="6" w:space="8" w:color="1F3864"/>
        </w:pBdr>
        <w:spacing w:after="260"/>
        <w:jc w:val="both"/>
        <w:rPr>
          <w:rFonts w:ascii="Times New Roman" w:hAnsi="Times New Roman" w:cs="Times New Roman"/>
          <w:sz w:val="22"/>
          <w:szCs w:val="22"/>
        </w:rPr>
      </w:pPr>
      <w:r w:rsidRPr="004946F4">
        <w:rPr>
          <w:rFonts w:ascii="Times New Roman" w:hAnsi="Times New Roman" w:cs="Times New Roman"/>
          <w:color w:val="444444"/>
          <w:sz w:val="22"/>
          <w:szCs w:val="22"/>
        </w:rPr>
        <w:t>Group 2 · Dan6: Theme 2 · Individual Work and Contribution Summary · WP3 Modelling · 3–</w:t>
      </w:r>
      <w:r w:rsidR="0056623A">
        <w:rPr>
          <w:rFonts w:ascii="Times New Roman" w:hAnsi="Times New Roman" w:cs="Times New Roman"/>
          <w:color w:val="444444"/>
          <w:sz w:val="22"/>
          <w:szCs w:val="22"/>
        </w:rPr>
        <w:t>12</w:t>
      </w:r>
      <w:r w:rsidRPr="004946F4">
        <w:rPr>
          <w:rFonts w:ascii="Times New Roman" w:hAnsi="Times New Roman" w:cs="Times New Roman"/>
          <w:color w:val="444444"/>
          <w:sz w:val="22"/>
          <w:szCs w:val="22"/>
        </w:rPr>
        <w:t xml:space="preserve"> September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42928" w:rsidRPr="004946F4" w14:paraId="29781C8A" w14:textId="77777777">
        <w:trPr>
          <w:tblHeader/>
        </w:trPr>
        <w:tc>
          <w:tcPr>
            <w:tcW w:w="2600" w:type="dxa"/>
            <w:shd w:val="clear" w:color="auto" w:fill="1F3864"/>
            <w:tcMar>
              <w:top w:w="70" w:type="dxa"/>
              <w:left w:w="100" w:type="dxa"/>
              <w:bottom w:w="70" w:type="dxa"/>
              <w:right w:w="100" w:type="dxa"/>
            </w:tcMar>
          </w:tcPr>
          <w:p w14:paraId="7B84F432"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Field</w:t>
            </w:r>
          </w:p>
        </w:tc>
        <w:tc>
          <w:tcPr>
            <w:tcW w:w="6760" w:type="dxa"/>
            <w:shd w:val="clear" w:color="auto" w:fill="1F3864"/>
            <w:tcMar>
              <w:top w:w="70" w:type="dxa"/>
              <w:left w:w="100" w:type="dxa"/>
              <w:bottom w:w="70" w:type="dxa"/>
              <w:right w:w="100" w:type="dxa"/>
            </w:tcMar>
          </w:tcPr>
          <w:p w14:paraId="369912EF"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Detail</w:t>
            </w:r>
          </w:p>
        </w:tc>
      </w:tr>
      <w:tr w:rsidR="00E42928" w:rsidRPr="004946F4" w14:paraId="48CC31B4" w14:textId="77777777">
        <w:tc>
          <w:tcPr>
            <w:tcW w:w="2600" w:type="dxa"/>
            <w:tcMar>
              <w:top w:w="70" w:type="dxa"/>
              <w:left w:w="100" w:type="dxa"/>
              <w:bottom w:w="70" w:type="dxa"/>
              <w:right w:w="100" w:type="dxa"/>
            </w:tcMar>
          </w:tcPr>
          <w:p w14:paraId="7FEB9912"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Name</w:t>
            </w:r>
          </w:p>
        </w:tc>
        <w:tc>
          <w:tcPr>
            <w:tcW w:w="6760" w:type="dxa"/>
            <w:tcMar>
              <w:top w:w="70" w:type="dxa"/>
              <w:left w:w="100" w:type="dxa"/>
              <w:bottom w:w="70" w:type="dxa"/>
              <w:right w:w="100" w:type="dxa"/>
            </w:tcMar>
          </w:tcPr>
          <w:p w14:paraId="0C5C378F"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Suraj Raut</w:t>
            </w:r>
          </w:p>
        </w:tc>
      </w:tr>
      <w:tr w:rsidR="00E42928" w:rsidRPr="004946F4" w14:paraId="6ADEEB50" w14:textId="77777777">
        <w:tc>
          <w:tcPr>
            <w:tcW w:w="2600" w:type="dxa"/>
            <w:shd w:val="clear" w:color="auto" w:fill="F2F2F2"/>
            <w:tcMar>
              <w:top w:w="70" w:type="dxa"/>
              <w:left w:w="100" w:type="dxa"/>
              <w:bottom w:w="70" w:type="dxa"/>
              <w:right w:w="100" w:type="dxa"/>
            </w:tcMar>
          </w:tcPr>
          <w:p w14:paraId="5C9BAE8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Student ID</w:t>
            </w:r>
          </w:p>
        </w:tc>
        <w:tc>
          <w:tcPr>
            <w:tcW w:w="6760" w:type="dxa"/>
            <w:shd w:val="clear" w:color="auto" w:fill="F2F2F2"/>
            <w:tcMar>
              <w:top w:w="70" w:type="dxa"/>
              <w:left w:w="100" w:type="dxa"/>
              <w:bottom w:w="70" w:type="dxa"/>
              <w:right w:w="100" w:type="dxa"/>
            </w:tcMar>
          </w:tcPr>
          <w:p w14:paraId="5B83D067"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S391201</w:t>
            </w:r>
          </w:p>
        </w:tc>
      </w:tr>
      <w:tr w:rsidR="00E42928" w:rsidRPr="004946F4" w14:paraId="4A836AA0" w14:textId="77777777">
        <w:tc>
          <w:tcPr>
            <w:tcW w:w="2600" w:type="dxa"/>
            <w:tcMar>
              <w:top w:w="70" w:type="dxa"/>
              <w:left w:w="100" w:type="dxa"/>
              <w:bottom w:w="70" w:type="dxa"/>
              <w:right w:w="100" w:type="dxa"/>
            </w:tcMar>
          </w:tcPr>
          <w:p w14:paraId="04F64B7C"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Role (Assessment 1, Table 2)</w:t>
            </w:r>
          </w:p>
        </w:tc>
        <w:tc>
          <w:tcPr>
            <w:tcW w:w="6760" w:type="dxa"/>
            <w:tcMar>
              <w:top w:w="70" w:type="dxa"/>
              <w:left w:w="100" w:type="dxa"/>
              <w:bottom w:w="70" w:type="dxa"/>
              <w:right w:w="100" w:type="dxa"/>
            </w:tcMar>
          </w:tcPr>
          <w:p w14:paraId="77BA8B6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Data Engineering Lead</w:t>
            </w:r>
          </w:p>
        </w:tc>
      </w:tr>
      <w:tr w:rsidR="00E42928" w:rsidRPr="004946F4" w14:paraId="651C7010" w14:textId="77777777">
        <w:tc>
          <w:tcPr>
            <w:tcW w:w="2600" w:type="dxa"/>
            <w:shd w:val="clear" w:color="auto" w:fill="F2F2F2"/>
            <w:tcMar>
              <w:top w:w="70" w:type="dxa"/>
              <w:left w:w="100" w:type="dxa"/>
              <w:bottom w:w="70" w:type="dxa"/>
              <w:right w:w="100" w:type="dxa"/>
            </w:tcMar>
          </w:tcPr>
          <w:p w14:paraId="2E9E658D"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WS3 module owned</w:t>
            </w:r>
          </w:p>
        </w:tc>
        <w:tc>
          <w:tcPr>
            <w:tcW w:w="6760" w:type="dxa"/>
            <w:shd w:val="clear" w:color="auto" w:fill="F2F2F2"/>
            <w:tcMar>
              <w:top w:w="70" w:type="dxa"/>
              <w:left w:w="100" w:type="dxa"/>
              <w:bottom w:w="70" w:type="dxa"/>
              <w:right w:w="100" w:type="dxa"/>
            </w:tcMar>
          </w:tcPr>
          <w:p w14:paraId="0DAA9B82"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wp3/splits.py</w:t>
            </w:r>
          </w:p>
        </w:tc>
      </w:tr>
      <w:tr w:rsidR="00E42928" w:rsidRPr="004946F4" w14:paraId="450B4B36" w14:textId="77777777">
        <w:tc>
          <w:tcPr>
            <w:tcW w:w="2600" w:type="dxa"/>
            <w:tcMar>
              <w:top w:w="70" w:type="dxa"/>
              <w:left w:w="100" w:type="dxa"/>
              <w:bottom w:w="70" w:type="dxa"/>
              <w:right w:w="100" w:type="dxa"/>
            </w:tcMar>
          </w:tcPr>
          <w:p w14:paraId="0F040B9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Action from 3 Sep register</w:t>
            </w:r>
          </w:p>
        </w:tc>
        <w:tc>
          <w:tcPr>
            <w:tcW w:w="6760" w:type="dxa"/>
            <w:tcMar>
              <w:top w:w="70" w:type="dxa"/>
              <w:left w:w="100" w:type="dxa"/>
              <w:bottom w:w="70" w:type="dxa"/>
              <w:right w:w="100" w:type="dxa"/>
            </w:tcMar>
          </w:tcPr>
          <w:p w14:paraId="293DDB1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M1 — chronological training/validation/test partitions with no shuffling</w:t>
            </w:r>
          </w:p>
        </w:tc>
      </w:tr>
      <w:tr w:rsidR="00E42928" w:rsidRPr="004946F4" w14:paraId="6F80F2B6" w14:textId="77777777">
        <w:tc>
          <w:tcPr>
            <w:tcW w:w="2600" w:type="dxa"/>
            <w:shd w:val="clear" w:color="auto" w:fill="F2F2F2"/>
            <w:tcMar>
              <w:top w:w="70" w:type="dxa"/>
              <w:left w:w="100" w:type="dxa"/>
              <w:bottom w:w="70" w:type="dxa"/>
              <w:right w:w="100" w:type="dxa"/>
            </w:tcMar>
          </w:tcPr>
          <w:p w14:paraId="5D513D7E"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Work package</w:t>
            </w:r>
          </w:p>
        </w:tc>
        <w:tc>
          <w:tcPr>
            <w:tcW w:w="6760" w:type="dxa"/>
            <w:shd w:val="clear" w:color="auto" w:fill="F2F2F2"/>
            <w:tcMar>
              <w:top w:w="70" w:type="dxa"/>
              <w:left w:w="100" w:type="dxa"/>
              <w:bottom w:w="70" w:type="dxa"/>
              <w:right w:w="100" w:type="dxa"/>
            </w:tcMar>
          </w:tcPr>
          <w:p w14:paraId="10B0F3AD"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WP3 — Modelling and Forecasting</w:t>
            </w:r>
          </w:p>
        </w:tc>
      </w:tr>
      <w:tr w:rsidR="00E42928" w:rsidRPr="004946F4" w14:paraId="3B28F6C9" w14:textId="77777777">
        <w:tc>
          <w:tcPr>
            <w:tcW w:w="2600" w:type="dxa"/>
            <w:tcMar>
              <w:top w:w="70" w:type="dxa"/>
              <w:left w:w="100" w:type="dxa"/>
              <w:bottom w:w="70" w:type="dxa"/>
              <w:right w:w="100" w:type="dxa"/>
            </w:tcMar>
          </w:tcPr>
          <w:p w14:paraId="40EC192B"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Status</w:t>
            </w:r>
          </w:p>
        </w:tc>
        <w:tc>
          <w:tcPr>
            <w:tcW w:w="6760" w:type="dxa"/>
            <w:tcMar>
              <w:top w:w="70" w:type="dxa"/>
              <w:left w:w="100" w:type="dxa"/>
              <w:bottom w:w="70" w:type="dxa"/>
              <w:right w:w="100" w:type="dxa"/>
            </w:tcMar>
          </w:tcPr>
          <w:p w14:paraId="3C8E5393"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Assessment 2 draft complete, executed and verified</w:t>
            </w:r>
          </w:p>
        </w:tc>
      </w:tr>
      <w:tr w:rsidR="00E42928" w:rsidRPr="004946F4" w14:paraId="3F0FD591" w14:textId="77777777">
        <w:tc>
          <w:tcPr>
            <w:tcW w:w="2600" w:type="dxa"/>
            <w:shd w:val="clear" w:color="auto" w:fill="F2F2F2"/>
            <w:tcMar>
              <w:top w:w="70" w:type="dxa"/>
              <w:left w:w="100" w:type="dxa"/>
              <w:bottom w:w="70" w:type="dxa"/>
              <w:right w:w="100" w:type="dxa"/>
            </w:tcMar>
          </w:tcPr>
          <w:p w14:paraId="2D904254"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Meetings attended</w:t>
            </w:r>
          </w:p>
        </w:tc>
        <w:tc>
          <w:tcPr>
            <w:tcW w:w="6760" w:type="dxa"/>
            <w:shd w:val="clear" w:color="auto" w:fill="F2F2F2"/>
            <w:tcMar>
              <w:top w:w="70" w:type="dxa"/>
              <w:left w:w="100" w:type="dxa"/>
              <w:bottom w:w="70" w:type="dxa"/>
              <w:right w:w="100" w:type="dxa"/>
            </w:tcMar>
          </w:tcPr>
          <w:p w14:paraId="124D6B08" w14:textId="78A1D022" w:rsidR="00E42928" w:rsidRPr="00674666" w:rsidRDefault="00000000" w:rsidP="004946F4">
            <w:pPr>
              <w:jc w:val="both"/>
              <w:rPr>
                <w:rFonts w:ascii="Times New Roman" w:hAnsi="Times New Roman" w:cs="Times New Roman"/>
                <w:color w:val="000000"/>
                <w:sz w:val="22"/>
                <w:szCs w:val="22"/>
              </w:rPr>
            </w:pPr>
            <w:r w:rsidRPr="004946F4">
              <w:rPr>
                <w:rFonts w:ascii="Times New Roman" w:hAnsi="Times New Roman" w:cs="Times New Roman"/>
                <w:color w:val="000000"/>
                <w:sz w:val="22"/>
                <w:szCs w:val="22"/>
              </w:rPr>
              <w:t>10 Sep 11:30–14:00 · 1</w:t>
            </w:r>
            <w:r w:rsidR="000A3E7C">
              <w:rPr>
                <w:rFonts w:ascii="Times New Roman" w:hAnsi="Times New Roman" w:cs="Times New Roman"/>
                <w:color w:val="000000"/>
                <w:sz w:val="22"/>
                <w:szCs w:val="22"/>
              </w:rPr>
              <w:t>2</w:t>
            </w:r>
            <w:r w:rsidRPr="004946F4">
              <w:rPr>
                <w:rFonts w:ascii="Times New Roman" w:hAnsi="Times New Roman" w:cs="Times New Roman"/>
                <w:color w:val="000000"/>
                <w:sz w:val="22"/>
                <w:szCs w:val="22"/>
              </w:rPr>
              <w:t xml:space="preserve"> Sep 9:00–</w:t>
            </w:r>
            <w:r w:rsidR="00674666">
              <w:rPr>
                <w:rFonts w:ascii="Times New Roman" w:hAnsi="Times New Roman" w:cs="Times New Roman"/>
                <w:color w:val="000000"/>
                <w:sz w:val="22"/>
                <w:szCs w:val="22"/>
              </w:rPr>
              <w:t>12</w:t>
            </w:r>
            <w:r w:rsidRPr="004946F4">
              <w:rPr>
                <w:rFonts w:ascii="Times New Roman" w:hAnsi="Times New Roman" w:cs="Times New Roman"/>
                <w:color w:val="000000"/>
                <w:sz w:val="22"/>
                <w:szCs w:val="22"/>
              </w:rPr>
              <w:t>:00</w:t>
            </w:r>
            <w:r w:rsidR="00674666">
              <w:rPr>
                <w:rFonts w:ascii="Times New Roman" w:hAnsi="Times New Roman" w:cs="Times New Roman"/>
                <w:color w:val="000000"/>
                <w:sz w:val="22"/>
                <w:szCs w:val="22"/>
              </w:rPr>
              <w:t xml:space="preserve"> PM</w:t>
            </w:r>
            <w:r w:rsidRPr="004946F4">
              <w:rPr>
                <w:rFonts w:ascii="Times New Roman" w:hAnsi="Times New Roman" w:cs="Times New Roman"/>
                <w:color w:val="000000"/>
                <w:sz w:val="22"/>
                <w:szCs w:val="22"/>
              </w:rPr>
              <w:t xml:space="preserve"> (both)</w:t>
            </w:r>
          </w:p>
        </w:tc>
      </w:tr>
    </w:tbl>
    <w:p w14:paraId="5D80F656"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1. What I was responsible for</w:t>
      </w:r>
    </w:p>
    <w:p w14:paraId="37773934" w14:textId="015BFE70"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 xml:space="preserve">How the data is divided for training and evaluation. Assessment 1 Section 7 requires strictly chronological walk-forward validation per region, so my module </w:t>
      </w:r>
      <w:r w:rsidR="00C34B48" w:rsidRPr="004946F4">
        <w:rPr>
          <w:rFonts w:ascii="Times New Roman" w:hAnsi="Times New Roman" w:cs="Times New Roman"/>
          <w:sz w:val="22"/>
          <w:szCs w:val="22"/>
        </w:rPr>
        <w:t>must</w:t>
      </w:r>
      <w:r w:rsidRPr="004946F4">
        <w:rPr>
          <w:rFonts w:ascii="Times New Roman" w:hAnsi="Times New Roman" w:cs="Times New Roman"/>
          <w:sz w:val="22"/>
          <w:szCs w:val="22"/>
        </w:rPr>
        <w:t xml:space="preserve"> make an accidental shuffle impossible rather than merely discouraged.</w:t>
      </w:r>
    </w:p>
    <w:p w14:paraId="73DA524F"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2. What I built</w:t>
      </w:r>
    </w:p>
    <w:p w14:paraId="19949969"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Expanding-window walk-forward folds: fold k trains on everything before its origin and forecasts the next 28 days, with the origin advancing by one test window each fold.</w:t>
      </w:r>
    </w:p>
    <w:p w14:paraId="74CE1C98"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A chronological holdout split for quick iteration, kept contiguous and ordered.</w:t>
      </w:r>
    </w:p>
    <w:p w14:paraId="222BF00D"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verify_no_overlap(), which confirms on timestamps rather than row positions that every training window ends before its test window begins.</w:t>
      </w:r>
    </w:p>
    <w:p w14:paraId="0AA4EDE1"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drop_warmup(), which removes rows where the target or a required feature is still NaN and reports the count rather than absorbing it.</w:t>
      </w:r>
    </w:p>
    <w:p w14:paraId="74468B54"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The split summary table recording rows, period and days for every partition.</w:t>
      </w:r>
    </w:p>
    <w:p w14:paraId="515C175E"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3. Problems I hit and how I solved them</w:t>
      </w:r>
    </w:p>
    <w:p w14:paraId="54F942BF"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b/>
          <w:bCs/>
          <w:sz w:val="22"/>
          <w:szCs w:val="22"/>
        </w:rPr>
        <w:t>3.1 Fold placement changes which behaviour gets evaluated</w:t>
      </w:r>
    </w:p>
    <w:p w14:paraId="79826BCE"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Problem. My first version placed folds from the start of the series forward, which left the most recent months outside the evaluation entirely. For a project forecasting 2026 that is the wrong way round — the recent data is the part that matters most.</w:t>
      </w:r>
    </w:p>
    <w:p w14:paraId="1B6EB68C"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What I did. I anchored the last fold to end at the final observation and walked backwards from there, so the evaluation window always finishes at the data cutoff.</w:t>
      </w:r>
    </w:p>
    <w:p w14:paraId="015DE451"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Result. The four NSW1 folds now cover 24 May to 13 September 2026, with training windows growing from 76,656 to 80,688 rows. The most recent four weeks are inside the evaluation rather than discarded.</w:t>
      </w:r>
    </w:p>
    <w:p w14:paraId="0A0CA789"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b/>
          <w:bCs/>
          <w:sz w:val="22"/>
          <w:szCs w:val="22"/>
        </w:rPr>
        <w:t>3.2 Verifying the split on positions would not have been enough</w:t>
      </w:r>
    </w:p>
    <w:p w14:paraId="2283D76A"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Problem. Checking that train indices are lower than test indices proves nothing if the index has a gap — and WA has a genuine 16-interval gap at the market cutover carried forward from WP2.</w:t>
      </w:r>
    </w:p>
    <w:p w14:paraId="36EBB5AB"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lastRenderedPageBreak/>
        <w:t>What I did. verify_no_overlap() compares the actual timestamps at the boundary instead of the row numbers.</w:t>
      </w:r>
    </w:p>
    <w:p w14:paraId="0BA52D24"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Result. 24 of 24 integrity checks pass across six regions, and the check would still catch an overlap in a region whose index is not contiguous.</w:t>
      </w:r>
    </w:p>
    <w:p w14:paraId="5AC168F0"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b/>
          <w:bCs/>
          <w:sz w:val="22"/>
          <w:szCs w:val="22"/>
        </w:rPr>
        <w:t>3.3 Warm-up rows</w:t>
      </w:r>
    </w:p>
    <w:p w14:paraId="48E39521"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Problem. The processed files deliberately retain warm-up rows where lag_336 is still NaN. Fitting on them would fail; dropping them quietly would misstate how much data each model actually saw.</w:t>
      </w:r>
    </w:p>
    <w:p w14:paraId="5DDCF9F0"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What I did. I made the drop explicit and reported the count per region in the split summary.</w:t>
      </w:r>
    </w:p>
    <w:p w14:paraId="016D5C0F"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Result. 336 rows per NEM region and 433 for WA, matching the training-ready counts WP2 published — which also served as an independent cross-check that the two stages agree.</w:t>
      </w:r>
    </w:p>
    <w:p w14:paraId="5B716631"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4. Evidence from the verified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42928" w:rsidRPr="004946F4" w14:paraId="4C866E1C" w14:textId="77777777">
        <w:trPr>
          <w:tblHeader/>
        </w:trPr>
        <w:tc>
          <w:tcPr>
            <w:tcW w:w="4200" w:type="dxa"/>
            <w:shd w:val="clear" w:color="auto" w:fill="1F3864"/>
            <w:tcMar>
              <w:top w:w="70" w:type="dxa"/>
              <w:left w:w="100" w:type="dxa"/>
              <w:bottom w:w="70" w:type="dxa"/>
              <w:right w:w="100" w:type="dxa"/>
            </w:tcMar>
          </w:tcPr>
          <w:p w14:paraId="286A4F3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Measure</w:t>
            </w:r>
          </w:p>
        </w:tc>
        <w:tc>
          <w:tcPr>
            <w:tcW w:w="5160" w:type="dxa"/>
            <w:shd w:val="clear" w:color="auto" w:fill="1F3864"/>
            <w:tcMar>
              <w:top w:w="70" w:type="dxa"/>
              <w:left w:w="100" w:type="dxa"/>
              <w:bottom w:w="70" w:type="dxa"/>
              <w:right w:w="100" w:type="dxa"/>
            </w:tcMar>
          </w:tcPr>
          <w:p w14:paraId="116E38D1"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Value</w:t>
            </w:r>
          </w:p>
        </w:tc>
      </w:tr>
      <w:tr w:rsidR="00E42928" w:rsidRPr="004946F4" w14:paraId="7D2463D3" w14:textId="77777777">
        <w:tc>
          <w:tcPr>
            <w:tcW w:w="4200" w:type="dxa"/>
            <w:tcMar>
              <w:top w:w="70" w:type="dxa"/>
              <w:left w:w="100" w:type="dxa"/>
              <w:bottom w:w="70" w:type="dxa"/>
              <w:right w:w="100" w:type="dxa"/>
            </w:tcMar>
          </w:tcPr>
          <w:p w14:paraId="5C3B0D40"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Folds per region</w:t>
            </w:r>
          </w:p>
        </w:tc>
        <w:tc>
          <w:tcPr>
            <w:tcW w:w="5160" w:type="dxa"/>
            <w:tcMar>
              <w:top w:w="70" w:type="dxa"/>
              <w:left w:w="100" w:type="dxa"/>
              <w:bottom w:w="70" w:type="dxa"/>
              <w:right w:w="100" w:type="dxa"/>
            </w:tcMar>
          </w:tcPr>
          <w:p w14:paraId="60782B5C"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4, each forecasting 28 days</w:t>
            </w:r>
          </w:p>
        </w:tc>
      </w:tr>
      <w:tr w:rsidR="00E42928" w:rsidRPr="004946F4" w14:paraId="2271F991" w14:textId="77777777">
        <w:tc>
          <w:tcPr>
            <w:tcW w:w="4200" w:type="dxa"/>
            <w:shd w:val="clear" w:color="auto" w:fill="F2F2F2"/>
            <w:tcMar>
              <w:top w:w="70" w:type="dxa"/>
              <w:left w:w="100" w:type="dxa"/>
              <w:bottom w:w="70" w:type="dxa"/>
              <w:right w:w="100" w:type="dxa"/>
            </w:tcMar>
          </w:tcPr>
          <w:p w14:paraId="78169C12"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Fold integrity checks</w:t>
            </w:r>
          </w:p>
        </w:tc>
        <w:tc>
          <w:tcPr>
            <w:tcW w:w="5160" w:type="dxa"/>
            <w:shd w:val="clear" w:color="auto" w:fill="F2F2F2"/>
            <w:tcMar>
              <w:top w:w="70" w:type="dxa"/>
              <w:left w:w="100" w:type="dxa"/>
              <w:bottom w:w="70" w:type="dxa"/>
              <w:right w:w="100" w:type="dxa"/>
            </w:tcMar>
          </w:tcPr>
          <w:p w14:paraId="166E59A6"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24 / 24 PASS</w:t>
            </w:r>
          </w:p>
        </w:tc>
      </w:tr>
      <w:tr w:rsidR="00E42928" w:rsidRPr="004946F4" w14:paraId="1FE134EE" w14:textId="77777777">
        <w:tc>
          <w:tcPr>
            <w:tcW w:w="4200" w:type="dxa"/>
            <w:tcMar>
              <w:top w:w="70" w:type="dxa"/>
              <w:left w:w="100" w:type="dxa"/>
              <w:bottom w:w="70" w:type="dxa"/>
              <w:right w:w="100" w:type="dxa"/>
            </w:tcMar>
          </w:tcPr>
          <w:p w14:paraId="097FF55D"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NSW1 training window growth</w:t>
            </w:r>
          </w:p>
        </w:tc>
        <w:tc>
          <w:tcPr>
            <w:tcW w:w="5160" w:type="dxa"/>
            <w:tcMar>
              <w:top w:w="70" w:type="dxa"/>
              <w:left w:w="100" w:type="dxa"/>
              <w:bottom w:w="70" w:type="dxa"/>
              <w:right w:w="100" w:type="dxa"/>
            </w:tcMar>
          </w:tcPr>
          <w:p w14:paraId="0CF4A16B"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76,656 → 80,688 rows across folds</w:t>
            </w:r>
          </w:p>
        </w:tc>
      </w:tr>
      <w:tr w:rsidR="00E42928" w:rsidRPr="004946F4" w14:paraId="18256661" w14:textId="77777777">
        <w:tc>
          <w:tcPr>
            <w:tcW w:w="4200" w:type="dxa"/>
            <w:shd w:val="clear" w:color="auto" w:fill="F2F2F2"/>
            <w:tcMar>
              <w:top w:w="70" w:type="dxa"/>
              <w:left w:w="100" w:type="dxa"/>
              <w:bottom w:w="70" w:type="dxa"/>
              <w:right w:w="100" w:type="dxa"/>
            </w:tcMar>
          </w:tcPr>
          <w:p w14:paraId="1DB844A3"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Evaluation period</w:t>
            </w:r>
          </w:p>
        </w:tc>
        <w:tc>
          <w:tcPr>
            <w:tcW w:w="5160" w:type="dxa"/>
            <w:shd w:val="clear" w:color="auto" w:fill="F2F2F2"/>
            <w:tcMar>
              <w:top w:w="70" w:type="dxa"/>
              <w:left w:w="100" w:type="dxa"/>
              <w:bottom w:w="70" w:type="dxa"/>
              <w:right w:w="100" w:type="dxa"/>
            </w:tcMar>
          </w:tcPr>
          <w:p w14:paraId="412DE134"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24 May – 13 September 2026</w:t>
            </w:r>
          </w:p>
        </w:tc>
      </w:tr>
      <w:tr w:rsidR="00E42928" w:rsidRPr="004946F4" w14:paraId="20DEA8E7" w14:textId="77777777">
        <w:tc>
          <w:tcPr>
            <w:tcW w:w="4200" w:type="dxa"/>
            <w:tcMar>
              <w:top w:w="70" w:type="dxa"/>
              <w:left w:w="100" w:type="dxa"/>
              <w:bottom w:w="70" w:type="dxa"/>
              <w:right w:w="100" w:type="dxa"/>
            </w:tcMar>
          </w:tcPr>
          <w:p w14:paraId="6DD54C96"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Warm-up rows dropped</w:t>
            </w:r>
          </w:p>
        </w:tc>
        <w:tc>
          <w:tcPr>
            <w:tcW w:w="5160" w:type="dxa"/>
            <w:tcMar>
              <w:top w:w="70" w:type="dxa"/>
              <w:left w:w="100" w:type="dxa"/>
              <w:bottom w:w="70" w:type="dxa"/>
              <w:right w:w="100" w:type="dxa"/>
            </w:tcMar>
          </w:tcPr>
          <w:p w14:paraId="2AE7FCEC"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336 per NEM region; 433 for WA</w:t>
            </w:r>
          </w:p>
        </w:tc>
      </w:tr>
      <w:tr w:rsidR="00E42928" w:rsidRPr="004946F4" w14:paraId="035B5D4A" w14:textId="77777777">
        <w:tc>
          <w:tcPr>
            <w:tcW w:w="4200" w:type="dxa"/>
            <w:shd w:val="clear" w:color="auto" w:fill="F2F2F2"/>
            <w:tcMar>
              <w:top w:w="70" w:type="dxa"/>
              <w:left w:w="100" w:type="dxa"/>
              <w:bottom w:w="70" w:type="dxa"/>
              <w:right w:w="100" w:type="dxa"/>
            </w:tcMar>
          </w:tcPr>
          <w:p w14:paraId="19025E1E"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Shuffling or sampling used</w:t>
            </w:r>
          </w:p>
        </w:tc>
        <w:tc>
          <w:tcPr>
            <w:tcW w:w="5160" w:type="dxa"/>
            <w:shd w:val="clear" w:color="auto" w:fill="F2F2F2"/>
            <w:tcMar>
              <w:top w:w="70" w:type="dxa"/>
              <w:left w:w="100" w:type="dxa"/>
              <w:bottom w:w="70" w:type="dxa"/>
              <w:right w:w="100" w:type="dxa"/>
            </w:tcMar>
          </w:tcPr>
          <w:p w14:paraId="0AE16138"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None — every split is a contiguous slice of time</w:t>
            </w:r>
          </w:p>
        </w:tc>
      </w:tr>
    </w:tbl>
    <w:p w14:paraId="63169F58"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5. Where I depended on the team</w:t>
      </w:r>
    </w:p>
    <w:p w14:paraId="75EBED66"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Ashish's horizon contract told me which features drop_warmup() had to treat as required; the warm-up length depends on the longest lag in use.</w:t>
      </w:r>
    </w:p>
    <w:p w14:paraId="76FF5A9C"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Sudip's cutoff detection confirmed the final fold really does end at the data boundary rather than at a stale timestamp.</w:t>
      </w:r>
    </w:p>
    <w:p w14:paraId="3D441CEA"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Bishal's per-fold reporting made the variation between folds visible, which is what showed my fold placement mattered.</w:t>
      </w:r>
    </w:p>
    <w:p w14:paraId="79161BCA"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6. Where I supported others</w:t>
      </w:r>
    </w:p>
    <w:p w14:paraId="60350BF7"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Proposed the fold anchoring after reviewing Ashish's first results, where the recent months were missing from the evaluation.</w:t>
      </w:r>
    </w:p>
    <w:p w14:paraId="6E18FF09"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Reviewed Sudip's readiness module and asked for the cutoff to be carried into every output table rather than logged once.</w:t>
      </w:r>
    </w:p>
    <w:p w14:paraId="4FFCE338" w14:textId="77777777" w:rsidR="00E42928" w:rsidRPr="004946F4" w:rsidRDefault="00000000" w:rsidP="004946F4">
      <w:pPr>
        <w:pStyle w:val="ListParagraph"/>
        <w:numPr>
          <w:ilvl w:val="0"/>
          <w:numId w:val="2"/>
        </w:numPr>
        <w:spacing w:after="70" w:line="276" w:lineRule="auto"/>
        <w:jc w:val="both"/>
        <w:rPr>
          <w:rFonts w:ascii="Times New Roman" w:hAnsi="Times New Roman" w:cs="Times New Roman"/>
          <w:sz w:val="22"/>
          <w:szCs w:val="22"/>
        </w:rPr>
      </w:pPr>
      <w:r w:rsidRPr="004946F4">
        <w:rPr>
          <w:rFonts w:ascii="Times New Roman" w:hAnsi="Times New Roman" w:cs="Times New Roman"/>
          <w:sz w:val="22"/>
          <w:szCs w:val="22"/>
        </w:rPr>
        <w:t>Confirmed after the merge that results were identical to the pre-merge run.</w:t>
      </w:r>
    </w:p>
    <w:p w14:paraId="33A5CB5D"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7.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42928" w:rsidRPr="004946F4" w14:paraId="27F0399D" w14:textId="77777777">
        <w:trPr>
          <w:tblHeader/>
        </w:trPr>
        <w:tc>
          <w:tcPr>
            <w:tcW w:w="3400" w:type="dxa"/>
            <w:shd w:val="clear" w:color="auto" w:fill="1F3864"/>
            <w:tcMar>
              <w:top w:w="70" w:type="dxa"/>
              <w:left w:w="100" w:type="dxa"/>
              <w:bottom w:w="70" w:type="dxa"/>
              <w:right w:w="100" w:type="dxa"/>
            </w:tcMar>
          </w:tcPr>
          <w:p w14:paraId="7A777776"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Artefact</w:t>
            </w:r>
          </w:p>
        </w:tc>
        <w:tc>
          <w:tcPr>
            <w:tcW w:w="5960" w:type="dxa"/>
            <w:shd w:val="clear" w:color="auto" w:fill="1F3864"/>
            <w:tcMar>
              <w:top w:w="70" w:type="dxa"/>
              <w:left w:w="100" w:type="dxa"/>
              <w:bottom w:w="70" w:type="dxa"/>
              <w:right w:w="100" w:type="dxa"/>
            </w:tcMar>
          </w:tcPr>
          <w:p w14:paraId="542EF169"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b/>
                <w:bCs/>
                <w:color w:val="FFFFFF"/>
                <w:sz w:val="22"/>
                <w:szCs w:val="22"/>
              </w:rPr>
              <w:t>Location</w:t>
            </w:r>
          </w:p>
        </w:tc>
      </w:tr>
      <w:tr w:rsidR="00E42928" w:rsidRPr="004946F4" w14:paraId="42ED67C2" w14:textId="77777777">
        <w:tc>
          <w:tcPr>
            <w:tcW w:w="3400" w:type="dxa"/>
            <w:tcMar>
              <w:top w:w="70" w:type="dxa"/>
              <w:left w:w="100" w:type="dxa"/>
              <w:bottom w:w="70" w:type="dxa"/>
              <w:right w:w="100" w:type="dxa"/>
            </w:tcMar>
          </w:tcPr>
          <w:p w14:paraId="45DF082A"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Module</w:t>
            </w:r>
          </w:p>
        </w:tc>
        <w:tc>
          <w:tcPr>
            <w:tcW w:w="5960" w:type="dxa"/>
            <w:tcMar>
              <w:top w:w="70" w:type="dxa"/>
              <w:left w:w="100" w:type="dxa"/>
              <w:bottom w:w="70" w:type="dxa"/>
              <w:right w:w="100" w:type="dxa"/>
            </w:tcMar>
          </w:tcPr>
          <w:p w14:paraId="1848FBB7"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wp3/splits.py</w:t>
            </w:r>
          </w:p>
        </w:tc>
      </w:tr>
      <w:tr w:rsidR="00E42928" w:rsidRPr="004946F4" w14:paraId="5E19E180" w14:textId="77777777">
        <w:tc>
          <w:tcPr>
            <w:tcW w:w="3400" w:type="dxa"/>
            <w:shd w:val="clear" w:color="auto" w:fill="F2F2F2"/>
            <w:tcMar>
              <w:top w:w="70" w:type="dxa"/>
              <w:left w:w="100" w:type="dxa"/>
              <w:bottom w:w="70" w:type="dxa"/>
              <w:right w:w="100" w:type="dxa"/>
            </w:tcMar>
          </w:tcPr>
          <w:p w14:paraId="28B253DF"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Results</w:t>
            </w:r>
          </w:p>
        </w:tc>
        <w:tc>
          <w:tcPr>
            <w:tcW w:w="5960" w:type="dxa"/>
            <w:shd w:val="clear" w:color="auto" w:fill="F2F2F2"/>
            <w:tcMar>
              <w:top w:w="70" w:type="dxa"/>
              <w:left w:w="100" w:type="dxa"/>
              <w:bottom w:w="70" w:type="dxa"/>
              <w:right w:w="100" w:type="dxa"/>
            </w:tcMar>
          </w:tcPr>
          <w:p w14:paraId="5C48560C"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results/split_summary.csv</w:t>
            </w:r>
          </w:p>
        </w:tc>
      </w:tr>
      <w:tr w:rsidR="00E42928" w:rsidRPr="004946F4" w14:paraId="6A44414B" w14:textId="77777777">
        <w:tc>
          <w:tcPr>
            <w:tcW w:w="3400" w:type="dxa"/>
            <w:tcMar>
              <w:top w:w="70" w:type="dxa"/>
              <w:left w:w="100" w:type="dxa"/>
              <w:bottom w:w="70" w:type="dxa"/>
              <w:right w:w="100" w:type="dxa"/>
            </w:tcMar>
          </w:tcPr>
          <w:p w14:paraId="21ECCEDB"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Results</w:t>
            </w:r>
          </w:p>
        </w:tc>
        <w:tc>
          <w:tcPr>
            <w:tcW w:w="5960" w:type="dxa"/>
            <w:tcMar>
              <w:top w:w="70" w:type="dxa"/>
              <w:left w:w="100" w:type="dxa"/>
              <w:bottom w:w="70" w:type="dxa"/>
              <w:right w:w="100" w:type="dxa"/>
            </w:tcMar>
          </w:tcPr>
          <w:p w14:paraId="14C87BDB"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results/fold_integrity.csv</w:t>
            </w:r>
          </w:p>
        </w:tc>
      </w:tr>
      <w:tr w:rsidR="00E42928" w:rsidRPr="004946F4" w14:paraId="4957BBAA" w14:textId="77777777">
        <w:tc>
          <w:tcPr>
            <w:tcW w:w="3400" w:type="dxa"/>
            <w:shd w:val="clear" w:color="auto" w:fill="F2F2F2"/>
            <w:tcMar>
              <w:top w:w="70" w:type="dxa"/>
              <w:left w:w="100" w:type="dxa"/>
              <w:bottom w:w="70" w:type="dxa"/>
              <w:right w:w="100" w:type="dxa"/>
            </w:tcMar>
          </w:tcPr>
          <w:p w14:paraId="5789D80D"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Minutes</w:t>
            </w:r>
          </w:p>
        </w:tc>
        <w:tc>
          <w:tcPr>
            <w:tcW w:w="5960" w:type="dxa"/>
            <w:shd w:val="clear" w:color="auto" w:fill="F2F2F2"/>
            <w:tcMar>
              <w:top w:w="70" w:type="dxa"/>
              <w:left w:w="100" w:type="dxa"/>
              <w:bottom w:w="70" w:type="dxa"/>
              <w:right w:w="100" w:type="dxa"/>
            </w:tcMar>
          </w:tcPr>
          <w:p w14:paraId="5E324396"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10 Sep §5; 13 Sep §2</w:t>
            </w:r>
          </w:p>
        </w:tc>
      </w:tr>
      <w:tr w:rsidR="00E42928" w:rsidRPr="004946F4" w14:paraId="44C94877" w14:textId="77777777">
        <w:tc>
          <w:tcPr>
            <w:tcW w:w="3400" w:type="dxa"/>
            <w:tcMar>
              <w:top w:w="70" w:type="dxa"/>
              <w:left w:w="100" w:type="dxa"/>
              <w:bottom w:w="70" w:type="dxa"/>
              <w:right w:w="100" w:type="dxa"/>
            </w:tcMar>
          </w:tcPr>
          <w:p w14:paraId="45C7515C"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Commit</w:t>
            </w:r>
          </w:p>
        </w:tc>
        <w:tc>
          <w:tcPr>
            <w:tcW w:w="5960" w:type="dxa"/>
            <w:tcMar>
              <w:top w:w="70" w:type="dxa"/>
              <w:left w:w="100" w:type="dxa"/>
              <w:bottom w:w="70" w:type="dxa"/>
              <w:right w:w="100" w:type="dxa"/>
            </w:tcMar>
          </w:tcPr>
          <w:p w14:paraId="0A88FFC8" w14:textId="77777777" w:rsidR="00E42928" w:rsidRPr="004946F4" w:rsidRDefault="00000000" w:rsidP="004946F4">
            <w:pPr>
              <w:jc w:val="both"/>
              <w:rPr>
                <w:rFonts w:ascii="Times New Roman" w:hAnsi="Times New Roman" w:cs="Times New Roman"/>
                <w:sz w:val="22"/>
                <w:szCs w:val="22"/>
              </w:rPr>
            </w:pPr>
            <w:r w:rsidRPr="004946F4">
              <w:rPr>
                <w:rFonts w:ascii="Times New Roman" w:hAnsi="Times New Roman" w:cs="Times New Roman"/>
                <w:color w:val="000000"/>
                <w:sz w:val="22"/>
                <w:szCs w:val="22"/>
              </w:rPr>
              <w:t>[insert commit link]</w:t>
            </w:r>
          </w:p>
        </w:tc>
      </w:tr>
    </w:tbl>
    <w:p w14:paraId="78EDC888" w14:textId="77777777"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i/>
          <w:iCs/>
          <w:sz w:val="22"/>
          <w:szCs w:val="22"/>
        </w:rPr>
        <w:lastRenderedPageBreak/>
        <w:t>Replace the placeholder references with commit and pull-request links before submission.</w:t>
      </w:r>
    </w:p>
    <w:p w14:paraId="5532F84D" w14:textId="77777777" w:rsidR="00E42928" w:rsidRPr="004946F4" w:rsidRDefault="00000000" w:rsidP="004946F4">
      <w:pPr>
        <w:pStyle w:val="Heading1"/>
        <w:spacing w:before="260" w:after="130"/>
        <w:jc w:val="both"/>
        <w:rPr>
          <w:rFonts w:ascii="Times New Roman" w:hAnsi="Times New Roman" w:cs="Times New Roman"/>
          <w:sz w:val="22"/>
          <w:szCs w:val="22"/>
        </w:rPr>
      </w:pPr>
      <w:r w:rsidRPr="004946F4">
        <w:rPr>
          <w:rFonts w:ascii="Times New Roman" w:hAnsi="Times New Roman" w:cs="Times New Roman"/>
          <w:b/>
          <w:bCs/>
          <w:color w:val="1F3864"/>
          <w:sz w:val="22"/>
          <w:szCs w:val="22"/>
        </w:rPr>
        <w:t>8. Professional reflection</w:t>
      </w:r>
    </w:p>
    <w:p w14:paraId="1F6C7538" w14:textId="6B80906E" w:rsidR="00E42928" w:rsidRPr="004946F4" w:rsidRDefault="00000000" w:rsidP="004946F4">
      <w:pPr>
        <w:spacing w:after="120" w:line="276" w:lineRule="auto"/>
        <w:jc w:val="both"/>
        <w:rPr>
          <w:rFonts w:ascii="Times New Roman" w:hAnsi="Times New Roman" w:cs="Times New Roman"/>
          <w:sz w:val="22"/>
          <w:szCs w:val="22"/>
        </w:rPr>
      </w:pPr>
      <w:r w:rsidRPr="004946F4">
        <w:rPr>
          <w:rFonts w:ascii="Times New Roman" w:hAnsi="Times New Roman" w:cs="Times New Roman"/>
          <w:sz w:val="22"/>
          <w:szCs w:val="22"/>
        </w:rPr>
        <w:t xml:space="preserve">My first fold layout was defensible and still wrong for this project, because it optimised for using all the data rather than for evaluating the period we </w:t>
      </w:r>
      <w:r w:rsidR="004946F4" w:rsidRPr="004946F4">
        <w:rPr>
          <w:rFonts w:ascii="Times New Roman" w:hAnsi="Times New Roman" w:cs="Times New Roman"/>
          <w:sz w:val="22"/>
          <w:szCs w:val="22"/>
        </w:rPr>
        <w:t>forecast</w:t>
      </w:r>
      <w:r w:rsidRPr="004946F4">
        <w:rPr>
          <w:rFonts w:ascii="Times New Roman" w:hAnsi="Times New Roman" w:cs="Times New Roman"/>
          <w:sz w:val="22"/>
          <w:szCs w:val="22"/>
        </w:rPr>
        <w:t>. A split is a modelling decision, not a mechanical step, and I will bring the layout to the group before building on it next time.</w:t>
      </w:r>
    </w:p>
    <w:p w14:paraId="1ED9B79E" w14:textId="77777777" w:rsidR="00E42928" w:rsidRPr="004946F4" w:rsidRDefault="00E42928" w:rsidP="004946F4">
      <w:pPr>
        <w:spacing w:after="120" w:line="276" w:lineRule="auto"/>
        <w:jc w:val="both"/>
        <w:rPr>
          <w:rFonts w:ascii="Times New Roman" w:hAnsi="Times New Roman" w:cs="Times New Roman"/>
          <w:sz w:val="22"/>
          <w:szCs w:val="22"/>
        </w:rPr>
      </w:pPr>
    </w:p>
    <w:p w14:paraId="2165ECCF" w14:textId="37FF4DA4" w:rsidR="00E42928" w:rsidRPr="004946F4" w:rsidRDefault="00E42928" w:rsidP="004946F4">
      <w:pPr>
        <w:spacing w:after="120" w:line="276" w:lineRule="auto"/>
        <w:jc w:val="both"/>
        <w:rPr>
          <w:rFonts w:ascii="Times New Roman" w:hAnsi="Times New Roman" w:cs="Times New Roman"/>
          <w:sz w:val="22"/>
          <w:szCs w:val="22"/>
        </w:rPr>
      </w:pPr>
    </w:p>
    <w:p w14:paraId="2F1C1F13" w14:textId="77777777" w:rsidR="004946F4" w:rsidRPr="004946F4" w:rsidRDefault="004946F4">
      <w:pPr>
        <w:spacing w:after="120" w:line="276" w:lineRule="auto"/>
        <w:jc w:val="both"/>
        <w:rPr>
          <w:rFonts w:ascii="Times New Roman" w:hAnsi="Times New Roman" w:cs="Times New Roman"/>
          <w:sz w:val="22"/>
          <w:szCs w:val="22"/>
        </w:rPr>
      </w:pPr>
    </w:p>
    <w:sectPr w:rsidR="004946F4" w:rsidRPr="004946F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EEF"/>
    <w:multiLevelType w:val="hybridMultilevel"/>
    <w:tmpl w:val="87900D30"/>
    <w:lvl w:ilvl="0" w:tplc="2D5A410A">
      <w:start w:val="1"/>
      <w:numFmt w:val="bullet"/>
      <w:lvlText w:val="•"/>
      <w:lvlJc w:val="left"/>
      <w:pPr>
        <w:ind w:left="420" w:hanging="260"/>
      </w:pPr>
    </w:lvl>
    <w:lvl w:ilvl="1" w:tplc="85324424">
      <w:start w:val="1"/>
      <w:numFmt w:val="bullet"/>
      <w:lvlText w:val="–"/>
      <w:lvlJc w:val="left"/>
      <w:pPr>
        <w:ind w:left="780" w:hanging="260"/>
      </w:pPr>
    </w:lvl>
    <w:lvl w:ilvl="2" w:tplc="7EB6B400">
      <w:numFmt w:val="decimal"/>
      <w:lvlText w:val=""/>
      <w:lvlJc w:val="left"/>
    </w:lvl>
    <w:lvl w:ilvl="3" w:tplc="0B168E8C">
      <w:numFmt w:val="decimal"/>
      <w:lvlText w:val=""/>
      <w:lvlJc w:val="left"/>
    </w:lvl>
    <w:lvl w:ilvl="4" w:tplc="1AA6C706">
      <w:numFmt w:val="decimal"/>
      <w:lvlText w:val=""/>
      <w:lvlJc w:val="left"/>
    </w:lvl>
    <w:lvl w:ilvl="5" w:tplc="C4AA632E">
      <w:numFmt w:val="decimal"/>
      <w:lvlText w:val=""/>
      <w:lvlJc w:val="left"/>
    </w:lvl>
    <w:lvl w:ilvl="6" w:tplc="3C225CD2">
      <w:numFmt w:val="decimal"/>
      <w:lvlText w:val=""/>
      <w:lvlJc w:val="left"/>
    </w:lvl>
    <w:lvl w:ilvl="7" w:tplc="56182E8A">
      <w:numFmt w:val="decimal"/>
      <w:lvlText w:val=""/>
      <w:lvlJc w:val="left"/>
    </w:lvl>
    <w:lvl w:ilvl="8" w:tplc="E10A0284">
      <w:numFmt w:val="decimal"/>
      <w:lvlText w:val=""/>
      <w:lvlJc w:val="left"/>
    </w:lvl>
  </w:abstractNum>
  <w:abstractNum w:abstractNumId="1" w15:restartNumberingAfterBreak="0">
    <w:nsid w:val="50076BF9"/>
    <w:multiLevelType w:val="hybridMultilevel"/>
    <w:tmpl w:val="D2F45A14"/>
    <w:lvl w:ilvl="0" w:tplc="03FAF7CA">
      <w:start w:val="1"/>
      <w:numFmt w:val="bullet"/>
      <w:lvlText w:val="●"/>
      <w:lvlJc w:val="left"/>
      <w:pPr>
        <w:ind w:left="720" w:hanging="360"/>
      </w:pPr>
    </w:lvl>
    <w:lvl w:ilvl="1" w:tplc="B150E718">
      <w:start w:val="1"/>
      <w:numFmt w:val="bullet"/>
      <w:lvlText w:val="○"/>
      <w:lvlJc w:val="left"/>
      <w:pPr>
        <w:ind w:left="1440" w:hanging="360"/>
      </w:pPr>
    </w:lvl>
    <w:lvl w:ilvl="2" w:tplc="430EBC3A">
      <w:start w:val="1"/>
      <w:numFmt w:val="bullet"/>
      <w:lvlText w:val="■"/>
      <w:lvlJc w:val="left"/>
      <w:pPr>
        <w:ind w:left="2160" w:hanging="360"/>
      </w:pPr>
    </w:lvl>
    <w:lvl w:ilvl="3" w:tplc="B262ED2A">
      <w:start w:val="1"/>
      <w:numFmt w:val="bullet"/>
      <w:lvlText w:val="●"/>
      <w:lvlJc w:val="left"/>
      <w:pPr>
        <w:ind w:left="2880" w:hanging="360"/>
      </w:pPr>
    </w:lvl>
    <w:lvl w:ilvl="4" w:tplc="FA8698DE">
      <w:start w:val="1"/>
      <w:numFmt w:val="bullet"/>
      <w:lvlText w:val="○"/>
      <w:lvlJc w:val="left"/>
      <w:pPr>
        <w:ind w:left="3600" w:hanging="360"/>
      </w:pPr>
    </w:lvl>
    <w:lvl w:ilvl="5" w:tplc="1FB2337A">
      <w:start w:val="1"/>
      <w:numFmt w:val="bullet"/>
      <w:lvlText w:val="■"/>
      <w:lvlJc w:val="left"/>
      <w:pPr>
        <w:ind w:left="4320" w:hanging="360"/>
      </w:pPr>
    </w:lvl>
    <w:lvl w:ilvl="6" w:tplc="42C4EE20">
      <w:start w:val="1"/>
      <w:numFmt w:val="bullet"/>
      <w:lvlText w:val="●"/>
      <w:lvlJc w:val="left"/>
      <w:pPr>
        <w:ind w:left="5040" w:hanging="360"/>
      </w:pPr>
    </w:lvl>
    <w:lvl w:ilvl="7" w:tplc="D4E6FD58">
      <w:start w:val="1"/>
      <w:numFmt w:val="bullet"/>
      <w:lvlText w:val="●"/>
      <w:lvlJc w:val="left"/>
      <w:pPr>
        <w:ind w:left="5760" w:hanging="360"/>
      </w:pPr>
    </w:lvl>
    <w:lvl w:ilvl="8" w:tplc="D0BC78E6">
      <w:start w:val="1"/>
      <w:numFmt w:val="bullet"/>
      <w:lvlText w:val="●"/>
      <w:lvlJc w:val="left"/>
      <w:pPr>
        <w:ind w:left="6480" w:hanging="360"/>
      </w:pPr>
    </w:lvl>
  </w:abstractNum>
  <w:num w:numId="1" w16cid:durableId="160001197">
    <w:abstractNumId w:val="1"/>
    <w:lvlOverride w:ilvl="0">
      <w:startOverride w:val="1"/>
    </w:lvlOverride>
  </w:num>
  <w:num w:numId="2" w16cid:durableId="247621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928"/>
    <w:rsid w:val="000A3E7C"/>
    <w:rsid w:val="004946F4"/>
    <w:rsid w:val="0056623A"/>
    <w:rsid w:val="0063699B"/>
    <w:rsid w:val="00674666"/>
    <w:rsid w:val="00C34B48"/>
    <w:rsid w:val="00E42928"/>
    <w:rsid w:val="00EA0D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2408"/>
  <w15:docId w15:val="{C31D3394-B59A-4A5B-A9CE-1C80D24A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Shrestha</cp:lastModifiedBy>
  <cp:revision>6</cp:revision>
  <dcterms:created xsi:type="dcterms:W3CDTF">2026-09-13T08:22:00Z</dcterms:created>
  <dcterms:modified xsi:type="dcterms:W3CDTF">2026-09-13T08:32:00Z</dcterms:modified>
</cp:coreProperties>
</file>