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Sudip Lamichhane — WP3 Individual Contribution &amp; Progress Report</w:t>
      </w:r>
    </w:p>
    <w:p>
      <w:pPr>
        <w:jc w:val="left"/>
      </w:pPr>
      <w:r>
        <w:rPr>
          <w:i/>
          <w:color w:val="2F75B5"/>
          <w:sz w:val="22"/>
        </w:rPr>
        <w:t>PRT661 – Data Science Practice | Dan6 Theme 2 | Modelling, Forecasting and Verification</w:t>
      </w:r>
    </w:p>
    <w:tbl>
      <w:tblPr>
        <w:tblStyle w:val="TableGrid"/>
        <w:tblW w:type="auto" w:w="0"/>
        <w:jc w:val="center"/>
        <w:tblLayout w:type="fixed"/>
        <w:tblLook w:firstColumn="1" w:firstRow="1" w:lastColumn="0" w:lastRow="0" w:noHBand="0" w:noVBand="1" w:val="04A0"/>
      </w:tblPr>
      <w:tblGrid>
        <w:gridCol w:w="2531"/>
        <w:gridCol w:w="2531"/>
        <w:gridCol w:w="2531"/>
        <w:gridCol w:w="2531"/>
      </w:tblGrid>
      <w:tr>
        <w:trPr>
          <w:tblHeader w:val="true"/>
        </w:trPr>
        <w:tc>
          <w:tcPr>
            <w:tcW w:type="dxa" w:w="2160"/>
            <w:shd w:fill="17365D"/>
            <w:tcMar>
              <w:top w:w="80" w:type="dxa"/>
              <w:start w:w="80" w:type="dxa"/>
              <w:bottom w:w="80" w:type="dxa"/>
              <w:end w:w="80" w:type="dxa"/>
            </w:tcMar>
            <w:vAlign w:val="center"/>
          </w:tcPr>
          <w:p>
            <w:r>
              <w:rPr>
                <w:b/>
                <w:color w:val="FFFFFF"/>
                <w:sz w:val="17"/>
              </w:rPr>
              <w:t>Student</w:t>
            </w:r>
          </w:p>
        </w:tc>
        <w:tc>
          <w:tcPr>
            <w:tcW w:type="dxa" w:w="1440"/>
            <w:shd w:fill="17365D"/>
            <w:tcMar>
              <w:top w:w="80" w:type="dxa"/>
              <w:start w:w="80" w:type="dxa"/>
              <w:bottom w:w="80" w:type="dxa"/>
              <w:end w:w="80" w:type="dxa"/>
            </w:tcMar>
            <w:vAlign w:val="center"/>
          </w:tcPr>
          <w:p>
            <w:r>
              <w:rPr>
                <w:b/>
                <w:color w:val="FFFFFF"/>
                <w:sz w:val="17"/>
              </w:rPr>
              <w:t>ID</w:t>
            </w:r>
          </w:p>
        </w:tc>
        <w:tc>
          <w:tcPr>
            <w:tcW w:type="dxa" w:w="3312"/>
            <w:shd w:fill="17365D"/>
            <w:tcMar>
              <w:top w:w="80" w:type="dxa"/>
              <w:start w:w="80" w:type="dxa"/>
              <w:bottom w:w="80" w:type="dxa"/>
              <w:end w:w="80" w:type="dxa"/>
            </w:tcMar>
            <w:vAlign w:val="center"/>
          </w:tcPr>
          <w:p>
            <w:r>
              <w:rPr>
                <w:b/>
                <w:color w:val="FFFFFF"/>
                <w:sz w:val="17"/>
              </w:rPr>
              <w:t>WP3 role</w:t>
            </w:r>
          </w:p>
        </w:tc>
        <w:tc>
          <w:tcPr>
            <w:tcW w:type="dxa" w:w="3456"/>
            <w:shd w:fill="17365D"/>
            <w:tcMar>
              <w:top w:w="80" w:type="dxa"/>
              <w:start w:w="80" w:type="dxa"/>
              <w:bottom w:w="80" w:type="dxa"/>
              <w:end w:w="80" w:type="dxa"/>
            </w:tcMar>
            <w:vAlign w:val="center"/>
          </w:tcPr>
          <w:p>
            <w:r>
              <w:rPr>
                <w:b/>
                <w:color w:val="FFFFFF"/>
                <w:sz w:val="17"/>
              </w:rPr>
              <w:t>Workstream</w:t>
            </w:r>
          </w:p>
        </w:tc>
      </w:tr>
      <w:tr>
        <w:tc>
          <w:tcPr>
            <w:tcW w:type="dxa" w:w="2160"/>
            <w:tcMar>
              <w:top w:w="80" w:type="dxa"/>
              <w:start w:w="80" w:type="dxa"/>
              <w:bottom w:w="80" w:type="dxa"/>
              <w:end w:w="80" w:type="dxa"/>
            </w:tcMar>
            <w:vAlign w:val="center"/>
          </w:tcPr>
          <w:p>
            <w:pPr>
              <w:spacing w:after="0"/>
            </w:pPr>
            <w:r>
              <w:rPr>
                <w:sz w:val="17"/>
              </w:rPr>
              <w:t>Sudip Lamichhane</w:t>
            </w:r>
          </w:p>
        </w:tc>
        <w:tc>
          <w:tcPr>
            <w:tcW w:type="dxa" w:w="1440"/>
            <w:tcMar>
              <w:top w:w="80" w:type="dxa"/>
              <w:start w:w="80" w:type="dxa"/>
              <w:bottom w:w="80" w:type="dxa"/>
              <w:end w:w="80" w:type="dxa"/>
            </w:tcMar>
            <w:vAlign w:val="center"/>
          </w:tcPr>
          <w:p>
            <w:pPr>
              <w:spacing w:after="0"/>
            </w:pPr>
            <w:r>
              <w:rPr>
                <w:sz w:val="17"/>
              </w:rPr>
              <w:t>S388085</w:t>
            </w:r>
          </w:p>
        </w:tc>
        <w:tc>
          <w:tcPr>
            <w:tcW w:type="dxa" w:w="3312"/>
            <w:tcMar>
              <w:top w:w="80" w:type="dxa"/>
              <w:start w:w="80" w:type="dxa"/>
              <w:bottom w:w="80" w:type="dxa"/>
              <w:end w:w="80" w:type="dxa"/>
            </w:tcMar>
            <w:vAlign w:val="center"/>
          </w:tcPr>
          <w:p>
            <w:pPr>
              <w:spacing w:after="0"/>
            </w:pPr>
            <w:r>
              <w:rPr>
                <w:sz w:val="17"/>
              </w:rPr>
              <w:t>Data Acquisition &amp; Correction Handling Lead</w:t>
            </w:r>
          </w:p>
        </w:tc>
        <w:tc>
          <w:tcPr>
            <w:tcW w:type="dxa" w:w="3456"/>
            <w:tcMar>
              <w:top w:w="80" w:type="dxa"/>
              <w:start w:w="80" w:type="dxa"/>
              <w:bottom w:w="80" w:type="dxa"/>
              <w:end w:w="80" w:type="dxa"/>
            </w:tcMar>
            <w:vAlign w:val="center"/>
          </w:tcPr>
          <w:p>
            <w:pPr>
              <w:spacing w:after="0"/>
            </w:pPr>
            <w:r>
              <w:rPr>
                <w:sz w:val="17"/>
              </w:rPr>
              <w:t>SARIMA/SARIMAX · live weather update · AEMO secondary benchmark</w:t>
            </w:r>
          </w:p>
        </w:tc>
      </w:tr>
    </w:tbl>
    <w:p>
      <w:pPr>
        <w:spacing w:after="20"/>
      </w:pPr>
    </w:p>
    <w:tbl>
      <w:tblPr>
        <w:tblW w:type="auto" w:w="0"/>
        <w:jc w:val="center"/>
        <w:tblLayout w:type="autofit"/>
        <w:tblLook w:firstColumn="1" w:firstRow="1" w:lastColumn="0" w:lastRow="0" w:noHBand="0" w:noVBand="1" w:val="04A0"/>
      </w:tblPr>
      <w:tblGrid>
        <w:gridCol w:w="10123"/>
      </w:tblGrid>
      <w:tr>
        <w:tc>
          <w:tcPr>
            <w:tcW w:type="dxa" w:w="10123"/>
            <w:shd w:fill="EDF4FB"/>
            <w:tcMar>
              <w:top w:w="120" w:type="dxa"/>
              <w:start w:w="140" w:type="dxa"/>
              <w:bottom w:w="120" w:type="dxa"/>
              <w:end w:w="140" w:type="dxa"/>
            </w:tcMar>
          </w:tcPr>
          <w:p>
            <w:pPr>
              <w:spacing w:after="0"/>
            </w:pPr>
            <w:r>
              <w:rPr>
                <w:b/>
                <w:color w:val="17365D"/>
              </w:rPr>
              <w:t xml:space="preserve">Evidence note  </w:t>
            </w:r>
            <w:r>
              <w:t>This document is aligned to the verified 14 September Stage 3 run. Contribution descriptions preserve the role boundaries in the existing WP3 documents and describe shared integration as team work rather than assigning the final pipeline to one person.</w:t>
            </w:r>
          </w:p>
        </w:tc>
      </w:tr>
    </w:tbl>
    <w:p>
      <w:pPr>
        <w:spacing w:after="20"/>
      </w:pPr>
    </w:p>
    <w:p>
      <w:pPr>
        <w:pStyle w:val="Heading1"/>
      </w:pPr>
      <w:r>
        <w:t>1. Allocated WP3 responsibility</w:t>
      </w:r>
    </w:p>
    <w:p>
      <w:pPr>
        <w:spacing w:after="100"/>
      </w:pPr>
      <w:r>
        <w:t>Sudip’s Stage 3 work connects source semantics to the statistical and external-benchmark parts of modelling. The assigned candidate family is SARIMA/SARIMAX. The same workstream controls how a genuine seven-day weather forecast may update Model B and how AEMO pre-dispatch information is compared without being mislabelled as the same forecasting target.</w:t>
      </w:r>
    </w:p>
    <w:p>
      <w:pPr>
        <w:jc w:val="center"/>
      </w:pPr>
      <w:r>
        <w:drawing>
          <wp:inline xmlns:a="http://schemas.openxmlformats.org/drawingml/2006/main" xmlns:pic="http://schemas.openxmlformats.org/drawingml/2006/picture">
            <wp:extent cx="3794760" cy="6551227"/>
            <wp:docPr id="1" name="Picture 1"/>
            <wp:cNvGraphicFramePr>
              <a:graphicFrameLocks noChangeAspect="1"/>
            </wp:cNvGraphicFramePr>
            <a:graphic>
              <a:graphicData uri="http://schemas.openxmlformats.org/drawingml/2006/picture">
                <pic:pic>
                  <pic:nvPicPr>
                    <pic:cNvPr id="0" name="02_stage3_modelling_architecture.png"/>
                    <pic:cNvPicPr/>
                  </pic:nvPicPr>
                  <pic:blipFill>
                    <a:blip r:embed="rId11"/>
                    <a:stretch>
                      <a:fillRect/>
                    </a:stretch>
                  </pic:blipFill>
                  <pic:spPr>
                    <a:xfrm>
                      <a:off x="0" y="0"/>
                      <a:ext cx="3794760" cy="6551227"/>
                    </a:xfrm>
                    <a:prstGeom prst="rect"/>
                  </pic:spPr>
                </pic:pic>
              </a:graphicData>
            </a:graphic>
          </wp:inline>
        </w:drawing>
      </w:r>
    </w:p>
    <w:p>
      <w:pPr>
        <w:pStyle w:val="Caption"/>
        <w:jc w:val="center"/>
      </w:pPr>
      <w:r>
        <w:t>Figure 1. Sudip-owned blocks: the SARIMA/SARIMAX statistical family, live weather update and AEMO secondary benchmark.</w:t>
      </w:r>
    </w:p>
    <w:p>
      <w:r>
        <w:br w:type="page"/>
      </w:r>
    </w:p>
    <w:p>
      <w:pPr>
        <w:pStyle w:val="Heading1"/>
      </w:pPr>
      <w:r>
        <w:t>2. Why the statistical family was retained</w:t>
      </w:r>
    </w:p>
    <w:p>
      <w:pPr>
        <w:spacing w:after="100"/>
      </w:pPr>
      <w:r>
        <w:t>Assessment 1 committed the project to a three-tier comparison: a seasonal baseline, a statistical time-series model and machine-learning models. SARIMA therefore remains important even if it does not win. It tests whether a compact autoregressive/seasonal model can capture the daily structure without a large engineered feature set. SARIMAX adds a small exogenous set containing only future-known or forecast-safe variables.</w:t>
      </w:r>
    </w:p>
    <w:tbl>
      <w:tblPr>
        <w:tblStyle w:val="TableGrid"/>
        <w:tblW w:type="auto" w:w="0"/>
        <w:jc w:val="center"/>
        <w:tblLayout w:type="fixed"/>
        <w:tblLook w:firstColumn="1" w:firstRow="1" w:lastColumn="0" w:lastRow="0" w:noHBand="0" w:noVBand="1" w:val="04A0"/>
      </w:tblPr>
      <w:tblGrid>
        <w:gridCol w:w="3374"/>
        <w:gridCol w:w="3374"/>
        <w:gridCol w:w="3374"/>
      </w:tblGrid>
      <w:tr>
        <w:trPr>
          <w:tblHeader w:val="true"/>
        </w:trPr>
        <w:tc>
          <w:tcPr>
            <w:tcW w:type="dxa" w:w="1728"/>
            <w:shd w:fill="17365D"/>
            <w:tcMar>
              <w:top w:w="80" w:type="dxa"/>
              <w:start w:w="80" w:type="dxa"/>
              <w:bottom w:w="80" w:type="dxa"/>
              <w:end w:w="80" w:type="dxa"/>
            </w:tcMar>
            <w:vAlign w:val="center"/>
          </w:tcPr>
          <w:p>
            <w:r>
              <w:rPr>
                <w:b/>
                <w:color w:val="FFFFFF"/>
                <w:sz w:val="16"/>
              </w:rPr>
              <w:t>Model</w:t>
            </w:r>
          </w:p>
        </w:tc>
        <w:tc>
          <w:tcPr>
            <w:tcW w:type="dxa" w:w="4608"/>
            <w:shd w:fill="17365D"/>
            <w:tcMar>
              <w:top w:w="80" w:type="dxa"/>
              <w:start w:w="80" w:type="dxa"/>
              <w:bottom w:w="80" w:type="dxa"/>
              <w:end w:w="80" w:type="dxa"/>
            </w:tcMar>
            <w:vAlign w:val="center"/>
          </w:tcPr>
          <w:p>
            <w:r>
              <w:rPr>
                <w:b/>
                <w:color w:val="FFFFFF"/>
                <w:sz w:val="16"/>
              </w:rPr>
              <w:t>Design</w:t>
            </w:r>
          </w:p>
        </w:tc>
        <w:tc>
          <w:tcPr>
            <w:tcW w:type="dxa" w:w="4032"/>
            <w:shd w:fill="17365D"/>
            <w:tcMar>
              <w:top w:w="80" w:type="dxa"/>
              <w:start w:w="80" w:type="dxa"/>
              <w:bottom w:w="80" w:type="dxa"/>
              <w:end w:w="80" w:type="dxa"/>
            </w:tcMar>
            <w:vAlign w:val="center"/>
          </w:tcPr>
          <w:p>
            <w:r>
              <w:rPr>
                <w:b/>
                <w:color w:val="FFFFFF"/>
                <w:sz w:val="16"/>
              </w:rPr>
              <w:t>Reason retained</w:t>
            </w:r>
          </w:p>
        </w:tc>
      </w:tr>
      <w:tr>
        <w:tc>
          <w:tcPr>
            <w:tcW w:type="dxa" w:w="1728"/>
            <w:tcMar>
              <w:top w:w="80" w:type="dxa"/>
              <w:start w:w="80" w:type="dxa"/>
              <w:bottom w:w="80" w:type="dxa"/>
              <w:end w:w="80" w:type="dxa"/>
            </w:tcMar>
            <w:vAlign w:val="center"/>
          </w:tcPr>
          <w:p>
            <w:pPr>
              <w:spacing w:after="0"/>
            </w:pPr>
            <w:r>
              <w:rPr>
                <w:sz w:val="16"/>
              </w:rPr>
              <w:t>SARIMA</w:t>
            </w:r>
          </w:p>
        </w:tc>
        <w:tc>
          <w:tcPr>
            <w:tcW w:type="dxa" w:w="4608"/>
            <w:tcMar>
              <w:top w:w="80" w:type="dxa"/>
              <w:start w:w="80" w:type="dxa"/>
              <w:bottom w:w="80" w:type="dxa"/>
              <w:end w:w="80" w:type="dxa"/>
            </w:tcMar>
            <w:vAlign w:val="center"/>
          </w:tcPr>
          <w:p>
            <w:pPr>
              <w:spacing w:after="0"/>
            </w:pPr>
            <w:r>
              <w:rPr>
                <w:sz w:val="16"/>
              </w:rPr>
              <w:t>ARIMA structure with daily seasonal period s=48; bounded recent training window</w:t>
            </w:r>
          </w:p>
        </w:tc>
        <w:tc>
          <w:tcPr>
            <w:tcW w:type="dxa" w:w="4032"/>
            <w:tcMar>
              <w:top w:w="80" w:type="dxa"/>
              <w:start w:w="80" w:type="dxa"/>
              <w:bottom w:w="80" w:type="dxa"/>
              <w:end w:w="80" w:type="dxa"/>
            </w:tcMar>
            <w:vAlign w:val="center"/>
          </w:tcPr>
          <w:p>
            <w:pPr>
              <w:spacing w:after="0"/>
            </w:pPr>
            <w:r>
              <w:rPr>
                <w:sz w:val="16"/>
              </w:rPr>
              <w:t>Statistical benchmark promised in Assessment 1 and interpretable seasonal comparator.</w:t>
            </w:r>
          </w:p>
        </w:tc>
      </w:tr>
      <w:tr>
        <w:tc>
          <w:tcPr>
            <w:tcW w:type="dxa" w:w="1728"/>
            <w:tcMar>
              <w:top w:w="80" w:type="dxa"/>
              <w:start w:w="80" w:type="dxa"/>
              <w:bottom w:w="80" w:type="dxa"/>
              <w:end w:w="80" w:type="dxa"/>
            </w:tcMar>
            <w:vAlign w:val="center"/>
            <w:shd w:fill="F7F9FB"/>
          </w:tcPr>
          <w:p>
            <w:pPr>
              <w:spacing w:after="0"/>
            </w:pPr>
            <w:r>
              <w:rPr>
                <w:sz w:val="16"/>
              </w:rPr>
              <w:t>SARIMAX</w:t>
            </w:r>
          </w:p>
        </w:tc>
        <w:tc>
          <w:tcPr>
            <w:tcW w:type="dxa" w:w="4608"/>
            <w:tcMar>
              <w:top w:w="80" w:type="dxa"/>
              <w:start w:w="80" w:type="dxa"/>
              <w:bottom w:w="80" w:type="dxa"/>
              <w:end w:w="80" w:type="dxa"/>
            </w:tcMar>
            <w:vAlign w:val="center"/>
            <w:shd w:fill="F7F9FB"/>
          </w:tcPr>
          <w:p>
            <w:pPr>
              <w:spacing w:after="0"/>
            </w:pPr>
            <w:r>
              <w:rPr>
                <w:sz w:val="16"/>
              </w:rPr>
              <w:t>Same state-space structure plus compact future-safe exogenous inputs</w:t>
            </w:r>
          </w:p>
        </w:tc>
        <w:tc>
          <w:tcPr>
            <w:tcW w:type="dxa" w:w="4032"/>
            <w:tcMar>
              <w:top w:w="80" w:type="dxa"/>
              <w:start w:w="80" w:type="dxa"/>
              <w:bottom w:w="80" w:type="dxa"/>
              <w:end w:w="80" w:type="dxa"/>
            </w:tcMar>
            <w:vAlign w:val="center"/>
            <w:shd w:fill="F7F9FB"/>
          </w:tcPr>
          <w:p>
            <w:pPr>
              <w:spacing w:after="0"/>
            </w:pPr>
            <w:r>
              <w:rPr>
                <w:sz w:val="16"/>
              </w:rPr>
              <w:t>Tests whether weather/calendar context helps a statistical model without leaking future actuals.</w:t>
            </w:r>
          </w:p>
        </w:tc>
      </w:tr>
    </w:tbl>
    <w:p>
      <w:pPr>
        <w:spacing w:after="20"/>
      </w:pPr>
    </w:p>
    <w:tbl>
      <w:tblPr>
        <w:tblW w:type="auto" w:w="0"/>
        <w:jc w:val="center"/>
        <w:tblLayout w:type="autofit"/>
        <w:tblLook w:firstColumn="1" w:firstRow="1" w:lastColumn="0" w:lastRow="0" w:noHBand="0" w:noVBand="1" w:val="04A0"/>
      </w:tblPr>
      <w:tblGrid>
        <w:gridCol w:w="10123"/>
      </w:tblGrid>
      <w:tr>
        <w:tc>
          <w:tcPr>
            <w:tcW w:type="dxa" w:w="10123"/>
            <w:shd w:fill="EDF4FB"/>
            <w:tcMar>
              <w:top w:w="120" w:type="dxa"/>
              <w:start w:w="140" w:type="dxa"/>
              <w:bottom w:w="120" w:type="dxa"/>
              <w:end w:w="140" w:type="dxa"/>
            </w:tcMar>
          </w:tcPr>
          <w:p>
            <w:pPr>
              <w:spacing w:after="0"/>
            </w:pPr>
            <w:r>
              <w:rPr>
                <w:b/>
                <w:color w:val="17365D"/>
              </w:rPr>
              <w:t xml:space="preserve">Runtime/stability control  </w:t>
            </w:r>
            <w:r>
              <w:t>A full 82k-interval seasonal state-space fit is impractical for repeated regional backtests. The production code records a bounded recent training window, convergence status and exogenous-support filtering instead of silently abandoning the statistical tier.</w:t>
            </w:r>
          </w:p>
        </w:tc>
      </w:tr>
    </w:tbl>
    <w:p>
      <w:pPr>
        <w:spacing w:after="20"/>
      </w:pPr>
    </w:p>
    <w:p>
      <w:pPr>
        <w:pStyle w:val="Heading1"/>
      </w:pPr>
      <w:r>
        <w:t>3. Statistical backtest outcome</w:t>
      </w:r>
    </w:p>
    <w:tbl>
      <w:tblPr>
        <w:tblStyle w:val="TableGrid"/>
        <w:tblW w:type="auto" w:w="0"/>
        <w:jc w:val="center"/>
        <w:tblLayout w:type="fixed"/>
        <w:tblLook w:firstColumn="1" w:firstRow="1" w:lastColumn="0" w:lastRow="0" w:noHBand="0" w:noVBand="1" w:val="04A0"/>
      </w:tblPr>
      <w:tblGrid>
        <w:gridCol w:w="1265"/>
        <w:gridCol w:w="1265"/>
        <w:gridCol w:w="1265"/>
        <w:gridCol w:w="1265"/>
        <w:gridCol w:w="1265"/>
        <w:gridCol w:w="1265"/>
        <w:gridCol w:w="1265"/>
        <w:gridCol w:w="1265"/>
      </w:tblGrid>
      <w:tr>
        <w:trPr>
          <w:tblHeader w:val="true"/>
        </w:trPr>
        <w:tc>
          <w:tcPr>
            <w:tcW w:type="dxa" w:w="936"/>
            <w:shd w:fill="17365D"/>
            <w:tcMar>
              <w:top w:w="80" w:type="dxa"/>
              <w:start w:w="80" w:type="dxa"/>
              <w:bottom w:w="80" w:type="dxa"/>
              <w:end w:w="80" w:type="dxa"/>
            </w:tcMar>
            <w:vAlign w:val="center"/>
          </w:tcPr>
          <w:p>
            <w:r>
              <w:rPr>
                <w:b/>
                <w:color w:val="FFFFFF"/>
                <w:sz w:val="14"/>
              </w:rPr>
              <w:t>Region</w:t>
            </w:r>
          </w:p>
        </w:tc>
        <w:tc>
          <w:tcPr>
            <w:tcW w:type="dxa" w:w="1296"/>
            <w:shd w:fill="17365D"/>
            <w:tcMar>
              <w:top w:w="80" w:type="dxa"/>
              <w:start w:w="80" w:type="dxa"/>
              <w:bottom w:w="80" w:type="dxa"/>
              <w:end w:w="80" w:type="dxa"/>
            </w:tcMar>
            <w:vAlign w:val="center"/>
          </w:tcPr>
          <w:p>
            <w:r>
              <w:rPr>
                <w:b/>
                <w:color w:val="FFFFFF"/>
                <w:sz w:val="14"/>
              </w:rPr>
              <w:t>Model</w:t>
            </w:r>
          </w:p>
        </w:tc>
        <w:tc>
          <w:tcPr>
            <w:tcW w:type="dxa" w:w="1080"/>
            <w:shd w:fill="17365D"/>
            <w:tcMar>
              <w:top w:w="80" w:type="dxa"/>
              <w:start w:w="80" w:type="dxa"/>
              <w:bottom w:w="80" w:type="dxa"/>
              <w:end w:w="80" w:type="dxa"/>
            </w:tcMar>
            <w:vAlign w:val="center"/>
          </w:tcPr>
          <w:p>
            <w:r>
              <w:rPr>
                <w:b/>
                <w:color w:val="FFFFFF"/>
                <w:sz w:val="14"/>
              </w:rPr>
              <w:t>MAE</w:t>
            </w:r>
          </w:p>
        </w:tc>
        <w:tc>
          <w:tcPr>
            <w:tcW w:type="dxa" w:w="1080"/>
            <w:shd w:fill="17365D"/>
            <w:tcMar>
              <w:top w:w="80" w:type="dxa"/>
              <w:start w:w="80" w:type="dxa"/>
              <w:bottom w:w="80" w:type="dxa"/>
              <w:end w:w="80" w:type="dxa"/>
            </w:tcMar>
            <w:vAlign w:val="center"/>
          </w:tcPr>
          <w:p>
            <w:r>
              <w:rPr>
                <w:b/>
                <w:color w:val="FFFFFF"/>
                <w:sz w:val="14"/>
              </w:rPr>
              <w:t>RMSE</w:t>
            </w:r>
          </w:p>
        </w:tc>
        <w:tc>
          <w:tcPr>
            <w:tcW w:type="dxa" w:w="1152"/>
            <w:shd w:fill="17365D"/>
            <w:tcMar>
              <w:top w:w="80" w:type="dxa"/>
              <w:start w:w="80" w:type="dxa"/>
              <w:bottom w:w="80" w:type="dxa"/>
              <w:end w:w="80" w:type="dxa"/>
            </w:tcMar>
            <w:vAlign w:val="center"/>
          </w:tcPr>
          <w:p>
            <w:r>
              <w:rPr>
                <w:b/>
                <w:color w:val="FFFFFF"/>
                <w:sz w:val="14"/>
              </w:rPr>
              <w:t>sMAPE</w:t>
            </w:r>
          </w:p>
        </w:tc>
        <w:tc>
          <w:tcPr>
            <w:tcW w:type="dxa" w:w="792"/>
            <w:shd w:fill="17365D"/>
            <w:tcMar>
              <w:top w:w="80" w:type="dxa"/>
              <w:start w:w="80" w:type="dxa"/>
              <w:bottom w:w="80" w:type="dxa"/>
              <w:end w:w="80" w:type="dxa"/>
            </w:tcMar>
            <w:vAlign w:val="center"/>
          </w:tcPr>
          <w:p>
            <w:r>
              <w:rPr>
                <w:b/>
                <w:color w:val="FFFFFF"/>
                <w:sz w:val="14"/>
              </w:rPr>
              <w:t>Ready</w:t>
            </w:r>
          </w:p>
        </w:tc>
        <w:tc>
          <w:tcPr>
            <w:tcW w:type="dxa" w:w="792"/>
            <w:shd w:fill="17365D"/>
            <w:tcMar>
              <w:top w:w="80" w:type="dxa"/>
              <w:start w:w="80" w:type="dxa"/>
              <w:bottom w:w="80" w:type="dxa"/>
              <w:end w:w="80" w:type="dxa"/>
            </w:tcMar>
            <w:vAlign w:val="center"/>
          </w:tcPr>
          <w:p>
            <w:r>
              <w:rPr>
                <w:b/>
                <w:color w:val="FFFFFF"/>
                <w:sz w:val="14"/>
              </w:rPr>
              <w:t>Warn</w:t>
            </w:r>
          </w:p>
        </w:tc>
        <w:tc>
          <w:tcPr>
            <w:tcW w:type="dxa" w:w="792"/>
            <w:shd w:fill="17365D"/>
            <w:tcMar>
              <w:top w:w="80" w:type="dxa"/>
              <w:start w:w="80" w:type="dxa"/>
              <w:bottom w:w="80" w:type="dxa"/>
              <w:end w:w="80" w:type="dxa"/>
            </w:tcMar>
            <w:vAlign w:val="center"/>
          </w:tcPr>
          <w:p>
            <w:r>
              <w:rPr>
                <w:b/>
                <w:color w:val="FFFFFF"/>
                <w:sz w:val="14"/>
              </w:rPr>
              <w:t>Fail</w:t>
            </w:r>
          </w:p>
        </w:tc>
      </w:tr>
      <w:tr>
        <w:tc>
          <w:tcPr>
            <w:tcW w:type="dxa" w:w="936"/>
            <w:tcMar>
              <w:top w:w="80" w:type="dxa"/>
              <w:start w:w="80" w:type="dxa"/>
              <w:bottom w:w="80" w:type="dxa"/>
              <w:end w:w="80" w:type="dxa"/>
            </w:tcMar>
            <w:vAlign w:val="center"/>
          </w:tcPr>
          <w:p>
            <w:pPr>
              <w:spacing w:after="0"/>
            </w:pPr>
            <w:r>
              <w:rPr>
                <w:sz w:val="14"/>
              </w:rPr>
              <w:t>NSW1</w:t>
            </w:r>
          </w:p>
        </w:tc>
        <w:tc>
          <w:tcPr>
            <w:tcW w:type="dxa" w:w="1296"/>
            <w:tcMar>
              <w:top w:w="80" w:type="dxa"/>
              <w:start w:w="80" w:type="dxa"/>
              <w:bottom w:w="80" w:type="dxa"/>
              <w:end w:w="80" w:type="dxa"/>
            </w:tcMar>
            <w:vAlign w:val="center"/>
          </w:tcPr>
          <w:p>
            <w:pPr>
              <w:spacing w:after="0"/>
            </w:pPr>
            <w:r>
              <w:rPr>
                <w:sz w:val="14"/>
              </w:rPr>
              <w:t>SARIMA</w:t>
            </w:r>
          </w:p>
        </w:tc>
        <w:tc>
          <w:tcPr>
            <w:tcW w:type="dxa" w:w="1080"/>
            <w:tcMar>
              <w:top w:w="80" w:type="dxa"/>
              <w:start w:w="80" w:type="dxa"/>
              <w:bottom w:w="80" w:type="dxa"/>
              <w:end w:w="80" w:type="dxa"/>
            </w:tcMar>
            <w:vAlign w:val="center"/>
          </w:tcPr>
          <w:p>
            <w:pPr>
              <w:spacing w:after="0"/>
            </w:pPr>
            <w:r>
              <w:rPr>
                <w:sz w:val="14"/>
              </w:rPr>
              <w:t>1330.2</w:t>
            </w:r>
          </w:p>
        </w:tc>
        <w:tc>
          <w:tcPr>
            <w:tcW w:type="dxa" w:w="1080"/>
            <w:tcMar>
              <w:top w:w="80" w:type="dxa"/>
              <w:start w:w="80" w:type="dxa"/>
              <w:bottom w:w="80" w:type="dxa"/>
              <w:end w:w="80" w:type="dxa"/>
            </w:tcMar>
            <w:vAlign w:val="center"/>
          </w:tcPr>
          <w:p>
            <w:pPr>
              <w:spacing w:after="0"/>
            </w:pPr>
            <w:r>
              <w:rPr>
                <w:sz w:val="14"/>
              </w:rPr>
              <w:t>1658.3</w:t>
            </w:r>
          </w:p>
        </w:tc>
        <w:tc>
          <w:tcPr>
            <w:tcW w:type="dxa" w:w="1152"/>
            <w:tcMar>
              <w:top w:w="80" w:type="dxa"/>
              <w:start w:w="80" w:type="dxa"/>
              <w:bottom w:w="80" w:type="dxa"/>
              <w:end w:w="80" w:type="dxa"/>
            </w:tcMar>
            <w:vAlign w:val="center"/>
          </w:tcPr>
          <w:p>
            <w:pPr>
              <w:spacing w:after="0"/>
            </w:pPr>
            <w:r>
              <w:rPr>
                <w:sz w:val="14"/>
              </w:rPr>
              <w:t>19.12%</w:t>
            </w:r>
          </w:p>
        </w:tc>
        <w:tc>
          <w:tcPr>
            <w:tcW w:type="dxa" w:w="792"/>
            <w:tcMar>
              <w:top w:w="80" w:type="dxa"/>
              <w:start w:w="80" w:type="dxa"/>
              <w:bottom w:w="80" w:type="dxa"/>
              <w:end w:w="80" w:type="dxa"/>
            </w:tcMar>
            <w:vAlign w:val="center"/>
          </w:tcPr>
          <w:p>
            <w:pPr>
              <w:spacing w:after="0"/>
            </w:pPr>
            <w:r>
              <w:rPr>
                <w:sz w:val="14"/>
              </w:rPr>
              <w:t>2</w:t>
            </w:r>
          </w:p>
        </w:tc>
        <w:tc>
          <w:tcPr>
            <w:tcW w:type="dxa" w:w="792"/>
            <w:tcMar>
              <w:top w:w="80" w:type="dxa"/>
              <w:start w:w="80" w:type="dxa"/>
              <w:bottom w:w="80" w:type="dxa"/>
              <w:end w:w="80" w:type="dxa"/>
            </w:tcMar>
            <w:vAlign w:val="center"/>
          </w:tcPr>
          <w:p>
            <w:pPr>
              <w:spacing w:after="0"/>
            </w:pPr>
            <w:r>
              <w:rPr>
                <w:sz w:val="14"/>
              </w:rPr>
              <w:t>1</w:t>
            </w:r>
          </w:p>
        </w:tc>
        <w:tc>
          <w:tcPr>
            <w:tcW w:type="dxa" w:w="792"/>
            <w:tcMar>
              <w:top w:w="80" w:type="dxa"/>
              <w:start w:w="80" w:type="dxa"/>
              <w:bottom w:w="80" w:type="dxa"/>
              <w:end w:w="80" w:type="dxa"/>
            </w:tcMar>
            <w:vAlign w:val="center"/>
          </w:tcPr>
          <w:p>
            <w:pPr>
              <w:spacing w:after="0"/>
            </w:pPr>
            <w:r>
              <w:rPr>
                <w:sz w:val="14"/>
              </w:rPr>
              <w:t>0</w:t>
            </w:r>
          </w:p>
        </w:tc>
      </w:tr>
      <w:tr>
        <w:tc>
          <w:tcPr>
            <w:tcW w:type="dxa" w:w="936"/>
            <w:tcMar>
              <w:top w:w="80" w:type="dxa"/>
              <w:start w:w="80" w:type="dxa"/>
              <w:bottom w:w="80" w:type="dxa"/>
              <w:end w:w="80" w:type="dxa"/>
            </w:tcMar>
            <w:vAlign w:val="center"/>
            <w:shd w:fill="F7F9FB"/>
          </w:tcPr>
          <w:p>
            <w:pPr>
              <w:spacing w:after="0"/>
            </w:pPr>
            <w:r>
              <w:rPr>
                <w:sz w:val="14"/>
              </w:rPr>
              <w:t>NSW1</w:t>
            </w:r>
          </w:p>
        </w:tc>
        <w:tc>
          <w:tcPr>
            <w:tcW w:type="dxa" w:w="1296"/>
            <w:tcMar>
              <w:top w:w="80" w:type="dxa"/>
              <w:start w:w="80" w:type="dxa"/>
              <w:bottom w:w="80" w:type="dxa"/>
              <w:end w:w="80" w:type="dxa"/>
            </w:tcMar>
            <w:vAlign w:val="center"/>
            <w:shd w:fill="F7F9FB"/>
          </w:tcPr>
          <w:p>
            <w:pPr>
              <w:spacing w:after="0"/>
            </w:pPr>
            <w:r>
              <w:rPr>
                <w:sz w:val="14"/>
              </w:rPr>
              <w:t>SARIMAX</w:t>
            </w:r>
          </w:p>
        </w:tc>
        <w:tc>
          <w:tcPr>
            <w:tcW w:type="dxa" w:w="1080"/>
            <w:tcMar>
              <w:top w:w="80" w:type="dxa"/>
              <w:start w:w="80" w:type="dxa"/>
              <w:bottom w:w="80" w:type="dxa"/>
              <w:end w:w="80" w:type="dxa"/>
            </w:tcMar>
            <w:vAlign w:val="center"/>
            <w:shd w:fill="F7F9FB"/>
          </w:tcPr>
          <w:p>
            <w:pPr>
              <w:spacing w:after="0"/>
            </w:pPr>
            <w:r>
              <w:rPr>
                <w:sz w:val="14"/>
              </w:rPr>
              <w:t>2105.4</w:t>
            </w:r>
          </w:p>
        </w:tc>
        <w:tc>
          <w:tcPr>
            <w:tcW w:type="dxa" w:w="1080"/>
            <w:tcMar>
              <w:top w:w="80" w:type="dxa"/>
              <w:start w:w="80" w:type="dxa"/>
              <w:bottom w:w="80" w:type="dxa"/>
              <w:end w:w="80" w:type="dxa"/>
            </w:tcMar>
            <w:vAlign w:val="center"/>
            <w:shd w:fill="F7F9FB"/>
          </w:tcPr>
          <w:p>
            <w:pPr>
              <w:spacing w:after="0"/>
            </w:pPr>
            <w:r>
              <w:rPr>
                <w:sz w:val="14"/>
              </w:rPr>
              <w:t>2537.2</w:t>
            </w:r>
          </w:p>
        </w:tc>
        <w:tc>
          <w:tcPr>
            <w:tcW w:type="dxa" w:w="1152"/>
            <w:tcMar>
              <w:top w:w="80" w:type="dxa"/>
              <w:start w:w="80" w:type="dxa"/>
              <w:bottom w:w="80" w:type="dxa"/>
              <w:end w:w="80" w:type="dxa"/>
            </w:tcMar>
            <w:vAlign w:val="center"/>
            <w:shd w:fill="F7F9FB"/>
          </w:tcPr>
          <w:p>
            <w:pPr>
              <w:spacing w:after="0"/>
            </w:pPr>
            <w:r>
              <w:rPr>
                <w:sz w:val="14"/>
              </w:rPr>
              <w:t>29.16%</w:t>
            </w:r>
          </w:p>
        </w:tc>
        <w:tc>
          <w:tcPr>
            <w:tcW w:type="dxa" w:w="792"/>
            <w:tcMar>
              <w:top w:w="80" w:type="dxa"/>
              <w:start w:w="80" w:type="dxa"/>
              <w:bottom w:w="80" w:type="dxa"/>
              <w:end w:w="80" w:type="dxa"/>
            </w:tcMar>
            <w:vAlign w:val="center"/>
            <w:shd w:fill="F7F9FB"/>
          </w:tcPr>
          <w:p>
            <w:pPr>
              <w:spacing w:after="0"/>
            </w:pPr>
            <w:r>
              <w:rPr>
                <w:sz w:val="14"/>
              </w:rPr>
              <w:t>0</w:t>
            </w:r>
          </w:p>
        </w:tc>
        <w:tc>
          <w:tcPr>
            <w:tcW w:type="dxa" w:w="792"/>
            <w:tcMar>
              <w:top w:w="80" w:type="dxa"/>
              <w:start w:w="80" w:type="dxa"/>
              <w:bottom w:w="80" w:type="dxa"/>
              <w:end w:w="80" w:type="dxa"/>
            </w:tcMar>
            <w:vAlign w:val="center"/>
            <w:shd w:fill="F7F9FB"/>
          </w:tcPr>
          <w:p>
            <w:pPr>
              <w:spacing w:after="0"/>
            </w:pPr>
            <w:r>
              <w:rPr>
                <w:sz w:val="14"/>
              </w:rPr>
              <w:t>3</w:t>
            </w:r>
          </w:p>
        </w:tc>
        <w:tc>
          <w:tcPr>
            <w:tcW w:type="dxa" w:w="792"/>
            <w:tcMar>
              <w:top w:w="80" w:type="dxa"/>
              <w:start w:w="80" w:type="dxa"/>
              <w:bottom w:w="80" w:type="dxa"/>
              <w:end w:w="80" w:type="dxa"/>
            </w:tcMar>
            <w:vAlign w:val="center"/>
            <w:shd w:fill="F7F9FB"/>
          </w:tcPr>
          <w:p>
            <w:pPr>
              <w:spacing w:after="0"/>
            </w:pPr>
            <w:r>
              <w:rPr>
                <w:sz w:val="14"/>
              </w:rPr>
              <w:t>0</w:t>
            </w:r>
          </w:p>
        </w:tc>
      </w:tr>
      <w:tr>
        <w:tc>
          <w:tcPr>
            <w:tcW w:type="dxa" w:w="936"/>
            <w:tcMar>
              <w:top w:w="80" w:type="dxa"/>
              <w:start w:w="80" w:type="dxa"/>
              <w:bottom w:w="80" w:type="dxa"/>
              <w:end w:w="80" w:type="dxa"/>
            </w:tcMar>
            <w:vAlign w:val="center"/>
          </w:tcPr>
          <w:p>
            <w:pPr>
              <w:spacing w:after="0"/>
            </w:pPr>
            <w:r>
              <w:rPr>
                <w:sz w:val="14"/>
              </w:rPr>
              <w:t>QLD1</w:t>
            </w:r>
          </w:p>
        </w:tc>
        <w:tc>
          <w:tcPr>
            <w:tcW w:type="dxa" w:w="1296"/>
            <w:tcMar>
              <w:top w:w="80" w:type="dxa"/>
              <w:start w:w="80" w:type="dxa"/>
              <w:bottom w:w="80" w:type="dxa"/>
              <w:end w:w="80" w:type="dxa"/>
            </w:tcMar>
            <w:vAlign w:val="center"/>
          </w:tcPr>
          <w:p>
            <w:pPr>
              <w:spacing w:after="0"/>
            </w:pPr>
            <w:r>
              <w:rPr>
                <w:sz w:val="14"/>
              </w:rPr>
              <w:t>SARIMA</w:t>
            </w:r>
          </w:p>
        </w:tc>
        <w:tc>
          <w:tcPr>
            <w:tcW w:type="dxa" w:w="1080"/>
            <w:tcMar>
              <w:top w:w="80" w:type="dxa"/>
              <w:start w:w="80" w:type="dxa"/>
              <w:bottom w:w="80" w:type="dxa"/>
              <w:end w:w="80" w:type="dxa"/>
            </w:tcMar>
            <w:vAlign w:val="center"/>
          </w:tcPr>
          <w:p>
            <w:pPr>
              <w:spacing w:after="0"/>
            </w:pPr>
            <w:r>
              <w:rPr>
                <w:sz w:val="14"/>
              </w:rPr>
              <w:t>941.2</w:t>
            </w:r>
          </w:p>
        </w:tc>
        <w:tc>
          <w:tcPr>
            <w:tcW w:type="dxa" w:w="1080"/>
            <w:tcMar>
              <w:top w:w="80" w:type="dxa"/>
              <w:start w:w="80" w:type="dxa"/>
              <w:bottom w:w="80" w:type="dxa"/>
              <w:end w:w="80" w:type="dxa"/>
            </w:tcMar>
            <w:vAlign w:val="center"/>
          </w:tcPr>
          <w:p>
            <w:pPr>
              <w:spacing w:after="0"/>
            </w:pPr>
            <w:r>
              <w:rPr>
                <w:sz w:val="14"/>
              </w:rPr>
              <w:t>1241.5</w:t>
            </w:r>
          </w:p>
        </w:tc>
        <w:tc>
          <w:tcPr>
            <w:tcW w:type="dxa" w:w="1152"/>
            <w:tcMar>
              <w:top w:w="80" w:type="dxa"/>
              <w:start w:w="80" w:type="dxa"/>
              <w:bottom w:w="80" w:type="dxa"/>
              <w:end w:w="80" w:type="dxa"/>
            </w:tcMar>
            <w:vAlign w:val="center"/>
          </w:tcPr>
          <w:p>
            <w:pPr>
              <w:spacing w:after="0"/>
            </w:pPr>
            <w:r>
              <w:rPr>
                <w:sz w:val="14"/>
              </w:rPr>
              <w:t>15.80%</w:t>
            </w:r>
          </w:p>
        </w:tc>
        <w:tc>
          <w:tcPr>
            <w:tcW w:type="dxa" w:w="792"/>
            <w:tcMar>
              <w:top w:w="80" w:type="dxa"/>
              <w:start w:w="80" w:type="dxa"/>
              <w:bottom w:w="80" w:type="dxa"/>
              <w:end w:w="80" w:type="dxa"/>
            </w:tcMar>
            <w:vAlign w:val="center"/>
          </w:tcPr>
          <w:p>
            <w:pPr>
              <w:spacing w:after="0"/>
            </w:pPr>
            <w:r>
              <w:rPr>
                <w:sz w:val="14"/>
              </w:rPr>
              <w:t>2</w:t>
            </w:r>
          </w:p>
        </w:tc>
        <w:tc>
          <w:tcPr>
            <w:tcW w:type="dxa" w:w="792"/>
            <w:tcMar>
              <w:top w:w="80" w:type="dxa"/>
              <w:start w:w="80" w:type="dxa"/>
              <w:bottom w:w="80" w:type="dxa"/>
              <w:end w:w="80" w:type="dxa"/>
            </w:tcMar>
            <w:vAlign w:val="center"/>
          </w:tcPr>
          <w:p>
            <w:pPr>
              <w:spacing w:after="0"/>
            </w:pPr>
            <w:r>
              <w:rPr>
                <w:sz w:val="14"/>
              </w:rPr>
              <w:t>1</w:t>
            </w:r>
          </w:p>
        </w:tc>
        <w:tc>
          <w:tcPr>
            <w:tcW w:type="dxa" w:w="792"/>
            <w:tcMar>
              <w:top w:w="80" w:type="dxa"/>
              <w:start w:w="80" w:type="dxa"/>
              <w:bottom w:w="80" w:type="dxa"/>
              <w:end w:w="80" w:type="dxa"/>
            </w:tcMar>
            <w:vAlign w:val="center"/>
          </w:tcPr>
          <w:p>
            <w:pPr>
              <w:spacing w:after="0"/>
            </w:pPr>
            <w:r>
              <w:rPr>
                <w:sz w:val="14"/>
              </w:rPr>
              <w:t>0</w:t>
            </w:r>
          </w:p>
        </w:tc>
      </w:tr>
      <w:tr>
        <w:tc>
          <w:tcPr>
            <w:tcW w:type="dxa" w:w="936"/>
            <w:tcMar>
              <w:top w:w="80" w:type="dxa"/>
              <w:start w:w="80" w:type="dxa"/>
              <w:bottom w:w="80" w:type="dxa"/>
              <w:end w:w="80" w:type="dxa"/>
            </w:tcMar>
            <w:vAlign w:val="center"/>
            <w:shd w:fill="F7F9FB"/>
          </w:tcPr>
          <w:p>
            <w:pPr>
              <w:spacing w:after="0"/>
            </w:pPr>
            <w:r>
              <w:rPr>
                <w:sz w:val="14"/>
              </w:rPr>
              <w:t>QLD1</w:t>
            </w:r>
          </w:p>
        </w:tc>
        <w:tc>
          <w:tcPr>
            <w:tcW w:type="dxa" w:w="1296"/>
            <w:tcMar>
              <w:top w:w="80" w:type="dxa"/>
              <w:start w:w="80" w:type="dxa"/>
              <w:bottom w:w="80" w:type="dxa"/>
              <w:end w:w="80" w:type="dxa"/>
            </w:tcMar>
            <w:vAlign w:val="center"/>
            <w:shd w:fill="F7F9FB"/>
          </w:tcPr>
          <w:p>
            <w:pPr>
              <w:spacing w:after="0"/>
            </w:pPr>
            <w:r>
              <w:rPr>
                <w:sz w:val="14"/>
              </w:rPr>
              <w:t>SARIMAX</w:t>
            </w:r>
          </w:p>
        </w:tc>
        <w:tc>
          <w:tcPr>
            <w:tcW w:type="dxa" w:w="1080"/>
            <w:tcMar>
              <w:top w:w="80" w:type="dxa"/>
              <w:start w:w="80" w:type="dxa"/>
              <w:bottom w:w="80" w:type="dxa"/>
              <w:end w:w="80" w:type="dxa"/>
            </w:tcMar>
            <w:vAlign w:val="center"/>
            <w:shd w:fill="F7F9FB"/>
          </w:tcPr>
          <w:p>
            <w:pPr>
              <w:spacing w:after="0"/>
            </w:pPr>
            <w:r>
              <w:rPr>
                <w:sz w:val="14"/>
              </w:rPr>
              <w:t>1180.7</w:t>
            </w:r>
          </w:p>
        </w:tc>
        <w:tc>
          <w:tcPr>
            <w:tcW w:type="dxa" w:w="1080"/>
            <w:tcMar>
              <w:top w:w="80" w:type="dxa"/>
              <w:start w:w="80" w:type="dxa"/>
              <w:bottom w:w="80" w:type="dxa"/>
              <w:end w:w="80" w:type="dxa"/>
            </w:tcMar>
            <w:vAlign w:val="center"/>
            <w:shd w:fill="F7F9FB"/>
          </w:tcPr>
          <w:p>
            <w:pPr>
              <w:spacing w:after="0"/>
            </w:pPr>
            <w:r>
              <w:rPr>
                <w:sz w:val="14"/>
              </w:rPr>
              <w:t>1492.1</w:t>
            </w:r>
          </w:p>
        </w:tc>
        <w:tc>
          <w:tcPr>
            <w:tcW w:type="dxa" w:w="1152"/>
            <w:tcMar>
              <w:top w:w="80" w:type="dxa"/>
              <w:start w:w="80" w:type="dxa"/>
              <w:bottom w:w="80" w:type="dxa"/>
              <w:end w:w="80" w:type="dxa"/>
            </w:tcMar>
            <w:vAlign w:val="center"/>
            <w:shd w:fill="F7F9FB"/>
          </w:tcPr>
          <w:p>
            <w:pPr>
              <w:spacing w:after="0"/>
            </w:pPr>
            <w:r>
              <w:rPr>
                <w:sz w:val="14"/>
              </w:rPr>
              <w:t>21.55%</w:t>
            </w:r>
          </w:p>
        </w:tc>
        <w:tc>
          <w:tcPr>
            <w:tcW w:type="dxa" w:w="792"/>
            <w:tcMar>
              <w:top w:w="80" w:type="dxa"/>
              <w:start w:w="80" w:type="dxa"/>
              <w:bottom w:w="80" w:type="dxa"/>
              <w:end w:w="80" w:type="dxa"/>
            </w:tcMar>
            <w:vAlign w:val="center"/>
            <w:shd w:fill="F7F9FB"/>
          </w:tcPr>
          <w:p>
            <w:pPr>
              <w:spacing w:after="0"/>
            </w:pPr>
            <w:r>
              <w:rPr>
                <w:sz w:val="14"/>
              </w:rPr>
              <w:t>0</w:t>
            </w:r>
          </w:p>
        </w:tc>
        <w:tc>
          <w:tcPr>
            <w:tcW w:type="dxa" w:w="792"/>
            <w:tcMar>
              <w:top w:w="80" w:type="dxa"/>
              <w:start w:w="80" w:type="dxa"/>
              <w:bottom w:w="80" w:type="dxa"/>
              <w:end w:w="80" w:type="dxa"/>
            </w:tcMar>
            <w:vAlign w:val="center"/>
            <w:shd w:fill="F7F9FB"/>
          </w:tcPr>
          <w:p>
            <w:pPr>
              <w:spacing w:after="0"/>
            </w:pPr>
            <w:r>
              <w:rPr>
                <w:sz w:val="14"/>
              </w:rPr>
              <w:t>1</w:t>
            </w:r>
          </w:p>
        </w:tc>
        <w:tc>
          <w:tcPr>
            <w:tcW w:type="dxa" w:w="792"/>
            <w:tcMar>
              <w:top w:w="80" w:type="dxa"/>
              <w:start w:w="80" w:type="dxa"/>
              <w:bottom w:w="80" w:type="dxa"/>
              <w:end w:w="80" w:type="dxa"/>
            </w:tcMar>
            <w:vAlign w:val="center"/>
            <w:shd w:fill="F7F9FB"/>
          </w:tcPr>
          <w:p>
            <w:pPr>
              <w:spacing w:after="0"/>
            </w:pPr>
            <w:r>
              <w:rPr>
                <w:sz w:val="14"/>
              </w:rPr>
              <w:t>2</w:t>
            </w:r>
          </w:p>
        </w:tc>
      </w:tr>
      <w:tr>
        <w:tc>
          <w:tcPr>
            <w:tcW w:type="dxa" w:w="936"/>
            <w:tcMar>
              <w:top w:w="80" w:type="dxa"/>
              <w:start w:w="80" w:type="dxa"/>
              <w:bottom w:w="80" w:type="dxa"/>
              <w:end w:w="80" w:type="dxa"/>
            </w:tcMar>
            <w:vAlign w:val="center"/>
          </w:tcPr>
          <w:p>
            <w:pPr>
              <w:spacing w:after="0"/>
            </w:pPr>
            <w:r>
              <w:rPr>
                <w:sz w:val="14"/>
              </w:rPr>
              <w:t>SA1</w:t>
            </w:r>
          </w:p>
        </w:tc>
        <w:tc>
          <w:tcPr>
            <w:tcW w:type="dxa" w:w="1296"/>
            <w:tcMar>
              <w:top w:w="80" w:type="dxa"/>
              <w:start w:w="80" w:type="dxa"/>
              <w:bottom w:w="80" w:type="dxa"/>
              <w:end w:w="80" w:type="dxa"/>
            </w:tcMar>
            <w:vAlign w:val="center"/>
          </w:tcPr>
          <w:p>
            <w:pPr>
              <w:spacing w:after="0"/>
            </w:pPr>
            <w:r>
              <w:rPr>
                <w:sz w:val="14"/>
              </w:rPr>
              <w:t>SARIMA</w:t>
            </w:r>
          </w:p>
        </w:tc>
        <w:tc>
          <w:tcPr>
            <w:tcW w:type="dxa" w:w="1080"/>
            <w:tcMar>
              <w:top w:w="80" w:type="dxa"/>
              <w:start w:w="80" w:type="dxa"/>
              <w:bottom w:w="80" w:type="dxa"/>
              <w:end w:w="80" w:type="dxa"/>
            </w:tcMar>
            <w:vAlign w:val="center"/>
          </w:tcPr>
          <w:p>
            <w:pPr>
              <w:spacing w:after="0"/>
            </w:pPr>
            <w:r>
              <w:rPr>
                <w:sz w:val="14"/>
              </w:rPr>
              <w:t>373.0</w:t>
            </w:r>
          </w:p>
        </w:tc>
        <w:tc>
          <w:tcPr>
            <w:tcW w:type="dxa" w:w="1080"/>
            <w:tcMar>
              <w:top w:w="80" w:type="dxa"/>
              <w:start w:w="80" w:type="dxa"/>
              <w:bottom w:w="80" w:type="dxa"/>
              <w:end w:w="80" w:type="dxa"/>
            </w:tcMar>
            <w:vAlign w:val="center"/>
          </w:tcPr>
          <w:p>
            <w:pPr>
              <w:spacing w:after="0"/>
            </w:pPr>
            <w:r>
              <w:rPr>
                <w:sz w:val="14"/>
              </w:rPr>
              <w:t>539.8</w:t>
            </w:r>
          </w:p>
        </w:tc>
        <w:tc>
          <w:tcPr>
            <w:tcW w:type="dxa" w:w="1152"/>
            <w:tcMar>
              <w:top w:w="80" w:type="dxa"/>
              <w:start w:w="80" w:type="dxa"/>
              <w:bottom w:w="80" w:type="dxa"/>
              <w:end w:w="80" w:type="dxa"/>
            </w:tcMar>
            <w:vAlign w:val="center"/>
          </w:tcPr>
          <w:p>
            <w:pPr>
              <w:spacing w:after="0"/>
            </w:pPr>
            <w:r>
              <w:rPr>
                <w:sz w:val="14"/>
              </w:rPr>
              <w:t>37.52%</w:t>
            </w:r>
          </w:p>
        </w:tc>
        <w:tc>
          <w:tcPr>
            <w:tcW w:type="dxa" w:w="792"/>
            <w:tcMar>
              <w:top w:w="80" w:type="dxa"/>
              <w:start w:w="80" w:type="dxa"/>
              <w:bottom w:w="80" w:type="dxa"/>
              <w:end w:w="80" w:type="dxa"/>
            </w:tcMar>
            <w:vAlign w:val="center"/>
          </w:tcPr>
          <w:p>
            <w:pPr>
              <w:spacing w:after="0"/>
            </w:pPr>
            <w:r>
              <w:rPr>
                <w:sz w:val="14"/>
              </w:rPr>
              <w:t>3</w:t>
            </w:r>
          </w:p>
        </w:tc>
        <w:tc>
          <w:tcPr>
            <w:tcW w:type="dxa" w:w="792"/>
            <w:tcMar>
              <w:top w:w="80" w:type="dxa"/>
              <w:start w:w="80" w:type="dxa"/>
              <w:bottom w:w="80" w:type="dxa"/>
              <w:end w:w="80" w:type="dxa"/>
            </w:tcMar>
            <w:vAlign w:val="center"/>
          </w:tcPr>
          <w:p>
            <w:pPr>
              <w:spacing w:after="0"/>
            </w:pPr>
            <w:r>
              <w:rPr>
                <w:sz w:val="14"/>
              </w:rPr>
              <w:t>0</w:t>
            </w:r>
          </w:p>
        </w:tc>
        <w:tc>
          <w:tcPr>
            <w:tcW w:type="dxa" w:w="792"/>
            <w:tcMar>
              <w:top w:w="80" w:type="dxa"/>
              <w:start w:w="80" w:type="dxa"/>
              <w:bottom w:w="80" w:type="dxa"/>
              <w:end w:w="80" w:type="dxa"/>
            </w:tcMar>
            <w:vAlign w:val="center"/>
          </w:tcPr>
          <w:p>
            <w:pPr>
              <w:spacing w:after="0"/>
            </w:pPr>
            <w:r>
              <w:rPr>
                <w:sz w:val="14"/>
              </w:rPr>
              <w:t>0</w:t>
            </w:r>
          </w:p>
        </w:tc>
      </w:tr>
      <w:tr>
        <w:tc>
          <w:tcPr>
            <w:tcW w:type="dxa" w:w="936"/>
            <w:tcMar>
              <w:top w:w="80" w:type="dxa"/>
              <w:start w:w="80" w:type="dxa"/>
              <w:bottom w:w="80" w:type="dxa"/>
              <w:end w:w="80" w:type="dxa"/>
            </w:tcMar>
            <w:vAlign w:val="center"/>
            <w:shd w:fill="F7F9FB"/>
          </w:tcPr>
          <w:p>
            <w:pPr>
              <w:spacing w:after="0"/>
            </w:pPr>
            <w:r>
              <w:rPr>
                <w:sz w:val="14"/>
              </w:rPr>
              <w:t>SA1</w:t>
            </w:r>
          </w:p>
        </w:tc>
        <w:tc>
          <w:tcPr>
            <w:tcW w:type="dxa" w:w="1296"/>
            <w:tcMar>
              <w:top w:w="80" w:type="dxa"/>
              <w:start w:w="80" w:type="dxa"/>
              <w:bottom w:w="80" w:type="dxa"/>
              <w:end w:w="80" w:type="dxa"/>
            </w:tcMar>
            <w:vAlign w:val="center"/>
            <w:shd w:fill="F7F9FB"/>
          </w:tcPr>
          <w:p>
            <w:pPr>
              <w:spacing w:after="0"/>
            </w:pPr>
            <w:r>
              <w:rPr>
                <w:sz w:val="14"/>
              </w:rPr>
              <w:t>SARIMAX</w:t>
            </w:r>
          </w:p>
        </w:tc>
        <w:tc>
          <w:tcPr>
            <w:tcW w:type="dxa" w:w="1080"/>
            <w:tcMar>
              <w:top w:w="80" w:type="dxa"/>
              <w:start w:w="80" w:type="dxa"/>
              <w:bottom w:w="80" w:type="dxa"/>
              <w:end w:w="80" w:type="dxa"/>
            </w:tcMar>
            <w:vAlign w:val="center"/>
            <w:shd w:fill="F7F9FB"/>
          </w:tcPr>
          <w:p>
            <w:pPr>
              <w:spacing w:after="0"/>
            </w:pPr>
            <w:r>
              <w:rPr>
                <w:sz w:val="14"/>
              </w:rPr>
              <w:t>373.5</w:t>
            </w:r>
          </w:p>
        </w:tc>
        <w:tc>
          <w:tcPr>
            <w:tcW w:type="dxa" w:w="1080"/>
            <w:tcMar>
              <w:top w:w="80" w:type="dxa"/>
              <w:start w:w="80" w:type="dxa"/>
              <w:bottom w:w="80" w:type="dxa"/>
              <w:end w:w="80" w:type="dxa"/>
            </w:tcMar>
            <w:vAlign w:val="center"/>
            <w:shd w:fill="F7F9FB"/>
          </w:tcPr>
          <w:p>
            <w:pPr>
              <w:spacing w:after="0"/>
            </w:pPr>
            <w:r>
              <w:rPr>
                <w:sz w:val="14"/>
              </w:rPr>
              <w:t>459.7</w:t>
            </w:r>
          </w:p>
        </w:tc>
        <w:tc>
          <w:tcPr>
            <w:tcW w:type="dxa" w:w="1152"/>
            <w:tcMar>
              <w:top w:w="80" w:type="dxa"/>
              <w:start w:w="80" w:type="dxa"/>
              <w:bottom w:w="80" w:type="dxa"/>
              <w:end w:w="80" w:type="dxa"/>
            </w:tcMar>
            <w:vAlign w:val="center"/>
            <w:shd w:fill="F7F9FB"/>
          </w:tcPr>
          <w:p>
            <w:pPr>
              <w:spacing w:after="0"/>
            </w:pPr>
            <w:r>
              <w:rPr>
                <w:sz w:val="14"/>
              </w:rPr>
              <w:t>37.63%</w:t>
            </w:r>
          </w:p>
        </w:tc>
        <w:tc>
          <w:tcPr>
            <w:tcW w:type="dxa" w:w="792"/>
            <w:tcMar>
              <w:top w:w="80" w:type="dxa"/>
              <w:start w:w="80" w:type="dxa"/>
              <w:bottom w:w="80" w:type="dxa"/>
              <w:end w:w="80" w:type="dxa"/>
            </w:tcMar>
            <w:vAlign w:val="center"/>
            <w:shd w:fill="F7F9FB"/>
          </w:tcPr>
          <w:p>
            <w:pPr>
              <w:spacing w:after="0"/>
            </w:pPr>
            <w:r>
              <w:rPr>
                <w:sz w:val="14"/>
              </w:rPr>
              <w:t>0</w:t>
            </w:r>
          </w:p>
        </w:tc>
        <w:tc>
          <w:tcPr>
            <w:tcW w:type="dxa" w:w="792"/>
            <w:tcMar>
              <w:top w:w="80" w:type="dxa"/>
              <w:start w:w="80" w:type="dxa"/>
              <w:bottom w:w="80" w:type="dxa"/>
              <w:end w:w="80" w:type="dxa"/>
            </w:tcMar>
            <w:vAlign w:val="center"/>
            <w:shd w:fill="F7F9FB"/>
          </w:tcPr>
          <w:p>
            <w:pPr>
              <w:spacing w:after="0"/>
            </w:pPr>
            <w:r>
              <w:rPr>
                <w:sz w:val="14"/>
              </w:rPr>
              <w:t>2</w:t>
            </w:r>
          </w:p>
        </w:tc>
        <w:tc>
          <w:tcPr>
            <w:tcW w:type="dxa" w:w="792"/>
            <w:tcMar>
              <w:top w:w="80" w:type="dxa"/>
              <w:start w:w="80" w:type="dxa"/>
              <w:bottom w:w="80" w:type="dxa"/>
              <w:end w:w="80" w:type="dxa"/>
            </w:tcMar>
            <w:vAlign w:val="center"/>
            <w:shd w:fill="F7F9FB"/>
          </w:tcPr>
          <w:p>
            <w:pPr>
              <w:spacing w:after="0"/>
            </w:pPr>
            <w:r>
              <w:rPr>
                <w:sz w:val="14"/>
              </w:rPr>
              <w:t>1</w:t>
            </w:r>
          </w:p>
        </w:tc>
      </w:tr>
      <w:tr>
        <w:tc>
          <w:tcPr>
            <w:tcW w:type="dxa" w:w="936"/>
            <w:tcMar>
              <w:top w:w="80" w:type="dxa"/>
              <w:start w:w="80" w:type="dxa"/>
              <w:bottom w:w="80" w:type="dxa"/>
              <w:end w:w="80" w:type="dxa"/>
            </w:tcMar>
            <w:vAlign w:val="center"/>
          </w:tcPr>
          <w:p>
            <w:pPr>
              <w:spacing w:after="0"/>
            </w:pPr>
            <w:r>
              <w:rPr>
                <w:sz w:val="14"/>
              </w:rPr>
              <w:t>TAS1</w:t>
            </w:r>
          </w:p>
        </w:tc>
        <w:tc>
          <w:tcPr>
            <w:tcW w:type="dxa" w:w="1296"/>
            <w:tcMar>
              <w:top w:w="80" w:type="dxa"/>
              <w:start w:w="80" w:type="dxa"/>
              <w:bottom w:w="80" w:type="dxa"/>
              <w:end w:w="80" w:type="dxa"/>
            </w:tcMar>
            <w:vAlign w:val="center"/>
          </w:tcPr>
          <w:p>
            <w:pPr>
              <w:spacing w:after="0"/>
            </w:pPr>
            <w:r>
              <w:rPr>
                <w:sz w:val="14"/>
              </w:rPr>
              <w:t>SARIMA</w:t>
            </w:r>
          </w:p>
        </w:tc>
        <w:tc>
          <w:tcPr>
            <w:tcW w:type="dxa" w:w="1080"/>
            <w:tcMar>
              <w:top w:w="80" w:type="dxa"/>
              <w:start w:w="80" w:type="dxa"/>
              <w:bottom w:w="80" w:type="dxa"/>
              <w:end w:w="80" w:type="dxa"/>
            </w:tcMar>
            <w:vAlign w:val="center"/>
          </w:tcPr>
          <w:p>
            <w:pPr>
              <w:spacing w:after="0"/>
            </w:pPr>
            <w:r>
              <w:rPr>
                <w:sz w:val="14"/>
              </w:rPr>
              <w:t>154.6</w:t>
            </w:r>
          </w:p>
        </w:tc>
        <w:tc>
          <w:tcPr>
            <w:tcW w:type="dxa" w:w="1080"/>
            <w:tcMar>
              <w:top w:w="80" w:type="dxa"/>
              <w:start w:w="80" w:type="dxa"/>
              <w:bottom w:w="80" w:type="dxa"/>
              <w:end w:w="80" w:type="dxa"/>
            </w:tcMar>
            <w:vAlign w:val="center"/>
          </w:tcPr>
          <w:p>
            <w:pPr>
              <w:spacing w:after="0"/>
            </w:pPr>
            <w:r>
              <w:rPr>
                <w:sz w:val="14"/>
              </w:rPr>
              <w:t>180.1</w:t>
            </w:r>
          </w:p>
        </w:tc>
        <w:tc>
          <w:tcPr>
            <w:tcW w:type="dxa" w:w="1152"/>
            <w:tcMar>
              <w:top w:w="80" w:type="dxa"/>
              <w:start w:w="80" w:type="dxa"/>
              <w:bottom w:w="80" w:type="dxa"/>
              <w:end w:w="80" w:type="dxa"/>
            </w:tcMar>
            <w:vAlign w:val="center"/>
          </w:tcPr>
          <w:p>
            <w:pPr>
              <w:spacing w:after="0"/>
            </w:pPr>
            <w:r>
              <w:rPr>
                <w:sz w:val="14"/>
              </w:rPr>
              <w:t>14.38%</w:t>
            </w:r>
          </w:p>
        </w:tc>
        <w:tc>
          <w:tcPr>
            <w:tcW w:type="dxa" w:w="792"/>
            <w:tcMar>
              <w:top w:w="80" w:type="dxa"/>
              <w:start w:w="80" w:type="dxa"/>
              <w:bottom w:w="80" w:type="dxa"/>
              <w:end w:w="80" w:type="dxa"/>
            </w:tcMar>
            <w:vAlign w:val="center"/>
          </w:tcPr>
          <w:p>
            <w:pPr>
              <w:spacing w:after="0"/>
            </w:pPr>
            <w:r>
              <w:rPr>
                <w:sz w:val="14"/>
              </w:rPr>
              <w:t>3</w:t>
            </w:r>
          </w:p>
        </w:tc>
        <w:tc>
          <w:tcPr>
            <w:tcW w:type="dxa" w:w="792"/>
            <w:tcMar>
              <w:top w:w="80" w:type="dxa"/>
              <w:start w:w="80" w:type="dxa"/>
              <w:bottom w:w="80" w:type="dxa"/>
              <w:end w:w="80" w:type="dxa"/>
            </w:tcMar>
            <w:vAlign w:val="center"/>
          </w:tcPr>
          <w:p>
            <w:pPr>
              <w:spacing w:after="0"/>
            </w:pPr>
            <w:r>
              <w:rPr>
                <w:sz w:val="14"/>
              </w:rPr>
              <w:t>0</w:t>
            </w:r>
          </w:p>
        </w:tc>
        <w:tc>
          <w:tcPr>
            <w:tcW w:type="dxa" w:w="792"/>
            <w:tcMar>
              <w:top w:w="80" w:type="dxa"/>
              <w:start w:w="80" w:type="dxa"/>
              <w:bottom w:w="80" w:type="dxa"/>
              <w:end w:w="80" w:type="dxa"/>
            </w:tcMar>
            <w:vAlign w:val="center"/>
          </w:tcPr>
          <w:p>
            <w:pPr>
              <w:spacing w:after="0"/>
            </w:pPr>
            <w:r>
              <w:rPr>
                <w:sz w:val="14"/>
              </w:rPr>
              <w:t>0</w:t>
            </w:r>
          </w:p>
        </w:tc>
      </w:tr>
      <w:tr>
        <w:tc>
          <w:tcPr>
            <w:tcW w:type="dxa" w:w="936"/>
            <w:tcMar>
              <w:top w:w="80" w:type="dxa"/>
              <w:start w:w="80" w:type="dxa"/>
              <w:bottom w:w="80" w:type="dxa"/>
              <w:end w:w="80" w:type="dxa"/>
            </w:tcMar>
            <w:vAlign w:val="center"/>
            <w:shd w:fill="F7F9FB"/>
          </w:tcPr>
          <w:p>
            <w:pPr>
              <w:spacing w:after="0"/>
            </w:pPr>
            <w:r>
              <w:rPr>
                <w:sz w:val="14"/>
              </w:rPr>
              <w:t>TAS1</w:t>
            </w:r>
          </w:p>
        </w:tc>
        <w:tc>
          <w:tcPr>
            <w:tcW w:type="dxa" w:w="1296"/>
            <w:tcMar>
              <w:top w:w="80" w:type="dxa"/>
              <w:start w:w="80" w:type="dxa"/>
              <w:bottom w:w="80" w:type="dxa"/>
              <w:end w:w="80" w:type="dxa"/>
            </w:tcMar>
            <w:vAlign w:val="center"/>
            <w:shd w:fill="F7F9FB"/>
          </w:tcPr>
          <w:p>
            <w:pPr>
              <w:spacing w:after="0"/>
            </w:pPr>
            <w:r>
              <w:rPr>
                <w:sz w:val="14"/>
              </w:rPr>
              <w:t>SARIMAX</w:t>
            </w:r>
          </w:p>
        </w:tc>
        <w:tc>
          <w:tcPr>
            <w:tcW w:type="dxa" w:w="1080"/>
            <w:tcMar>
              <w:top w:w="80" w:type="dxa"/>
              <w:start w:w="80" w:type="dxa"/>
              <w:bottom w:w="80" w:type="dxa"/>
              <w:end w:w="80" w:type="dxa"/>
            </w:tcMar>
            <w:vAlign w:val="center"/>
            <w:shd w:fill="F7F9FB"/>
          </w:tcPr>
          <w:p>
            <w:pPr>
              <w:spacing w:after="0"/>
            </w:pPr>
            <w:r>
              <w:rPr>
                <w:sz w:val="14"/>
              </w:rPr>
              <w:t>160.8</w:t>
            </w:r>
          </w:p>
        </w:tc>
        <w:tc>
          <w:tcPr>
            <w:tcW w:type="dxa" w:w="1080"/>
            <w:tcMar>
              <w:top w:w="80" w:type="dxa"/>
              <w:start w:w="80" w:type="dxa"/>
              <w:bottom w:w="80" w:type="dxa"/>
              <w:end w:w="80" w:type="dxa"/>
            </w:tcMar>
            <w:vAlign w:val="center"/>
            <w:shd w:fill="F7F9FB"/>
          </w:tcPr>
          <w:p>
            <w:pPr>
              <w:spacing w:after="0"/>
            </w:pPr>
            <w:r>
              <w:rPr>
                <w:sz w:val="14"/>
              </w:rPr>
              <w:t>200.1</w:t>
            </w:r>
          </w:p>
        </w:tc>
        <w:tc>
          <w:tcPr>
            <w:tcW w:type="dxa" w:w="1152"/>
            <w:tcMar>
              <w:top w:w="80" w:type="dxa"/>
              <w:start w:w="80" w:type="dxa"/>
              <w:bottom w:w="80" w:type="dxa"/>
              <w:end w:w="80" w:type="dxa"/>
            </w:tcMar>
            <w:vAlign w:val="center"/>
            <w:shd w:fill="F7F9FB"/>
          </w:tcPr>
          <w:p>
            <w:pPr>
              <w:spacing w:after="0"/>
            </w:pPr>
            <w:r>
              <w:rPr>
                <w:sz w:val="14"/>
              </w:rPr>
              <w:t>14.99%</w:t>
            </w:r>
          </w:p>
        </w:tc>
        <w:tc>
          <w:tcPr>
            <w:tcW w:type="dxa" w:w="792"/>
            <w:tcMar>
              <w:top w:w="80" w:type="dxa"/>
              <w:start w:w="80" w:type="dxa"/>
              <w:bottom w:w="80" w:type="dxa"/>
              <w:end w:w="80" w:type="dxa"/>
            </w:tcMar>
            <w:vAlign w:val="center"/>
            <w:shd w:fill="F7F9FB"/>
          </w:tcPr>
          <w:p>
            <w:pPr>
              <w:spacing w:after="0"/>
            </w:pPr>
            <w:r>
              <w:rPr>
                <w:sz w:val="14"/>
              </w:rPr>
              <w:t>0</w:t>
            </w:r>
          </w:p>
        </w:tc>
        <w:tc>
          <w:tcPr>
            <w:tcW w:type="dxa" w:w="792"/>
            <w:tcMar>
              <w:top w:w="80" w:type="dxa"/>
              <w:start w:w="80" w:type="dxa"/>
              <w:bottom w:w="80" w:type="dxa"/>
              <w:end w:w="80" w:type="dxa"/>
            </w:tcMar>
            <w:vAlign w:val="center"/>
            <w:shd w:fill="F7F9FB"/>
          </w:tcPr>
          <w:p>
            <w:pPr>
              <w:spacing w:after="0"/>
            </w:pPr>
            <w:r>
              <w:rPr>
                <w:sz w:val="14"/>
              </w:rPr>
              <w:t>2</w:t>
            </w:r>
          </w:p>
        </w:tc>
        <w:tc>
          <w:tcPr>
            <w:tcW w:type="dxa" w:w="792"/>
            <w:tcMar>
              <w:top w:w="80" w:type="dxa"/>
              <w:start w:w="80" w:type="dxa"/>
              <w:bottom w:w="80" w:type="dxa"/>
              <w:end w:w="80" w:type="dxa"/>
            </w:tcMar>
            <w:vAlign w:val="center"/>
            <w:shd w:fill="F7F9FB"/>
          </w:tcPr>
          <w:p>
            <w:pPr>
              <w:spacing w:after="0"/>
            </w:pPr>
            <w:r>
              <w:rPr>
                <w:sz w:val="14"/>
              </w:rPr>
              <w:t>1</w:t>
            </w:r>
          </w:p>
        </w:tc>
      </w:tr>
      <w:tr>
        <w:tc>
          <w:tcPr>
            <w:tcW w:type="dxa" w:w="936"/>
            <w:tcMar>
              <w:top w:w="80" w:type="dxa"/>
              <w:start w:w="80" w:type="dxa"/>
              <w:bottom w:w="80" w:type="dxa"/>
              <w:end w:w="80" w:type="dxa"/>
            </w:tcMar>
            <w:vAlign w:val="center"/>
          </w:tcPr>
          <w:p>
            <w:pPr>
              <w:spacing w:after="0"/>
            </w:pPr>
            <w:r>
              <w:rPr>
                <w:sz w:val="14"/>
              </w:rPr>
              <w:t>VIC1</w:t>
            </w:r>
          </w:p>
        </w:tc>
        <w:tc>
          <w:tcPr>
            <w:tcW w:type="dxa" w:w="1296"/>
            <w:tcMar>
              <w:top w:w="80" w:type="dxa"/>
              <w:start w:w="80" w:type="dxa"/>
              <w:bottom w:w="80" w:type="dxa"/>
              <w:end w:w="80" w:type="dxa"/>
            </w:tcMar>
            <w:vAlign w:val="center"/>
          </w:tcPr>
          <w:p>
            <w:pPr>
              <w:spacing w:after="0"/>
            </w:pPr>
            <w:r>
              <w:rPr>
                <w:sz w:val="14"/>
              </w:rPr>
              <w:t>SARIMA</w:t>
            </w:r>
          </w:p>
        </w:tc>
        <w:tc>
          <w:tcPr>
            <w:tcW w:type="dxa" w:w="1080"/>
            <w:tcMar>
              <w:top w:w="80" w:type="dxa"/>
              <w:start w:w="80" w:type="dxa"/>
              <w:bottom w:w="80" w:type="dxa"/>
              <w:end w:w="80" w:type="dxa"/>
            </w:tcMar>
            <w:vAlign w:val="center"/>
          </w:tcPr>
          <w:p>
            <w:pPr>
              <w:spacing w:after="0"/>
            </w:pPr>
            <w:r>
              <w:rPr>
                <w:sz w:val="14"/>
              </w:rPr>
              <w:t>1010.9</w:t>
            </w:r>
          </w:p>
        </w:tc>
        <w:tc>
          <w:tcPr>
            <w:tcW w:type="dxa" w:w="1080"/>
            <w:tcMar>
              <w:top w:w="80" w:type="dxa"/>
              <w:start w:w="80" w:type="dxa"/>
              <w:bottom w:w="80" w:type="dxa"/>
              <w:end w:w="80" w:type="dxa"/>
            </w:tcMar>
            <w:vAlign w:val="center"/>
          </w:tcPr>
          <w:p>
            <w:pPr>
              <w:spacing w:after="0"/>
            </w:pPr>
            <w:r>
              <w:rPr>
                <w:sz w:val="14"/>
              </w:rPr>
              <w:t>1251.0</w:t>
            </w:r>
          </w:p>
        </w:tc>
        <w:tc>
          <w:tcPr>
            <w:tcW w:type="dxa" w:w="1152"/>
            <w:tcMar>
              <w:top w:w="80" w:type="dxa"/>
              <w:start w:w="80" w:type="dxa"/>
              <w:bottom w:w="80" w:type="dxa"/>
              <w:end w:w="80" w:type="dxa"/>
            </w:tcMar>
            <w:vAlign w:val="center"/>
          </w:tcPr>
          <w:p>
            <w:pPr>
              <w:spacing w:after="0"/>
            </w:pPr>
            <w:r>
              <w:rPr>
                <w:sz w:val="14"/>
              </w:rPr>
              <w:t>22.99%</w:t>
            </w:r>
          </w:p>
        </w:tc>
        <w:tc>
          <w:tcPr>
            <w:tcW w:type="dxa" w:w="792"/>
            <w:tcMar>
              <w:top w:w="80" w:type="dxa"/>
              <w:start w:w="80" w:type="dxa"/>
              <w:bottom w:w="80" w:type="dxa"/>
              <w:end w:w="80" w:type="dxa"/>
            </w:tcMar>
            <w:vAlign w:val="center"/>
          </w:tcPr>
          <w:p>
            <w:pPr>
              <w:spacing w:after="0"/>
            </w:pPr>
            <w:r>
              <w:rPr>
                <w:sz w:val="14"/>
              </w:rPr>
              <w:t>3</w:t>
            </w:r>
          </w:p>
        </w:tc>
        <w:tc>
          <w:tcPr>
            <w:tcW w:type="dxa" w:w="792"/>
            <w:tcMar>
              <w:top w:w="80" w:type="dxa"/>
              <w:start w:w="80" w:type="dxa"/>
              <w:bottom w:w="80" w:type="dxa"/>
              <w:end w:w="80" w:type="dxa"/>
            </w:tcMar>
            <w:vAlign w:val="center"/>
          </w:tcPr>
          <w:p>
            <w:pPr>
              <w:spacing w:after="0"/>
            </w:pPr>
            <w:r>
              <w:rPr>
                <w:sz w:val="14"/>
              </w:rPr>
              <w:t>0</w:t>
            </w:r>
          </w:p>
        </w:tc>
        <w:tc>
          <w:tcPr>
            <w:tcW w:type="dxa" w:w="792"/>
            <w:tcMar>
              <w:top w:w="80" w:type="dxa"/>
              <w:start w:w="80" w:type="dxa"/>
              <w:bottom w:w="80" w:type="dxa"/>
              <w:end w:w="80" w:type="dxa"/>
            </w:tcMar>
            <w:vAlign w:val="center"/>
          </w:tcPr>
          <w:p>
            <w:pPr>
              <w:spacing w:after="0"/>
            </w:pPr>
            <w:r>
              <w:rPr>
                <w:sz w:val="14"/>
              </w:rPr>
              <w:t>0</w:t>
            </w:r>
          </w:p>
        </w:tc>
      </w:tr>
      <w:tr>
        <w:tc>
          <w:tcPr>
            <w:tcW w:type="dxa" w:w="936"/>
            <w:tcMar>
              <w:top w:w="80" w:type="dxa"/>
              <w:start w:w="80" w:type="dxa"/>
              <w:bottom w:w="80" w:type="dxa"/>
              <w:end w:w="80" w:type="dxa"/>
            </w:tcMar>
            <w:vAlign w:val="center"/>
            <w:shd w:fill="F7F9FB"/>
          </w:tcPr>
          <w:p>
            <w:pPr>
              <w:spacing w:after="0"/>
            </w:pPr>
            <w:r>
              <w:rPr>
                <w:sz w:val="14"/>
              </w:rPr>
              <w:t>VIC1</w:t>
            </w:r>
          </w:p>
        </w:tc>
        <w:tc>
          <w:tcPr>
            <w:tcW w:type="dxa" w:w="1296"/>
            <w:tcMar>
              <w:top w:w="80" w:type="dxa"/>
              <w:start w:w="80" w:type="dxa"/>
              <w:bottom w:w="80" w:type="dxa"/>
              <w:end w:w="80" w:type="dxa"/>
            </w:tcMar>
            <w:vAlign w:val="center"/>
            <w:shd w:fill="F7F9FB"/>
          </w:tcPr>
          <w:p>
            <w:pPr>
              <w:spacing w:after="0"/>
            </w:pPr>
            <w:r>
              <w:rPr>
                <w:sz w:val="14"/>
              </w:rPr>
              <w:t>SARIMAX</w:t>
            </w:r>
          </w:p>
        </w:tc>
        <w:tc>
          <w:tcPr>
            <w:tcW w:type="dxa" w:w="1080"/>
            <w:tcMar>
              <w:top w:w="80" w:type="dxa"/>
              <w:start w:w="80" w:type="dxa"/>
              <w:bottom w:w="80" w:type="dxa"/>
              <w:end w:w="80" w:type="dxa"/>
            </w:tcMar>
            <w:vAlign w:val="center"/>
            <w:shd w:fill="F7F9FB"/>
          </w:tcPr>
          <w:p>
            <w:pPr>
              <w:spacing w:after="0"/>
            </w:pPr>
            <w:r>
              <w:rPr>
                <w:sz w:val="14"/>
              </w:rPr>
              <w:t>1147.2</w:t>
            </w:r>
          </w:p>
        </w:tc>
        <w:tc>
          <w:tcPr>
            <w:tcW w:type="dxa" w:w="1080"/>
            <w:tcMar>
              <w:top w:w="80" w:type="dxa"/>
              <w:start w:w="80" w:type="dxa"/>
              <w:bottom w:w="80" w:type="dxa"/>
              <w:end w:w="80" w:type="dxa"/>
            </w:tcMar>
            <w:vAlign w:val="center"/>
            <w:shd w:fill="F7F9FB"/>
          </w:tcPr>
          <w:p>
            <w:pPr>
              <w:spacing w:after="0"/>
            </w:pPr>
            <w:r>
              <w:rPr>
                <w:sz w:val="14"/>
              </w:rPr>
              <w:t>1369.4</w:t>
            </w:r>
          </w:p>
        </w:tc>
        <w:tc>
          <w:tcPr>
            <w:tcW w:type="dxa" w:w="1152"/>
            <w:tcMar>
              <w:top w:w="80" w:type="dxa"/>
              <w:start w:w="80" w:type="dxa"/>
              <w:bottom w:w="80" w:type="dxa"/>
              <w:end w:w="80" w:type="dxa"/>
            </w:tcMar>
            <w:vAlign w:val="center"/>
            <w:shd w:fill="F7F9FB"/>
          </w:tcPr>
          <w:p>
            <w:pPr>
              <w:spacing w:after="0"/>
            </w:pPr>
            <w:r>
              <w:rPr>
                <w:sz w:val="14"/>
              </w:rPr>
              <w:t>25.76%</w:t>
            </w:r>
          </w:p>
        </w:tc>
        <w:tc>
          <w:tcPr>
            <w:tcW w:type="dxa" w:w="792"/>
            <w:tcMar>
              <w:top w:w="80" w:type="dxa"/>
              <w:start w:w="80" w:type="dxa"/>
              <w:bottom w:w="80" w:type="dxa"/>
              <w:end w:w="80" w:type="dxa"/>
            </w:tcMar>
            <w:vAlign w:val="center"/>
            <w:shd w:fill="F7F9FB"/>
          </w:tcPr>
          <w:p>
            <w:pPr>
              <w:spacing w:after="0"/>
            </w:pPr>
            <w:r>
              <w:rPr>
                <w:sz w:val="14"/>
              </w:rPr>
              <w:t>0</w:t>
            </w:r>
          </w:p>
        </w:tc>
        <w:tc>
          <w:tcPr>
            <w:tcW w:type="dxa" w:w="792"/>
            <w:tcMar>
              <w:top w:w="80" w:type="dxa"/>
              <w:start w:w="80" w:type="dxa"/>
              <w:bottom w:w="80" w:type="dxa"/>
              <w:end w:w="80" w:type="dxa"/>
            </w:tcMar>
            <w:vAlign w:val="center"/>
            <w:shd w:fill="F7F9FB"/>
          </w:tcPr>
          <w:p>
            <w:pPr>
              <w:spacing w:after="0"/>
            </w:pPr>
            <w:r>
              <w:rPr>
                <w:sz w:val="14"/>
              </w:rPr>
              <w:t>1</w:t>
            </w:r>
          </w:p>
        </w:tc>
        <w:tc>
          <w:tcPr>
            <w:tcW w:type="dxa" w:w="792"/>
            <w:tcMar>
              <w:top w:w="80" w:type="dxa"/>
              <w:start w:w="80" w:type="dxa"/>
              <w:bottom w:w="80" w:type="dxa"/>
              <w:end w:w="80" w:type="dxa"/>
            </w:tcMar>
            <w:vAlign w:val="center"/>
            <w:shd w:fill="F7F9FB"/>
          </w:tcPr>
          <w:p>
            <w:pPr>
              <w:spacing w:after="0"/>
            </w:pPr>
            <w:r>
              <w:rPr>
                <w:sz w:val="14"/>
              </w:rPr>
              <w:t>2</w:t>
            </w:r>
          </w:p>
        </w:tc>
      </w:tr>
      <w:tr>
        <w:tc>
          <w:tcPr>
            <w:tcW w:type="dxa" w:w="936"/>
            <w:tcMar>
              <w:top w:w="80" w:type="dxa"/>
              <w:start w:w="80" w:type="dxa"/>
              <w:bottom w:w="80" w:type="dxa"/>
              <w:end w:w="80" w:type="dxa"/>
            </w:tcMar>
            <w:vAlign w:val="center"/>
          </w:tcPr>
          <w:p>
            <w:pPr>
              <w:spacing w:after="0"/>
            </w:pPr>
            <w:r>
              <w:rPr>
                <w:sz w:val="14"/>
              </w:rPr>
              <w:t>WA</w:t>
            </w:r>
          </w:p>
        </w:tc>
        <w:tc>
          <w:tcPr>
            <w:tcW w:type="dxa" w:w="1296"/>
            <w:tcMar>
              <w:top w:w="80" w:type="dxa"/>
              <w:start w:w="80" w:type="dxa"/>
              <w:bottom w:w="80" w:type="dxa"/>
              <w:end w:w="80" w:type="dxa"/>
            </w:tcMar>
            <w:vAlign w:val="center"/>
          </w:tcPr>
          <w:p>
            <w:pPr>
              <w:spacing w:after="0"/>
            </w:pPr>
            <w:r>
              <w:rPr>
                <w:sz w:val="14"/>
              </w:rPr>
              <w:t>SARIMA</w:t>
            </w:r>
          </w:p>
        </w:tc>
        <w:tc>
          <w:tcPr>
            <w:tcW w:type="dxa" w:w="1080"/>
            <w:tcMar>
              <w:top w:w="80" w:type="dxa"/>
              <w:start w:w="80" w:type="dxa"/>
              <w:bottom w:w="80" w:type="dxa"/>
              <w:end w:w="80" w:type="dxa"/>
            </w:tcMar>
            <w:vAlign w:val="center"/>
          </w:tcPr>
          <w:p>
            <w:pPr>
              <w:spacing w:after="0"/>
            </w:pPr>
            <w:r>
              <w:rPr>
                <w:sz w:val="14"/>
              </w:rPr>
              <w:t>453.4</w:t>
            </w:r>
          </w:p>
        </w:tc>
        <w:tc>
          <w:tcPr>
            <w:tcW w:type="dxa" w:w="1080"/>
            <w:tcMar>
              <w:top w:w="80" w:type="dxa"/>
              <w:start w:w="80" w:type="dxa"/>
              <w:bottom w:w="80" w:type="dxa"/>
              <w:end w:w="80" w:type="dxa"/>
            </w:tcMar>
            <w:vAlign w:val="center"/>
          </w:tcPr>
          <w:p>
            <w:pPr>
              <w:spacing w:after="0"/>
            </w:pPr>
            <w:r>
              <w:rPr>
                <w:sz w:val="14"/>
              </w:rPr>
              <w:t>575.4</w:t>
            </w:r>
          </w:p>
        </w:tc>
        <w:tc>
          <w:tcPr>
            <w:tcW w:type="dxa" w:w="1152"/>
            <w:tcMar>
              <w:top w:w="80" w:type="dxa"/>
              <w:start w:w="80" w:type="dxa"/>
              <w:bottom w:w="80" w:type="dxa"/>
              <w:end w:w="80" w:type="dxa"/>
            </w:tcMar>
            <w:vAlign w:val="center"/>
          </w:tcPr>
          <w:p>
            <w:pPr>
              <w:spacing w:after="0"/>
            </w:pPr>
            <w:r>
              <w:rPr>
                <w:sz w:val="14"/>
              </w:rPr>
              <w:t>24.44%</w:t>
            </w:r>
          </w:p>
        </w:tc>
        <w:tc>
          <w:tcPr>
            <w:tcW w:type="dxa" w:w="792"/>
            <w:tcMar>
              <w:top w:w="80" w:type="dxa"/>
              <w:start w:w="80" w:type="dxa"/>
              <w:bottom w:w="80" w:type="dxa"/>
              <w:end w:w="80" w:type="dxa"/>
            </w:tcMar>
            <w:vAlign w:val="center"/>
          </w:tcPr>
          <w:p>
            <w:pPr>
              <w:spacing w:after="0"/>
            </w:pPr>
            <w:r>
              <w:rPr>
                <w:sz w:val="14"/>
              </w:rPr>
              <w:t>3</w:t>
            </w:r>
          </w:p>
        </w:tc>
        <w:tc>
          <w:tcPr>
            <w:tcW w:type="dxa" w:w="792"/>
            <w:tcMar>
              <w:top w:w="80" w:type="dxa"/>
              <w:start w:w="80" w:type="dxa"/>
              <w:bottom w:w="80" w:type="dxa"/>
              <w:end w:w="80" w:type="dxa"/>
            </w:tcMar>
            <w:vAlign w:val="center"/>
          </w:tcPr>
          <w:p>
            <w:pPr>
              <w:spacing w:after="0"/>
            </w:pPr>
            <w:r>
              <w:rPr>
                <w:sz w:val="14"/>
              </w:rPr>
              <w:t>0</w:t>
            </w:r>
          </w:p>
        </w:tc>
        <w:tc>
          <w:tcPr>
            <w:tcW w:type="dxa" w:w="792"/>
            <w:tcMar>
              <w:top w:w="80" w:type="dxa"/>
              <w:start w:w="80" w:type="dxa"/>
              <w:bottom w:w="80" w:type="dxa"/>
              <w:end w:w="80" w:type="dxa"/>
            </w:tcMar>
            <w:vAlign w:val="center"/>
          </w:tcPr>
          <w:p>
            <w:pPr>
              <w:spacing w:after="0"/>
            </w:pPr>
            <w:r>
              <w:rPr>
                <w:sz w:val="14"/>
              </w:rPr>
              <w:t>0</w:t>
            </w:r>
          </w:p>
        </w:tc>
      </w:tr>
      <w:tr>
        <w:tc>
          <w:tcPr>
            <w:tcW w:type="dxa" w:w="936"/>
            <w:tcMar>
              <w:top w:w="80" w:type="dxa"/>
              <w:start w:w="80" w:type="dxa"/>
              <w:bottom w:w="80" w:type="dxa"/>
              <w:end w:w="80" w:type="dxa"/>
            </w:tcMar>
            <w:vAlign w:val="center"/>
            <w:shd w:fill="F7F9FB"/>
          </w:tcPr>
          <w:p>
            <w:pPr>
              <w:spacing w:after="0"/>
            </w:pPr>
            <w:r>
              <w:rPr>
                <w:sz w:val="14"/>
              </w:rPr>
              <w:t>WA</w:t>
            </w:r>
          </w:p>
        </w:tc>
        <w:tc>
          <w:tcPr>
            <w:tcW w:type="dxa" w:w="1296"/>
            <w:tcMar>
              <w:top w:w="80" w:type="dxa"/>
              <w:start w:w="80" w:type="dxa"/>
              <w:bottom w:w="80" w:type="dxa"/>
              <w:end w:w="80" w:type="dxa"/>
            </w:tcMar>
            <w:vAlign w:val="center"/>
            <w:shd w:fill="F7F9FB"/>
          </w:tcPr>
          <w:p>
            <w:pPr>
              <w:spacing w:after="0"/>
            </w:pPr>
            <w:r>
              <w:rPr>
                <w:sz w:val="14"/>
              </w:rPr>
              <w:t>SARIMAX</w:t>
            </w:r>
          </w:p>
        </w:tc>
        <w:tc>
          <w:tcPr>
            <w:tcW w:type="dxa" w:w="1080"/>
            <w:tcMar>
              <w:top w:w="80" w:type="dxa"/>
              <w:start w:w="80" w:type="dxa"/>
              <w:bottom w:w="80" w:type="dxa"/>
              <w:end w:w="80" w:type="dxa"/>
            </w:tcMar>
            <w:vAlign w:val="center"/>
            <w:shd w:fill="F7F9FB"/>
          </w:tcPr>
          <w:p>
            <w:pPr>
              <w:spacing w:after="0"/>
            </w:pPr>
            <w:r>
              <w:rPr>
                <w:sz w:val="14"/>
              </w:rPr>
              <w:t>339.5</w:t>
            </w:r>
          </w:p>
        </w:tc>
        <w:tc>
          <w:tcPr>
            <w:tcW w:type="dxa" w:w="1080"/>
            <w:tcMar>
              <w:top w:w="80" w:type="dxa"/>
              <w:start w:w="80" w:type="dxa"/>
              <w:bottom w:w="80" w:type="dxa"/>
              <w:end w:w="80" w:type="dxa"/>
            </w:tcMar>
            <w:vAlign w:val="center"/>
            <w:shd w:fill="F7F9FB"/>
          </w:tcPr>
          <w:p>
            <w:pPr>
              <w:spacing w:after="0"/>
            </w:pPr>
            <w:r>
              <w:rPr>
                <w:sz w:val="14"/>
              </w:rPr>
              <w:t>442.5</w:t>
            </w:r>
          </w:p>
        </w:tc>
        <w:tc>
          <w:tcPr>
            <w:tcW w:type="dxa" w:w="1152"/>
            <w:tcMar>
              <w:top w:w="80" w:type="dxa"/>
              <w:start w:w="80" w:type="dxa"/>
              <w:bottom w:w="80" w:type="dxa"/>
              <w:end w:w="80" w:type="dxa"/>
            </w:tcMar>
            <w:vAlign w:val="center"/>
            <w:shd w:fill="F7F9FB"/>
          </w:tcPr>
          <w:p>
            <w:pPr>
              <w:spacing w:after="0"/>
            </w:pPr>
            <w:r>
              <w:rPr>
                <w:sz w:val="14"/>
              </w:rPr>
              <w:t>18.41%</w:t>
            </w:r>
          </w:p>
        </w:tc>
        <w:tc>
          <w:tcPr>
            <w:tcW w:type="dxa" w:w="792"/>
            <w:tcMar>
              <w:top w:w="80" w:type="dxa"/>
              <w:start w:w="80" w:type="dxa"/>
              <w:bottom w:w="80" w:type="dxa"/>
              <w:end w:w="80" w:type="dxa"/>
            </w:tcMar>
            <w:vAlign w:val="center"/>
            <w:shd w:fill="F7F9FB"/>
          </w:tcPr>
          <w:p>
            <w:pPr>
              <w:spacing w:after="0"/>
            </w:pPr>
            <w:r>
              <w:rPr>
                <w:sz w:val="14"/>
              </w:rPr>
              <w:t>0</w:t>
            </w:r>
          </w:p>
        </w:tc>
        <w:tc>
          <w:tcPr>
            <w:tcW w:type="dxa" w:w="792"/>
            <w:tcMar>
              <w:top w:w="80" w:type="dxa"/>
              <w:start w:w="80" w:type="dxa"/>
              <w:bottom w:w="80" w:type="dxa"/>
              <w:end w:w="80" w:type="dxa"/>
            </w:tcMar>
            <w:vAlign w:val="center"/>
            <w:shd w:fill="F7F9FB"/>
          </w:tcPr>
          <w:p>
            <w:pPr>
              <w:spacing w:after="0"/>
            </w:pPr>
            <w:r>
              <w:rPr>
                <w:sz w:val="14"/>
              </w:rPr>
              <w:t>1</w:t>
            </w:r>
          </w:p>
        </w:tc>
        <w:tc>
          <w:tcPr>
            <w:tcW w:type="dxa" w:w="792"/>
            <w:tcMar>
              <w:top w:w="80" w:type="dxa"/>
              <w:start w:w="80" w:type="dxa"/>
              <w:bottom w:w="80" w:type="dxa"/>
              <w:end w:w="80" w:type="dxa"/>
            </w:tcMar>
            <w:vAlign w:val="center"/>
            <w:shd w:fill="F7F9FB"/>
          </w:tcPr>
          <w:p>
            <w:pPr>
              <w:spacing w:after="0"/>
            </w:pPr>
            <w:r>
              <w:rPr>
                <w:sz w:val="14"/>
              </w:rPr>
              <w:t>2</w:t>
            </w:r>
          </w:p>
        </w:tc>
      </w:tr>
    </w:tbl>
    <w:p>
      <w:pPr>
        <w:spacing w:after="20"/>
      </w:pPr>
    </w:p>
    <w:p>
      <w:pPr>
        <w:spacing w:after="100"/>
      </w:pPr>
      <w:r>
        <w:t>Neither statistical variant became the selected regional production model. This is still a valuable result: the team can demonstrate that the statistical tier was actually evaluated and found less suitable for the long recursive horizon rather than being excluded because of preference for machine learning.</w:t>
      </w:r>
    </w:p>
    <w:p>
      <w:pPr>
        <w:pStyle w:val="Heading1"/>
      </w:pPr>
      <w:r>
        <w:t>4. Live seven-day weather update</w:t>
      </w:r>
    </w:p>
    <w:p>
      <w:pPr>
        <w:spacing w:after="100"/>
      </w:pPr>
      <w:r>
        <w:t>The Model B pathway distinguishes weather provenance instead of treating every future weather value as equally trustworthy. Historical observed/reanalysis weather is valid for learning relationships. In live 2026 operation, only a genuine FORECAST_7DAY vintage issued by the forecast origin is used as future weather. After the available seven-day window, the four-month frame falls back to origin-safe climatology. Forecast vintages are archived so later verification can identify exactly what was known at the time.</w:t>
      </w:r>
    </w:p>
    <w:tbl>
      <w:tblPr>
        <w:tblStyle w:val="TableGrid"/>
        <w:tblW w:type="auto" w:w="0"/>
        <w:jc w:val="center"/>
        <w:tblLayout w:type="fixed"/>
        <w:tblLook w:firstColumn="1" w:firstRow="1" w:lastColumn="0" w:lastRow="0" w:noHBand="0" w:noVBand="1" w:val="04A0"/>
      </w:tblPr>
      <w:tblGrid>
        <w:gridCol w:w="5061"/>
        <w:gridCol w:w="5061"/>
      </w:tblGrid>
      <w:tr>
        <w:trPr>
          <w:tblHeader w:val="true"/>
        </w:trPr>
        <w:tc>
          <w:tcPr>
            <w:tcW w:type="dxa" w:w="3888"/>
            <w:shd w:fill="17365D"/>
            <w:tcMar>
              <w:top w:w="80" w:type="dxa"/>
              <w:start w:w="80" w:type="dxa"/>
              <w:bottom w:w="80" w:type="dxa"/>
              <w:end w:w="80" w:type="dxa"/>
            </w:tcMar>
            <w:vAlign w:val="center"/>
          </w:tcPr>
          <w:p>
            <w:r>
              <w:rPr>
                <w:b/>
                <w:color w:val="FFFFFF"/>
                <w:sz w:val="16"/>
              </w:rPr>
              <w:t>Future weather state</w:t>
            </w:r>
          </w:p>
        </w:tc>
        <w:tc>
          <w:tcPr>
            <w:tcW w:type="dxa" w:w="6192"/>
            <w:shd w:fill="17365D"/>
            <w:tcMar>
              <w:top w:w="80" w:type="dxa"/>
              <w:start w:w="80" w:type="dxa"/>
              <w:bottom w:w="80" w:type="dxa"/>
              <w:end w:w="80" w:type="dxa"/>
            </w:tcMar>
            <w:vAlign w:val="center"/>
          </w:tcPr>
          <w:p>
            <w:r>
              <w:rPr>
                <w:b/>
                <w:color w:val="FFFFFF"/>
                <w:sz w:val="16"/>
              </w:rPr>
              <w:t>How Stage 3 handles it</w:t>
            </w:r>
          </w:p>
        </w:tc>
      </w:tr>
      <w:tr>
        <w:tc>
          <w:tcPr>
            <w:tcW w:type="dxa" w:w="3888"/>
            <w:tcMar>
              <w:top w:w="80" w:type="dxa"/>
              <w:start w:w="80" w:type="dxa"/>
              <w:bottom w:w="80" w:type="dxa"/>
              <w:end w:w="80" w:type="dxa"/>
            </w:tcMar>
            <w:vAlign w:val="center"/>
          </w:tcPr>
          <w:p>
            <w:pPr>
              <w:spacing w:after="0"/>
            </w:pPr>
            <w:r>
              <w:rPr>
                <w:sz w:val="16"/>
              </w:rPr>
              <w:t>FORECAST_7DAY issued on/before origin</w:t>
            </w:r>
          </w:p>
        </w:tc>
        <w:tc>
          <w:tcPr>
            <w:tcW w:type="dxa" w:w="6192"/>
            <w:tcMar>
              <w:top w:w="80" w:type="dxa"/>
              <w:start w:w="80" w:type="dxa"/>
              <w:bottom w:w="80" w:type="dxa"/>
              <w:end w:w="80" w:type="dxa"/>
            </w:tcMar>
            <w:vAlign w:val="center"/>
          </w:tcPr>
          <w:p>
            <w:pPr>
              <w:spacing w:after="0"/>
            </w:pPr>
            <w:r>
              <w:rPr>
                <w:sz w:val="16"/>
              </w:rPr>
              <w:t>Allowed as genuine forecast input for Model B.</w:t>
            </w:r>
          </w:p>
        </w:tc>
      </w:tr>
      <w:tr>
        <w:tc>
          <w:tcPr>
            <w:tcW w:type="dxa" w:w="3888"/>
            <w:tcMar>
              <w:top w:w="80" w:type="dxa"/>
              <w:start w:w="80" w:type="dxa"/>
              <w:bottom w:w="80" w:type="dxa"/>
              <w:end w:w="80" w:type="dxa"/>
            </w:tcMar>
            <w:vAlign w:val="center"/>
            <w:shd w:fill="F7F9FB"/>
          </w:tcPr>
          <w:p>
            <w:pPr>
              <w:spacing w:after="0"/>
            </w:pPr>
            <w:r>
              <w:rPr>
                <w:sz w:val="16"/>
              </w:rPr>
              <w:t>Forecast issued after the frozen month-start origin</w:t>
            </w:r>
          </w:p>
        </w:tc>
        <w:tc>
          <w:tcPr>
            <w:tcW w:type="dxa" w:w="6192"/>
            <w:tcMar>
              <w:top w:w="80" w:type="dxa"/>
              <w:start w:w="80" w:type="dxa"/>
              <w:bottom w:w="80" w:type="dxa"/>
              <w:end w:w="80" w:type="dxa"/>
            </w:tcMar>
            <w:vAlign w:val="center"/>
            <w:shd w:fill="F7F9FB"/>
          </w:tcPr>
          <w:p>
            <w:pPr>
              <w:spacing w:after="0"/>
            </w:pPr>
            <w:r>
              <w:rPr>
                <w:sz w:val="16"/>
              </w:rPr>
              <w:t>Rejected from the frozen forecast because it was not yet known.</w:t>
            </w:r>
          </w:p>
        </w:tc>
      </w:tr>
      <w:tr>
        <w:tc>
          <w:tcPr>
            <w:tcW w:type="dxa" w:w="3888"/>
            <w:tcMar>
              <w:top w:w="80" w:type="dxa"/>
              <w:start w:w="80" w:type="dxa"/>
              <w:bottom w:w="80" w:type="dxa"/>
              <w:end w:w="80" w:type="dxa"/>
            </w:tcMar>
            <w:vAlign w:val="center"/>
          </w:tcPr>
          <w:p>
            <w:pPr>
              <w:spacing w:after="0"/>
            </w:pPr>
            <w:r>
              <w:rPr>
                <w:sz w:val="16"/>
              </w:rPr>
              <w:t>Beyond genuine forecast horizon</w:t>
            </w:r>
          </w:p>
        </w:tc>
        <w:tc>
          <w:tcPr>
            <w:tcW w:type="dxa" w:w="6192"/>
            <w:tcMar>
              <w:top w:w="80" w:type="dxa"/>
              <w:start w:w="80" w:type="dxa"/>
              <w:bottom w:w="80" w:type="dxa"/>
              <w:end w:w="80" w:type="dxa"/>
            </w:tcMar>
            <w:vAlign w:val="center"/>
          </w:tcPr>
          <w:p>
            <w:pPr>
              <w:spacing w:after="0"/>
            </w:pPr>
            <w:r>
              <w:rPr>
                <w:sz w:val="16"/>
              </w:rPr>
              <w:t>CLIMATOLOGY_FALLBACK; never relabelled as an observed future.</w:t>
            </w:r>
          </w:p>
        </w:tc>
      </w:tr>
      <w:tr>
        <w:tc>
          <w:tcPr>
            <w:tcW w:type="dxa" w:w="3888"/>
            <w:tcMar>
              <w:top w:w="80" w:type="dxa"/>
              <w:start w:w="80" w:type="dxa"/>
              <w:bottom w:w="80" w:type="dxa"/>
              <w:end w:w="80" w:type="dxa"/>
            </w:tcMar>
            <w:vAlign w:val="center"/>
            <w:shd w:fill="F7F9FB"/>
          </w:tcPr>
          <w:p>
            <w:pPr>
              <w:spacing w:after="0"/>
            </w:pPr>
            <w:r>
              <w:rPr>
                <w:sz w:val="16"/>
              </w:rPr>
              <w:t>Historical realised weather in backtest target period</w:t>
            </w:r>
          </w:p>
        </w:tc>
        <w:tc>
          <w:tcPr>
            <w:tcW w:type="dxa" w:w="6192"/>
            <w:tcMar>
              <w:top w:w="80" w:type="dxa"/>
              <w:start w:w="80" w:type="dxa"/>
              <w:bottom w:w="80" w:type="dxa"/>
              <w:end w:w="80" w:type="dxa"/>
            </w:tcMar>
            <w:vAlign w:val="center"/>
            <w:shd w:fill="F7F9FB"/>
          </w:tcPr>
          <w:p>
            <w:pPr>
              <w:spacing w:after="0"/>
            </w:pPr>
            <w:r>
              <w:rPr>
                <w:sz w:val="16"/>
              </w:rPr>
              <w:t>Hidden/rebuilt to prevent leakage unless a genuine archived forecast vintage exists.</w:t>
            </w:r>
          </w:p>
        </w:tc>
      </w:tr>
    </w:tbl>
    <w:p>
      <w:pPr>
        <w:spacing w:after="20"/>
      </w:pPr>
    </w:p>
    <w:p>
      <w:pPr>
        <w:pStyle w:val="Heading1"/>
      </w:pPr>
      <w:r>
        <w:t>5. AEMO secondary benchmark</w:t>
      </w:r>
    </w:p>
    <w:p>
      <w:pPr>
        <w:spacing w:after="100"/>
      </w:pPr>
      <w:r>
        <w:t>The project target is Operational Demand. The available AEMO dashboard/pre-dispatch TOTALDEMAND represents Scheduled Demand and therefore is not assumed to be the same quantity. Sudip’s benchmark workstream keeps AEMO outside all predictor sets and labels comparisons as source consistency or forecast divergence. This protects the report from turning a high-correlation external series into a false “accuracy” claim.</w:t>
      </w:r>
    </w:p>
    <w:tbl>
      <w:tblPr>
        <w:tblStyle w:val="TableGrid"/>
        <w:tblW w:type="auto" w:w="0"/>
        <w:jc w:val="center"/>
        <w:tblLayout w:type="fixed"/>
        <w:tblLook w:firstColumn="1" w:firstRow="1" w:lastColumn="0" w:lastRow="0" w:noHBand="0" w:noVBand="1" w:val="04A0"/>
      </w:tblPr>
      <w:tblGrid>
        <w:gridCol w:w="2025"/>
        <w:gridCol w:w="2025"/>
        <w:gridCol w:w="2025"/>
        <w:gridCol w:w="2025"/>
        <w:gridCol w:w="2025"/>
      </w:tblGrid>
      <w:tr>
        <w:trPr>
          <w:tblHeader w:val="true"/>
        </w:trPr>
        <w:tc>
          <w:tcPr>
            <w:tcW w:type="dxa" w:w="1008"/>
            <w:shd w:fill="17365D"/>
            <w:tcMar>
              <w:top w:w="80" w:type="dxa"/>
              <w:start w:w="80" w:type="dxa"/>
              <w:bottom w:w="80" w:type="dxa"/>
              <w:end w:w="80" w:type="dxa"/>
            </w:tcMar>
            <w:vAlign w:val="center"/>
          </w:tcPr>
          <w:p>
            <w:r>
              <w:rPr>
                <w:b/>
                <w:color w:val="FFFFFF"/>
                <w:sz w:val="15"/>
              </w:rPr>
              <w:t>Region</w:t>
            </w:r>
          </w:p>
        </w:tc>
        <w:tc>
          <w:tcPr>
            <w:tcW w:type="dxa" w:w="1440"/>
            <w:shd w:fill="17365D"/>
            <w:tcMar>
              <w:top w:w="80" w:type="dxa"/>
              <w:start w:w="80" w:type="dxa"/>
              <w:bottom w:w="80" w:type="dxa"/>
              <w:end w:w="80" w:type="dxa"/>
            </w:tcMar>
            <w:vAlign w:val="center"/>
          </w:tcPr>
          <w:p>
            <w:r>
              <w:rPr>
                <w:b/>
                <w:color w:val="FFFFFF"/>
                <w:sz w:val="15"/>
              </w:rPr>
              <w:t>Available hrs</w:t>
            </w:r>
          </w:p>
        </w:tc>
        <w:tc>
          <w:tcPr>
            <w:tcW w:type="dxa" w:w="1584"/>
            <w:shd w:fill="17365D"/>
            <w:tcMar>
              <w:top w:w="80" w:type="dxa"/>
              <w:start w:w="80" w:type="dxa"/>
              <w:bottom w:w="80" w:type="dxa"/>
              <w:end w:w="80" w:type="dxa"/>
            </w:tcMar>
            <w:vAlign w:val="center"/>
          </w:tcPr>
          <w:p>
            <w:r>
              <w:rPr>
                <w:b/>
                <w:color w:val="FFFFFF"/>
                <w:sz w:val="15"/>
              </w:rPr>
              <w:t>Mean margin</w:t>
            </w:r>
          </w:p>
        </w:tc>
        <w:tc>
          <w:tcPr>
            <w:tcW w:type="dxa" w:w="1584"/>
            <w:shd w:fill="17365D"/>
            <w:tcMar>
              <w:top w:w="80" w:type="dxa"/>
              <w:start w:w="80" w:type="dxa"/>
              <w:bottom w:w="80" w:type="dxa"/>
              <w:end w:w="80" w:type="dxa"/>
            </w:tcMar>
            <w:vAlign w:val="center"/>
          </w:tcPr>
          <w:p>
            <w:r>
              <w:rPr>
                <w:b/>
                <w:color w:val="FFFFFF"/>
                <w:sz w:val="15"/>
              </w:rPr>
              <w:t>Mean |margin|</w:t>
            </w:r>
          </w:p>
        </w:tc>
        <w:tc>
          <w:tcPr>
            <w:tcW w:type="dxa" w:w="3312"/>
            <w:shd w:fill="17365D"/>
            <w:tcMar>
              <w:top w:w="80" w:type="dxa"/>
              <w:start w:w="80" w:type="dxa"/>
              <w:bottom w:w="80" w:type="dxa"/>
              <w:end w:w="80" w:type="dxa"/>
            </w:tcMar>
            <w:vAlign w:val="center"/>
          </w:tcPr>
          <w:p>
            <w:r>
              <w:rPr>
                <w:b/>
                <w:color w:val="FFFFFF"/>
                <w:sz w:val="15"/>
              </w:rPr>
              <w:t>Status</w:t>
            </w:r>
          </w:p>
        </w:tc>
      </w:tr>
      <w:tr>
        <w:tc>
          <w:tcPr>
            <w:tcW w:type="dxa" w:w="1008"/>
            <w:tcMar>
              <w:top w:w="80" w:type="dxa"/>
              <w:start w:w="80" w:type="dxa"/>
              <w:bottom w:w="80" w:type="dxa"/>
              <w:end w:w="80" w:type="dxa"/>
            </w:tcMar>
            <w:vAlign w:val="center"/>
          </w:tcPr>
          <w:p>
            <w:pPr>
              <w:spacing w:after="0"/>
            </w:pPr>
            <w:r>
              <w:rPr>
                <w:sz w:val="15"/>
              </w:rPr>
              <w:t>NSW1</w:t>
            </w:r>
          </w:p>
        </w:tc>
        <w:tc>
          <w:tcPr>
            <w:tcW w:type="dxa" w:w="1440"/>
            <w:tcMar>
              <w:top w:w="80" w:type="dxa"/>
              <w:start w:w="80" w:type="dxa"/>
              <w:bottom w:w="80" w:type="dxa"/>
              <w:end w:w="80" w:type="dxa"/>
            </w:tcMar>
            <w:vAlign w:val="center"/>
          </w:tcPr>
          <w:p>
            <w:pPr>
              <w:spacing w:after="0"/>
            </w:pPr>
            <w:r>
              <w:rPr>
                <w:sz w:val="15"/>
              </w:rPr>
              <w:t>37.5</w:t>
            </w:r>
          </w:p>
        </w:tc>
        <w:tc>
          <w:tcPr>
            <w:tcW w:type="dxa" w:w="1584"/>
            <w:tcMar>
              <w:top w:w="80" w:type="dxa"/>
              <w:start w:w="80" w:type="dxa"/>
              <w:bottom w:w="80" w:type="dxa"/>
              <w:end w:w="80" w:type="dxa"/>
            </w:tcMar>
            <w:vAlign w:val="center"/>
          </w:tcPr>
          <w:p>
            <w:pPr>
              <w:spacing w:after="0"/>
            </w:pPr>
            <w:r>
              <w:rPr>
                <w:sz w:val="15"/>
              </w:rPr>
              <w:t>-5.0</w:t>
            </w:r>
          </w:p>
        </w:tc>
        <w:tc>
          <w:tcPr>
            <w:tcW w:type="dxa" w:w="1584"/>
            <w:tcMar>
              <w:top w:w="80" w:type="dxa"/>
              <w:start w:w="80" w:type="dxa"/>
              <w:bottom w:w="80" w:type="dxa"/>
              <w:end w:w="80" w:type="dxa"/>
            </w:tcMar>
            <w:vAlign w:val="center"/>
          </w:tcPr>
          <w:p>
            <w:pPr>
              <w:spacing w:after="0"/>
            </w:pPr>
            <w:r>
              <w:rPr>
                <w:sz w:val="15"/>
              </w:rPr>
              <w:t>259.4</w:t>
            </w:r>
          </w:p>
        </w:tc>
        <w:tc>
          <w:tcPr>
            <w:tcW w:type="dxa" w:w="3312"/>
            <w:tcMar>
              <w:top w:w="80" w:type="dxa"/>
              <w:start w:w="80" w:type="dxa"/>
              <w:bottom w:w="80" w:type="dxa"/>
              <w:end w:w="80" w:type="dxa"/>
            </w:tcMar>
            <w:vAlign w:val="center"/>
          </w:tcPr>
          <w:p>
            <w:pPr>
              <w:spacing w:after="0"/>
            </w:pPr>
            <w:r>
              <w:rPr>
                <w:sz w:val="15"/>
              </w:rPr>
              <w:t>FORECAST_ONLY</w:t>
            </w:r>
          </w:p>
        </w:tc>
      </w:tr>
      <w:tr>
        <w:tc>
          <w:tcPr>
            <w:tcW w:type="dxa" w:w="1008"/>
            <w:tcMar>
              <w:top w:w="80" w:type="dxa"/>
              <w:start w:w="80" w:type="dxa"/>
              <w:bottom w:w="80" w:type="dxa"/>
              <w:end w:w="80" w:type="dxa"/>
            </w:tcMar>
            <w:vAlign w:val="center"/>
            <w:shd w:fill="F7F9FB"/>
          </w:tcPr>
          <w:p>
            <w:pPr>
              <w:spacing w:after="0"/>
            </w:pPr>
            <w:r>
              <w:rPr>
                <w:sz w:val="15"/>
              </w:rPr>
              <w:t>QLD1</w:t>
            </w:r>
          </w:p>
        </w:tc>
        <w:tc>
          <w:tcPr>
            <w:tcW w:type="dxa" w:w="1440"/>
            <w:tcMar>
              <w:top w:w="80" w:type="dxa"/>
              <w:start w:w="80" w:type="dxa"/>
              <w:bottom w:w="80" w:type="dxa"/>
              <w:end w:w="80" w:type="dxa"/>
            </w:tcMar>
            <w:vAlign w:val="center"/>
            <w:shd w:fill="F7F9FB"/>
          </w:tcPr>
          <w:p>
            <w:pPr>
              <w:spacing w:after="0"/>
            </w:pPr>
            <w:r>
              <w:rPr>
                <w:sz w:val="15"/>
              </w:rPr>
              <w:t>37.5</w:t>
            </w:r>
          </w:p>
        </w:tc>
        <w:tc>
          <w:tcPr>
            <w:tcW w:type="dxa" w:w="1584"/>
            <w:tcMar>
              <w:top w:w="80" w:type="dxa"/>
              <w:start w:w="80" w:type="dxa"/>
              <w:bottom w:w="80" w:type="dxa"/>
              <w:end w:w="80" w:type="dxa"/>
            </w:tcMar>
            <w:vAlign w:val="center"/>
            <w:shd w:fill="F7F9FB"/>
          </w:tcPr>
          <w:p>
            <w:pPr>
              <w:spacing w:after="0"/>
            </w:pPr>
            <w:r>
              <w:rPr>
                <w:sz w:val="15"/>
              </w:rPr>
              <w:t>-85.2</w:t>
            </w:r>
          </w:p>
        </w:tc>
        <w:tc>
          <w:tcPr>
            <w:tcW w:type="dxa" w:w="1584"/>
            <w:tcMar>
              <w:top w:w="80" w:type="dxa"/>
              <w:start w:w="80" w:type="dxa"/>
              <w:bottom w:w="80" w:type="dxa"/>
              <w:end w:w="80" w:type="dxa"/>
            </w:tcMar>
            <w:vAlign w:val="center"/>
            <w:shd w:fill="F7F9FB"/>
          </w:tcPr>
          <w:p>
            <w:pPr>
              <w:spacing w:after="0"/>
            </w:pPr>
            <w:r>
              <w:rPr>
                <w:sz w:val="15"/>
              </w:rPr>
              <w:t>121.3</w:t>
            </w:r>
          </w:p>
        </w:tc>
        <w:tc>
          <w:tcPr>
            <w:tcW w:type="dxa" w:w="3312"/>
            <w:tcMar>
              <w:top w:w="80" w:type="dxa"/>
              <w:start w:w="80" w:type="dxa"/>
              <w:bottom w:w="80" w:type="dxa"/>
              <w:end w:w="80" w:type="dxa"/>
            </w:tcMar>
            <w:vAlign w:val="center"/>
            <w:shd w:fill="F7F9FB"/>
          </w:tcPr>
          <w:p>
            <w:pPr>
              <w:spacing w:after="0"/>
            </w:pPr>
            <w:r>
              <w:rPr>
                <w:sz w:val="15"/>
              </w:rPr>
              <w:t>FORECAST_ONLY</w:t>
            </w:r>
          </w:p>
        </w:tc>
      </w:tr>
      <w:tr>
        <w:tc>
          <w:tcPr>
            <w:tcW w:type="dxa" w:w="1008"/>
            <w:tcMar>
              <w:top w:w="80" w:type="dxa"/>
              <w:start w:w="80" w:type="dxa"/>
              <w:bottom w:w="80" w:type="dxa"/>
              <w:end w:w="80" w:type="dxa"/>
            </w:tcMar>
            <w:vAlign w:val="center"/>
          </w:tcPr>
          <w:p>
            <w:pPr>
              <w:spacing w:after="0"/>
            </w:pPr>
            <w:r>
              <w:rPr>
                <w:sz w:val="15"/>
              </w:rPr>
              <w:t>SA1</w:t>
            </w:r>
          </w:p>
        </w:tc>
        <w:tc>
          <w:tcPr>
            <w:tcW w:type="dxa" w:w="1440"/>
            <w:tcMar>
              <w:top w:w="80" w:type="dxa"/>
              <w:start w:w="80" w:type="dxa"/>
              <w:bottom w:w="80" w:type="dxa"/>
              <w:end w:w="80" w:type="dxa"/>
            </w:tcMar>
            <w:vAlign w:val="center"/>
          </w:tcPr>
          <w:p>
            <w:pPr>
              <w:spacing w:after="0"/>
            </w:pPr>
            <w:r>
              <w:rPr>
                <w:sz w:val="15"/>
              </w:rPr>
              <w:t>37.5</w:t>
            </w:r>
          </w:p>
        </w:tc>
        <w:tc>
          <w:tcPr>
            <w:tcW w:type="dxa" w:w="1584"/>
            <w:tcMar>
              <w:top w:w="80" w:type="dxa"/>
              <w:start w:w="80" w:type="dxa"/>
              <w:bottom w:w="80" w:type="dxa"/>
              <w:end w:w="80" w:type="dxa"/>
            </w:tcMar>
            <w:vAlign w:val="center"/>
          </w:tcPr>
          <w:p>
            <w:pPr>
              <w:spacing w:after="0"/>
            </w:pPr>
            <w:r>
              <w:rPr>
                <w:sz w:val="15"/>
              </w:rPr>
              <w:t>-156.6</w:t>
            </w:r>
          </w:p>
        </w:tc>
        <w:tc>
          <w:tcPr>
            <w:tcW w:type="dxa" w:w="1584"/>
            <w:tcMar>
              <w:top w:w="80" w:type="dxa"/>
              <w:start w:w="80" w:type="dxa"/>
              <w:bottom w:w="80" w:type="dxa"/>
              <w:end w:w="80" w:type="dxa"/>
            </w:tcMar>
            <w:vAlign w:val="center"/>
          </w:tcPr>
          <w:p>
            <w:pPr>
              <w:spacing w:after="0"/>
            </w:pPr>
            <w:r>
              <w:rPr>
                <w:sz w:val="15"/>
              </w:rPr>
              <w:t>156.6</w:t>
            </w:r>
          </w:p>
        </w:tc>
        <w:tc>
          <w:tcPr>
            <w:tcW w:type="dxa" w:w="3312"/>
            <w:tcMar>
              <w:top w:w="80" w:type="dxa"/>
              <w:start w:w="80" w:type="dxa"/>
              <w:bottom w:w="80" w:type="dxa"/>
              <w:end w:w="80" w:type="dxa"/>
            </w:tcMar>
            <w:vAlign w:val="center"/>
          </w:tcPr>
          <w:p>
            <w:pPr>
              <w:spacing w:after="0"/>
            </w:pPr>
            <w:r>
              <w:rPr>
                <w:sz w:val="15"/>
              </w:rPr>
              <w:t>FORECAST_ONLY</w:t>
            </w:r>
          </w:p>
        </w:tc>
      </w:tr>
      <w:tr>
        <w:tc>
          <w:tcPr>
            <w:tcW w:type="dxa" w:w="1008"/>
            <w:tcMar>
              <w:top w:w="80" w:type="dxa"/>
              <w:start w:w="80" w:type="dxa"/>
              <w:bottom w:w="80" w:type="dxa"/>
              <w:end w:w="80" w:type="dxa"/>
            </w:tcMar>
            <w:vAlign w:val="center"/>
            <w:shd w:fill="F7F9FB"/>
          </w:tcPr>
          <w:p>
            <w:pPr>
              <w:spacing w:after="0"/>
            </w:pPr>
            <w:r>
              <w:rPr>
                <w:sz w:val="15"/>
              </w:rPr>
              <w:t>TAS1</w:t>
            </w:r>
          </w:p>
        </w:tc>
        <w:tc>
          <w:tcPr>
            <w:tcW w:type="dxa" w:w="1440"/>
            <w:tcMar>
              <w:top w:w="80" w:type="dxa"/>
              <w:start w:w="80" w:type="dxa"/>
              <w:bottom w:w="80" w:type="dxa"/>
              <w:end w:w="80" w:type="dxa"/>
            </w:tcMar>
            <w:vAlign w:val="center"/>
            <w:shd w:fill="F7F9FB"/>
          </w:tcPr>
          <w:p>
            <w:pPr>
              <w:spacing w:after="0"/>
            </w:pPr>
            <w:r>
              <w:rPr>
                <w:sz w:val="15"/>
              </w:rPr>
              <w:t>37.5</w:t>
            </w:r>
          </w:p>
        </w:tc>
        <w:tc>
          <w:tcPr>
            <w:tcW w:type="dxa" w:w="1584"/>
            <w:tcMar>
              <w:top w:w="80" w:type="dxa"/>
              <w:start w:w="80" w:type="dxa"/>
              <w:bottom w:w="80" w:type="dxa"/>
              <w:end w:w="80" w:type="dxa"/>
            </w:tcMar>
            <w:vAlign w:val="center"/>
            <w:shd w:fill="F7F9FB"/>
          </w:tcPr>
          <w:p>
            <w:pPr>
              <w:spacing w:after="0"/>
            </w:pPr>
            <w:r>
              <w:rPr>
                <w:sz w:val="15"/>
              </w:rPr>
              <w:t>70.2</w:t>
            </w:r>
          </w:p>
        </w:tc>
        <w:tc>
          <w:tcPr>
            <w:tcW w:type="dxa" w:w="1584"/>
            <w:tcMar>
              <w:top w:w="80" w:type="dxa"/>
              <w:start w:w="80" w:type="dxa"/>
              <w:bottom w:w="80" w:type="dxa"/>
              <w:end w:w="80" w:type="dxa"/>
            </w:tcMar>
            <w:vAlign w:val="center"/>
            <w:shd w:fill="F7F9FB"/>
          </w:tcPr>
          <w:p>
            <w:pPr>
              <w:spacing w:after="0"/>
            </w:pPr>
            <w:r>
              <w:rPr>
                <w:sz w:val="15"/>
              </w:rPr>
              <w:t>80.4</w:t>
            </w:r>
          </w:p>
        </w:tc>
        <w:tc>
          <w:tcPr>
            <w:tcW w:type="dxa" w:w="3312"/>
            <w:tcMar>
              <w:top w:w="80" w:type="dxa"/>
              <w:start w:w="80" w:type="dxa"/>
              <w:bottom w:w="80" w:type="dxa"/>
              <w:end w:w="80" w:type="dxa"/>
            </w:tcMar>
            <w:vAlign w:val="center"/>
            <w:shd w:fill="F7F9FB"/>
          </w:tcPr>
          <w:p>
            <w:pPr>
              <w:spacing w:after="0"/>
            </w:pPr>
            <w:r>
              <w:rPr>
                <w:sz w:val="15"/>
              </w:rPr>
              <w:t>FORECAST_ONLY</w:t>
            </w:r>
          </w:p>
        </w:tc>
      </w:tr>
      <w:tr>
        <w:tc>
          <w:tcPr>
            <w:tcW w:type="dxa" w:w="1008"/>
            <w:tcMar>
              <w:top w:w="80" w:type="dxa"/>
              <w:start w:w="80" w:type="dxa"/>
              <w:bottom w:w="80" w:type="dxa"/>
              <w:end w:w="80" w:type="dxa"/>
            </w:tcMar>
            <w:vAlign w:val="center"/>
          </w:tcPr>
          <w:p>
            <w:pPr>
              <w:spacing w:after="0"/>
            </w:pPr>
            <w:r>
              <w:rPr>
                <w:sz w:val="15"/>
              </w:rPr>
              <w:t>VIC1</w:t>
            </w:r>
          </w:p>
        </w:tc>
        <w:tc>
          <w:tcPr>
            <w:tcW w:type="dxa" w:w="1440"/>
            <w:tcMar>
              <w:top w:w="80" w:type="dxa"/>
              <w:start w:w="80" w:type="dxa"/>
              <w:bottom w:w="80" w:type="dxa"/>
              <w:end w:w="80" w:type="dxa"/>
            </w:tcMar>
            <w:vAlign w:val="center"/>
          </w:tcPr>
          <w:p>
            <w:pPr>
              <w:spacing w:after="0"/>
            </w:pPr>
            <w:r>
              <w:rPr>
                <w:sz w:val="15"/>
              </w:rPr>
              <w:t>37.5</w:t>
            </w:r>
          </w:p>
        </w:tc>
        <w:tc>
          <w:tcPr>
            <w:tcW w:type="dxa" w:w="1584"/>
            <w:tcMar>
              <w:top w:w="80" w:type="dxa"/>
              <w:start w:w="80" w:type="dxa"/>
              <w:bottom w:w="80" w:type="dxa"/>
              <w:end w:w="80" w:type="dxa"/>
            </w:tcMar>
            <w:vAlign w:val="center"/>
          </w:tcPr>
          <w:p>
            <w:pPr>
              <w:spacing w:after="0"/>
            </w:pPr>
            <w:r>
              <w:rPr>
                <w:sz w:val="15"/>
              </w:rPr>
              <w:t>-217.9</w:t>
            </w:r>
          </w:p>
        </w:tc>
        <w:tc>
          <w:tcPr>
            <w:tcW w:type="dxa" w:w="1584"/>
            <w:tcMar>
              <w:top w:w="80" w:type="dxa"/>
              <w:start w:w="80" w:type="dxa"/>
              <w:bottom w:w="80" w:type="dxa"/>
              <w:end w:w="80" w:type="dxa"/>
            </w:tcMar>
            <w:vAlign w:val="center"/>
          </w:tcPr>
          <w:p>
            <w:pPr>
              <w:spacing w:after="0"/>
            </w:pPr>
            <w:r>
              <w:rPr>
                <w:sz w:val="15"/>
              </w:rPr>
              <w:t>296.2</w:t>
            </w:r>
          </w:p>
        </w:tc>
        <w:tc>
          <w:tcPr>
            <w:tcW w:type="dxa" w:w="3312"/>
            <w:tcMar>
              <w:top w:w="80" w:type="dxa"/>
              <w:start w:w="80" w:type="dxa"/>
              <w:bottom w:w="80" w:type="dxa"/>
              <w:end w:w="80" w:type="dxa"/>
            </w:tcMar>
            <w:vAlign w:val="center"/>
          </w:tcPr>
          <w:p>
            <w:pPr>
              <w:spacing w:after="0"/>
            </w:pPr>
            <w:r>
              <w:rPr>
                <w:sz w:val="15"/>
              </w:rPr>
              <w:t>FORECAST_ONLY</w:t>
            </w:r>
          </w:p>
        </w:tc>
      </w:tr>
    </w:tbl>
    <w:p>
      <w:pPr>
        <w:spacing w:after="20"/>
      </w:pPr>
    </w:p>
    <w:p>
      <w:pPr>
        <w:spacing w:after="100"/>
      </w:pPr>
      <w:r>
        <w:t>The final AEMO pre-dispatch vintage covers 37.5 hours (75 half-hour intervals) for each NEM region in the captured run. The output is FORECAST_ONLY because the target period had not yet become eligible for a same-target archived-forecast accuracy comparison. WA has no NEM AEMO benchmark.</w:t>
      </w:r>
    </w:p>
    <w:p>
      <w:pPr>
        <w:pStyle w:val="Heading1"/>
      </w:pPr>
      <w:r>
        <w:t>6. Team collaboration and handoff</w:t>
      </w:r>
    </w:p>
    <w:p>
      <w:pPr>
        <w:pStyle w:val="ListBullet"/>
        <w:spacing w:after="40"/>
      </w:pPr>
      <w:r>
        <w:t>Bishal’s feature-safety rules and metrics are used to score SARIMA/SARIMAX under the same definitions as the ML candidates.</w:t>
      </w:r>
    </w:p>
    <w:p>
      <w:pPr>
        <w:pStyle w:val="ListBullet"/>
        <w:spacing w:after="40"/>
      </w:pPr>
      <w:r>
        <w:t>Ashish’s historical backtest orchestrator includes the statistical family in the same four-month windows rather than giving it a different test.</w:t>
      </w:r>
    </w:p>
    <w:p>
      <w:pPr>
        <w:pStyle w:val="ListBullet"/>
        <w:spacing w:after="40"/>
      </w:pPr>
      <w:r>
        <w:t>Suraj’s recursive horizon and frozen origin determine whether a weather vintage is temporally valid.</w:t>
      </w:r>
    </w:p>
    <w:p>
      <w:pPr>
        <w:pStyle w:val="ListBullet"/>
        <w:spacing w:after="40"/>
      </w:pPr>
      <w:r>
        <w:t>AEMO labels are shared with Bishal so benchmark figures cannot be described as Operational Demand accuracy.</w:t>
      </w:r>
    </w:p>
    <w:p>
      <w:pPr>
        <w:pStyle w:val="Heading1"/>
      </w:pPr>
      <w:r>
        <w:t>7. Code and evidence artefacts</w:t>
      </w:r>
    </w:p>
    <w:tbl>
      <w:tblPr>
        <w:tblStyle w:val="TableGrid"/>
        <w:tblW w:type="auto" w:w="0"/>
        <w:jc w:val="center"/>
        <w:tblLayout w:type="fixed"/>
        <w:tblLook w:firstColumn="1" w:firstRow="1" w:lastColumn="0" w:lastRow="0" w:noHBand="0" w:noVBand="1" w:val="04A0"/>
      </w:tblPr>
      <w:tblGrid>
        <w:gridCol w:w="5061"/>
        <w:gridCol w:w="5061"/>
      </w:tblGrid>
      <w:tr>
        <w:trPr>
          <w:tblHeader w:val="true"/>
        </w:trPr>
        <w:tc>
          <w:tcPr>
            <w:tcW w:type="dxa" w:w="4320"/>
            <w:shd w:fill="17365D"/>
            <w:tcMar>
              <w:top w:w="80" w:type="dxa"/>
              <w:start w:w="80" w:type="dxa"/>
              <w:bottom w:w="80" w:type="dxa"/>
              <w:end w:w="80" w:type="dxa"/>
            </w:tcMar>
            <w:vAlign w:val="center"/>
          </w:tcPr>
          <w:p>
            <w:r>
              <w:rPr>
                <w:b/>
                <w:color w:val="FFFFFF"/>
                <w:sz w:val="16"/>
              </w:rPr>
              <w:t>Artefact</w:t>
            </w:r>
          </w:p>
        </w:tc>
        <w:tc>
          <w:tcPr>
            <w:tcW w:type="dxa" w:w="5760"/>
            <w:shd w:fill="17365D"/>
            <w:tcMar>
              <w:top w:w="80" w:type="dxa"/>
              <w:start w:w="80" w:type="dxa"/>
              <w:bottom w:w="80" w:type="dxa"/>
              <w:end w:w="80" w:type="dxa"/>
            </w:tcMar>
            <w:vAlign w:val="center"/>
          </w:tcPr>
          <w:p>
            <w:r>
              <w:rPr>
                <w:b/>
                <w:color w:val="FFFFFF"/>
                <w:sz w:val="16"/>
              </w:rPr>
              <w:t>Contribution evidence</w:t>
            </w:r>
          </w:p>
        </w:tc>
      </w:tr>
      <w:tr>
        <w:tc>
          <w:tcPr>
            <w:tcW w:type="dxa" w:w="4320"/>
            <w:tcMar>
              <w:top w:w="80" w:type="dxa"/>
              <w:start w:w="80" w:type="dxa"/>
              <w:bottom w:w="80" w:type="dxa"/>
              <w:end w:w="80" w:type="dxa"/>
            </w:tcMar>
            <w:vAlign w:val="center"/>
          </w:tcPr>
          <w:p>
            <w:pPr>
              <w:spacing w:after="0"/>
            </w:pPr>
            <w:r>
              <w:rPr>
                <w:sz w:val="16"/>
              </w:rPr>
              <w:t>02_Sudip_Lamichhane_Statistical_Weather_AEMO.py</w:t>
            </w:r>
          </w:p>
        </w:tc>
        <w:tc>
          <w:tcPr>
            <w:tcW w:type="dxa" w:w="5760"/>
            <w:tcMar>
              <w:top w:w="80" w:type="dxa"/>
              <w:start w:w="80" w:type="dxa"/>
              <w:bottom w:w="80" w:type="dxa"/>
              <w:end w:w="80" w:type="dxa"/>
            </w:tcMar>
            <w:vAlign w:val="center"/>
          </w:tcPr>
          <w:p>
            <w:pPr>
              <w:spacing w:after="0"/>
            </w:pPr>
            <w:r>
              <w:rPr>
                <w:sz w:val="16"/>
              </w:rPr>
              <w:t>SARIMA/SARIMAX, exogenous-support guard, weather-vintage validation, live weather fallback and AEMO benchmark logic.</w:t>
            </w:r>
          </w:p>
        </w:tc>
      </w:tr>
      <w:tr>
        <w:tc>
          <w:tcPr>
            <w:tcW w:type="dxa" w:w="4320"/>
            <w:tcMar>
              <w:top w:w="80" w:type="dxa"/>
              <w:start w:w="80" w:type="dxa"/>
              <w:bottom w:w="80" w:type="dxa"/>
              <w:end w:w="80" w:type="dxa"/>
            </w:tcMar>
            <w:vAlign w:val="center"/>
            <w:shd w:fill="F7F9FB"/>
          </w:tcPr>
          <w:p>
            <w:pPr>
              <w:spacing w:after="0"/>
            </w:pPr>
            <w:r>
              <w:rPr>
                <w:sz w:val="16"/>
              </w:rPr>
              <w:t>validation/four_month_backtest_scores.csv</w:t>
            </w:r>
          </w:p>
        </w:tc>
        <w:tc>
          <w:tcPr>
            <w:tcW w:type="dxa" w:w="5760"/>
            <w:tcMar>
              <w:top w:w="80" w:type="dxa"/>
              <w:start w:w="80" w:type="dxa"/>
              <w:bottom w:w="80" w:type="dxa"/>
              <w:end w:w="80" w:type="dxa"/>
            </w:tcMar>
            <w:vAlign w:val="center"/>
            <w:shd w:fill="F7F9FB"/>
          </w:tcPr>
          <w:p>
            <w:pPr>
              <w:spacing w:after="0"/>
            </w:pPr>
            <w:r>
              <w:rPr>
                <w:sz w:val="16"/>
              </w:rPr>
              <w:t>Statistical model results and warnings/failures across regions/origins.</w:t>
            </w:r>
          </w:p>
        </w:tc>
      </w:tr>
      <w:tr>
        <w:tc>
          <w:tcPr>
            <w:tcW w:type="dxa" w:w="4320"/>
            <w:tcMar>
              <w:top w:w="80" w:type="dxa"/>
              <w:start w:w="80" w:type="dxa"/>
              <w:bottom w:w="80" w:type="dxa"/>
              <w:end w:w="80" w:type="dxa"/>
            </w:tcMar>
            <w:vAlign w:val="center"/>
          </w:tcPr>
          <w:p>
            <w:pPr>
              <w:spacing w:after="0"/>
            </w:pPr>
            <w:r>
              <w:rPr>
                <w:sz w:val="16"/>
              </w:rPr>
              <w:t>benchmark/aemo_source_consistency_summary.csv</w:t>
            </w:r>
          </w:p>
        </w:tc>
        <w:tc>
          <w:tcPr>
            <w:tcW w:type="dxa" w:w="5760"/>
            <w:tcMar>
              <w:top w:w="80" w:type="dxa"/>
              <w:start w:w="80" w:type="dxa"/>
              <w:bottom w:w="80" w:type="dxa"/>
              <w:end w:w="80" w:type="dxa"/>
            </w:tcMar>
            <w:vAlign w:val="center"/>
          </w:tcPr>
          <w:p>
            <w:pPr>
              <w:spacing w:after="0"/>
            </w:pPr>
            <w:r>
              <w:rPr>
                <w:sz w:val="16"/>
              </w:rPr>
              <w:t>Scheduled-vs-Operational relationship evidence.</w:t>
            </w:r>
          </w:p>
        </w:tc>
      </w:tr>
      <w:tr>
        <w:tc>
          <w:tcPr>
            <w:tcW w:type="dxa" w:w="4320"/>
            <w:tcMar>
              <w:top w:w="80" w:type="dxa"/>
              <w:start w:w="80" w:type="dxa"/>
              <w:bottom w:w="80" w:type="dxa"/>
              <w:end w:w="80" w:type="dxa"/>
            </w:tcMar>
            <w:vAlign w:val="center"/>
            <w:shd w:fill="F7F9FB"/>
          </w:tcPr>
          <w:p>
            <w:pPr>
              <w:spacing w:after="0"/>
            </w:pPr>
            <w:r>
              <w:rPr>
                <w:sz w:val="16"/>
              </w:rPr>
              <w:t>benchmark/aemo_forecast_margin_summary.csv</w:t>
            </w:r>
          </w:p>
        </w:tc>
        <w:tc>
          <w:tcPr>
            <w:tcW w:type="dxa" w:w="5760"/>
            <w:tcMar>
              <w:top w:w="80" w:type="dxa"/>
              <w:start w:w="80" w:type="dxa"/>
              <w:bottom w:w="80" w:type="dxa"/>
              <w:end w:w="80" w:type="dxa"/>
            </w:tcMar>
            <w:vAlign w:val="center"/>
            <w:shd w:fill="F7F9FB"/>
          </w:tcPr>
          <w:p>
            <w:pPr>
              <w:spacing w:after="0"/>
            </w:pPr>
            <w:r>
              <w:rPr>
                <w:sz w:val="16"/>
              </w:rPr>
              <w:t>Forecast divergence on exact shared timestamps.</w:t>
            </w:r>
          </w:p>
        </w:tc>
      </w:tr>
      <w:tr>
        <w:tc>
          <w:tcPr>
            <w:tcW w:type="dxa" w:w="4320"/>
            <w:tcMar>
              <w:top w:w="80" w:type="dxa"/>
              <w:start w:w="80" w:type="dxa"/>
              <w:bottom w:w="80" w:type="dxa"/>
              <w:end w:w="80" w:type="dxa"/>
            </w:tcMar>
            <w:vAlign w:val="center"/>
          </w:tcPr>
          <w:p>
            <w:pPr>
              <w:spacing w:after="0"/>
            </w:pPr>
            <w:r>
              <w:rPr>
                <w:sz w:val="16"/>
              </w:rPr>
              <w:t>forecasts/model_B/</w:t>
            </w:r>
          </w:p>
        </w:tc>
        <w:tc>
          <w:tcPr>
            <w:tcW w:type="dxa" w:w="5760"/>
            <w:tcMar>
              <w:top w:w="80" w:type="dxa"/>
              <w:start w:w="80" w:type="dxa"/>
              <w:bottom w:w="80" w:type="dxa"/>
              <w:end w:w="80" w:type="dxa"/>
            </w:tcMar>
            <w:vAlign w:val="center"/>
          </w:tcPr>
          <w:p>
            <w:pPr>
              <w:spacing w:after="0"/>
            </w:pPr>
            <w:r>
              <w:rPr>
                <w:sz w:val="16"/>
              </w:rPr>
              <w:t>Weather-informed rolling/live forecast products with provenance.</w:t>
            </w:r>
          </w:p>
        </w:tc>
      </w:tr>
    </w:tbl>
    <w:p>
      <w:pPr>
        <w:spacing w:after="20"/>
      </w:pPr>
    </w:p>
    <w:p>
      <w:pPr>
        <w:pStyle w:val="Heading1"/>
      </w:pPr>
      <w:r>
        <w:t>8. Professional reflection</w:t>
      </w:r>
    </w:p>
    <w:p>
      <w:pPr>
        <w:spacing w:after="100"/>
      </w:pPr>
      <w:r>
        <w:t>This workstream showed that a model comparison is only trustworthy when the meaning and timing of external inputs are controlled. SARIMA/SARIMAX did not win, but their inclusion completes the promised statistical benchmark. Weather is useful only when its issue time is known, and AEMO is useful only when its target definition is stated. The next priority is to accumulate more archived forecast-weather vintages and correction-aware actuals so both Model B and the external benchmark can be verified on genuinely historical information sets.</w:t>
      </w:r>
    </w:p>
    <w:sectPr w:rsidR="00FC693F" w:rsidRPr="0006063C" w:rsidSect="00034616">
      <w:headerReference w:type="default" r:id="rId9"/>
      <w:footerReference w:type="default" r:id="rId10"/>
      <w:pgSz w:w="11909" w:h="16834"/>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Page </w:t>
    </w:r>
    <w:fldSimple w:instr="PAGE"/>
    <w:r>
      <w:rPr>
        <w:color w:val="646464"/>
        <w:sz w:val="16"/>
      </w:rPr>
      <w:t xml:space="preserve">  |  PRT661 Dan6 — WP3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PRT661 – Data Science Practice  |  Australian Electricity Demand Forecasting  |  WP3 — Sudip Lamichhane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0F76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Aptos" w:hAnsi="Aptos"/>
      <w:b/>
      <w:bCs/>
      <w:i/>
      <w:color w:val="50505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