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0810" w14:textId="77777777" w:rsidR="005C6494" w:rsidRPr="00F76BBA" w:rsidRDefault="00000000">
      <w:pPr>
        <w:pStyle w:val="Heading1"/>
        <w:rPr>
          <w:rFonts w:ascii="Times New Roman" w:hAnsi="Times New Roman" w:cs="Times New Roman"/>
          <w:sz w:val="22"/>
          <w:szCs w:val="22"/>
        </w:rPr>
      </w:pPr>
      <w:r w:rsidRPr="00F76BBA">
        <w:rPr>
          <w:rFonts w:ascii="Times New Roman" w:hAnsi="Times New Roman" w:cs="Times New Roman"/>
          <w:sz w:val="22"/>
          <w:szCs w:val="22"/>
        </w:rPr>
        <w:t>Meeting 6 — Assessment 2 Final Integration and Submission Preparation</w:t>
      </w:r>
    </w:p>
    <w:tbl>
      <w:tblPr>
        <w:tblStyle w:val="TableGrid"/>
        <w:tblW w:w="0" w:type="auto"/>
        <w:jc w:val="center"/>
        <w:tblLook w:val="04A0" w:firstRow="1" w:lastRow="0" w:firstColumn="1" w:lastColumn="0" w:noHBand="0" w:noVBand="1"/>
      </w:tblPr>
      <w:tblGrid>
        <w:gridCol w:w="5221"/>
        <w:gridCol w:w="5223"/>
      </w:tblGrid>
      <w:tr w:rsidR="005C6494" w:rsidRPr="00F76BBA" w14:paraId="26FBF0CB" w14:textId="77777777">
        <w:trPr>
          <w:cantSplit/>
          <w:tblHeader/>
          <w:jc w:val="center"/>
        </w:trPr>
        <w:tc>
          <w:tcPr>
            <w:tcW w:w="5227" w:type="dxa"/>
            <w:shd w:val="clear" w:color="auto" w:fill="EAF2F8"/>
            <w:vAlign w:val="center"/>
          </w:tcPr>
          <w:p w14:paraId="3AD2079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Date</w:t>
            </w:r>
          </w:p>
        </w:tc>
        <w:tc>
          <w:tcPr>
            <w:tcW w:w="5227" w:type="dxa"/>
            <w:vAlign w:val="center"/>
          </w:tcPr>
          <w:p w14:paraId="2679BAB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Tuesday, 15 September 2026</w:t>
            </w:r>
          </w:p>
        </w:tc>
      </w:tr>
      <w:tr w:rsidR="005C6494" w:rsidRPr="00F76BBA" w14:paraId="769372A7" w14:textId="77777777">
        <w:trPr>
          <w:cantSplit/>
          <w:jc w:val="center"/>
        </w:trPr>
        <w:tc>
          <w:tcPr>
            <w:tcW w:w="5227" w:type="dxa"/>
            <w:shd w:val="clear" w:color="auto" w:fill="EAF2F8"/>
            <w:vAlign w:val="center"/>
          </w:tcPr>
          <w:p w14:paraId="2A51631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Time</w:t>
            </w:r>
          </w:p>
        </w:tc>
        <w:tc>
          <w:tcPr>
            <w:tcW w:w="5227" w:type="dxa"/>
            <w:vAlign w:val="center"/>
          </w:tcPr>
          <w:p w14:paraId="0F52CD1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2:30 PM – 5:00 PM (2 hours 30 minutes)</w:t>
            </w:r>
          </w:p>
        </w:tc>
      </w:tr>
      <w:tr w:rsidR="005C6494" w:rsidRPr="00F76BBA" w14:paraId="046C4ADB" w14:textId="77777777">
        <w:trPr>
          <w:cantSplit/>
          <w:jc w:val="center"/>
        </w:trPr>
        <w:tc>
          <w:tcPr>
            <w:tcW w:w="5227" w:type="dxa"/>
            <w:shd w:val="clear" w:color="auto" w:fill="EAF2F8"/>
            <w:vAlign w:val="center"/>
          </w:tcPr>
          <w:p w14:paraId="11A25573"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Location / method</w:t>
            </w:r>
          </w:p>
        </w:tc>
        <w:tc>
          <w:tcPr>
            <w:tcW w:w="5227" w:type="dxa"/>
            <w:vAlign w:val="center"/>
          </w:tcPr>
          <w:p w14:paraId="1BB4DC1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Assessment 2 integration session using the final reports, code files, output packages and architecture/evidence figures</w:t>
            </w:r>
          </w:p>
        </w:tc>
      </w:tr>
      <w:tr w:rsidR="005C6494" w:rsidRPr="00F76BBA" w14:paraId="56A16711" w14:textId="77777777">
        <w:trPr>
          <w:cantSplit/>
          <w:jc w:val="center"/>
        </w:trPr>
        <w:tc>
          <w:tcPr>
            <w:tcW w:w="5227" w:type="dxa"/>
            <w:shd w:val="clear" w:color="auto" w:fill="EAF2F8"/>
            <w:vAlign w:val="center"/>
          </w:tcPr>
          <w:p w14:paraId="498067A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Chair</w:t>
            </w:r>
          </w:p>
        </w:tc>
        <w:tc>
          <w:tcPr>
            <w:tcW w:w="5227" w:type="dxa"/>
            <w:vAlign w:val="center"/>
          </w:tcPr>
          <w:p w14:paraId="5E1494E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Sudip Lamichhane</w:t>
            </w:r>
          </w:p>
        </w:tc>
      </w:tr>
      <w:tr w:rsidR="005C6494" w:rsidRPr="00F76BBA" w14:paraId="49360B97" w14:textId="77777777">
        <w:trPr>
          <w:cantSplit/>
          <w:jc w:val="center"/>
        </w:trPr>
        <w:tc>
          <w:tcPr>
            <w:tcW w:w="5227" w:type="dxa"/>
            <w:shd w:val="clear" w:color="auto" w:fill="EAF2F8"/>
            <w:vAlign w:val="center"/>
          </w:tcPr>
          <w:p w14:paraId="08FBC86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Minutes recorded by</w:t>
            </w:r>
          </w:p>
        </w:tc>
        <w:tc>
          <w:tcPr>
            <w:tcW w:w="5227" w:type="dxa"/>
            <w:vAlign w:val="center"/>
          </w:tcPr>
          <w:p w14:paraId="3E43C6F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Suraj Raut</w:t>
            </w:r>
          </w:p>
        </w:tc>
      </w:tr>
      <w:tr w:rsidR="005C6494" w:rsidRPr="00F76BBA" w14:paraId="2AC35778" w14:textId="77777777">
        <w:trPr>
          <w:cantSplit/>
          <w:jc w:val="center"/>
        </w:trPr>
        <w:tc>
          <w:tcPr>
            <w:tcW w:w="5227" w:type="dxa"/>
            <w:shd w:val="clear" w:color="auto" w:fill="EAF2F8"/>
            <w:vAlign w:val="center"/>
          </w:tcPr>
          <w:p w14:paraId="3967695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Attendees</w:t>
            </w:r>
          </w:p>
        </w:tc>
        <w:tc>
          <w:tcPr>
            <w:tcW w:w="5227" w:type="dxa"/>
            <w:vAlign w:val="center"/>
          </w:tcPr>
          <w:p w14:paraId="4F41CF8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Ashish Shrestha; Bishal Dahal; Sudip Lamichhane; Suraj Raut — all present</w:t>
            </w:r>
          </w:p>
        </w:tc>
      </w:tr>
      <w:tr w:rsidR="005C6494" w:rsidRPr="00F76BBA" w14:paraId="416D5D31" w14:textId="77777777">
        <w:trPr>
          <w:cantSplit/>
          <w:jc w:val="center"/>
        </w:trPr>
        <w:tc>
          <w:tcPr>
            <w:tcW w:w="5227" w:type="dxa"/>
            <w:shd w:val="clear" w:color="auto" w:fill="EAF2F8"/>
            <w:vAlign w:val="center"/>
          </w:tcPr>
          <w:p w14:paraId="22FF5FE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Meeting scope</w:t>
            </w:r>
          </w:p>
        </w:tc>
        <w:tc>
          <w:tcPr>
            <w:tcW w:w="5227" w:type="dxa"/>
            <w:vAlign w:val="center"/>
          </w:tcPr>
          <w:p w14:paraId="3A0DE09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Final integration, evidence reconciliation, contribution review and submission preparation. No unsupported new project result was to be introduced during this session.</w:t>
            </w:r>
          </w:p>
        </w:tc>
      </w:tr>
      <w:tr w:rsidR="005C6494" w:rsidRPr="00F76BBA" w14:paraId="7492CD71" w14:textId="77777777">
        <w:trPr>
          <w:cantSplit/>
          <w:jc w:val="center"/>
        </w:trPr>
        <w:tc>
          <w:tcPr>
            <w:tcW w:w="5227" w:type="dxa"/>
            <w:shd w:val="clear" w:color="auto" w:fill="EAF2F8"/>
            <w:vAlign w:val="center"/>
          </w:tcPr>
          <w:p w14:paraId="1B9CE8F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Outcome</w:t>
            </w:r>
          </w:p>
        </w:tc>
        <w:tc>
          <w:tcPr>
            <w:tcW w:w="5227" w:type="dxa"/>
            <w:vAlign w:val="center"/>
          </w:tcPr>
          <w:p w14:paraId="6DA1D5C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Submission package aligned and ready for final upload/checks; post-Assessment-2 operational enhancements remain separate future work.</w:t>
            </w:r>
          </w:p>
        </w:tc>
      </w:tr>
    </w:tbl>
    <w:p w14:paraId="3EE05107" w14:textId="77777777" w:rsidR="005C6494" w:rsidRPr="00F76BBA" w:rsidRDefault="005C6494">
      <w:pPr>
        <w:spacing w:after="20"/>
        <w:rPr>
          <w:rFonts w:ascii="Times New Roman" w:hAnsi="Times New Roman" w:cs="Times New Roman"/>
          <w:sz w:val="22"/>
        </w:rPr>
      </w:pPr>
    </w:p>
    <w:p w14:paraId="3E913F74"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1. Review of the final evidence base</w:t>
      </w:r>
    </w:p>
    <w:p w14:paraId="653C0AAC" w14:textId="77777777" w:rsidR="005C6494" w:rsidRPr="00F76BBA" w:rsidRDefault="00000000">
      <w:pPr>
        <w:rPr>
          <w:rFonts w:ascii="Times New Roman" w:hAnsi="Times New Roman" w:cs="Times New Roman"/>
          <w:sz w:val="22"/>
        </w:rPr>
      </w:pPr>
      <w:r w:rsidRPr="00F76BBA">
        <w:rPr>
          <w:rFonts w:ascii="Times New Roman" w:hAnsi="Times New Roman" w:cs="Times New Roman"/>
          <w:sz w:val="22"/>
        </w:rPr>
        <w:t xml:space="preserve">The group reviewed the latest stage documentation and executable pipelines together rather than assembling the report from older narrative snapshots. Where an older individual WP document conflicted with the final pipeline, the current code/output evidence was treated as </w:t>
      </w:r>
      <w:proofErr w:type="gramStart"/>
      <w:r w:rsidRPr="00F76BBA">
        <w:rPr>
          <w:rFonts w:ascii="Times New Roman" w:hAnsi="Times New Roman" w:cs="Times New Roman"/>
          <w:sz w:val="22"/>
        </w:rPr>
        <w:t>authoritative</w:t>
      </w:r>
      <w:proofErr w:type="gramEnd"/>
      <w:r w:rsidRPr="00F76BBA">
        <w:rPr>
          <w:rFonts w:ascii="Times New Roman" w:hAnsi="Times New Roman" w:cs="Times New Roman"/>
          <w:sz w:val="22"/>
        </w:rPr>
        <w:t xml:space="preserve"> and the development history was retained as a change record.</w:t>
      </w:r>
    </w:p>
    <w:tbl>
      <w:tblPr>
        <w:tblStyle w:val="TableGrid"/>
        <w:tblW w:w="0" w:type="auto"/>
        <w:jc w:val="center"/>
        <w:tblLook w:val="04A0" w:firstRow="1" w:lastRow="0" w:firstColumn="1" w:lastColumn="0" w:noHBand="0" w:noVBand="1"/>
      </w:tblPr>
      <w:tblGrid>
        <w:gridCol w:w="1642"/>
        <w:gridCol w:w="5715"/>
        <w:gridCol w:w="3087"/>
      </w:tblGrid>
      <w:tr w:rsidR="005C6494" w:rsidRPr="00F76BBA" w14:paraId="577C99B1" w14:textId="77777777">
        <w:trPr>
          <w:cantSplit/>
          <w:tblHeader/>
          <w:jc w:val="center"/>
        </w:trPr>
        <w:tc>
          <w:tcPr>
            <w:tcW w:w="1728" w:type="dxa"/>
            <w:shd w:val="clear" w:color="auto" w:fill="D9EAF7"/>
            <w:vAlign w:val="center"/>
          </w:tcPr>
          <w:p w14:paraId="4B7257E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Stage</w:t>
            </w:r>
          </w:p>
        </w:tc>
        <w:tc>
          <w:tcPr>
            <w:tcW w:w="6048" w:type="dxa"/>
            <w:shd w:val="clear" w:color="auto" w:fill="D9EAF7"/>
            <w:vAlign w:val="center"/>
          </w:tcPr>
          <w:p w14:paraId="7CA31693"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Final evidence reviewed</w:t>
            </w:r>
          </w:p>
        </w:tc>
        <w:tc>
          <w:tcPr>
            <w:tcW w:w="3168" w:type="dxa"/>
            <w:shd w:val="clear" w:color="auto" w:fill="D9EAF7"/>
            <w:vAlign w:val="center"/>
          </w:tcPr>
          <w:p w14:paraId="17A6078E"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Assessment 2 position</w:t>
            </w:r>
          </w:p>
        </w:tc>
      </w:tr>
      <w:tr w:rsidR="005C6494" w:rsidRPr="00F76BBA" w14:paraId="398A9C70" w14:textId="77777777">
        <w:trPr>
          <w:cantSplit/>
          <w:jc w:val="center"/>
        </w:trPr>
        <w:tc>
          <w:tcPr>
            <w:tcW w:w="1728" w:type="dxa"/>
            <w:vAlign w:val="center"/>
          </w:tcPr>
          <w:p w14:paraId="6221039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WP1 / Stage 1</w:t>
            </w:r>
          </w:p>
        </w:tc>
        <w:tc>
          <w:tcPr>
            <w:tcW w:w="6048" w:type="dxa"/>
            <w:vAlign w:val="center"/>
          </w:tcPr>
          <w:p w14:paraId="2793FEC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Six-region automated demand scope; NEM + WA/WEM; ERA5 historical weather; ECMWF IFS HRES rolling seven-day forecast weather; holidays; dispatch/predispatch source separation.</w:t>
            </w:r>
          </w:p>
        </w:tc>
        <w:tc>
          <w:tcPr>
            <w:tcW w:w="3168" w:type="dxa"/>
            <w:vAlign w:val="center"/>
          </w:tcPr>
          <w:p w14:paraId="73A26F0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Complete source layer, with NT and BOM changes documented.</w:t>
            </w:r>
          </w:p>
        </w:tc>
      </w:tr>
      <w:tr w:rsidR="005C6494" w:rsidRPr="00F76BBA" w14:paraId="026813BA" w14:textId="77777777">
        <w:trPr>
          <w:cantSplit/>
          <w:jc w:val="center"/>
        </w:trPr>
        <w:tc>
          <w:tcPr>
            <w:tcW w:w="1728" w:type="dxa"/>
            <w:vAlign w:val="center"/>
          </w:tcPr>
          <w:p w14:paraId="15A04B6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WP2 / Stage 2</w:t>
            </w:r>
          </w:p>
        </w:tc>
        <w:tc>
          <w:tcPr>
            <w:tcW w:w="6048" w:type="dxa"/>
            <w:vAlign w:val="center"/>
          </w:tcPr>
          <w:p w14:paraId="4178A82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Final 30-minute pipeline, strict previous-month cutoff, Model A/Model B feature contract, weather provenance and validation package.</w:t>
            </w:r>
          </w:p>
        </w:tc>
        <w:tc>
          <w:tcPr>
            <w:tcW w:w="3168" w:type="dxa"/>
            <w:vAlign w:val="center"/>
          </w:tcPr>
          <w:p w14:paraId="4CD7807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Complete modelling-ready handoff.</w:t>
            </w:r>
          </w:p>
        </w:tc>
      </w:tr>
      <w:tr w:rsidR="005C6494" w:rsidRPr="00F76BBA" w14:paraId="2DB540E1" w14:textId="77777777">
        <w:trPr>
          <w:cantSplit/>
          <w:jc w:val="center"/>
        </w:trPr>
        <w:tc>
          <w:tcPr>
            <w:tcW w:w="1728" w:type="dxa"/>
            <w:vAlign w:val="center"/>
          </w:tcPr>
          <w:p w14:paraId="6DC9666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WP3 / Stage 3</w:t>
            </w:r>
          </w:p>
        </w:tc>
        <w:tc>
          <w:tcPr>
            <w:tcW w:w="6048" w:type="dxa"/>
            <w:vAlign w:val="center"/>
          </w:tcPr>
          <w:p w14:paraId="626AD1E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Historical screening/backtesting, matched A/B evidence, regional recommendation tables/figures; integrated modelling code able to continue into forecasting outputs.</w:t>
            </w:r>
          </w:p>
        </w:tc>
        <w:tc>
          <w:tcPr>
            <w:tcW w:w="3168" w:type="dxa"/>
            <w:vAlign w:val="center"/>
          </w:tcPr>
          <w:p w14:paraId="3703F40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Assessment 2 narrative emphasises defensible model-decision progress; operational forecasting/monitoring remains the next development direction rather than being overstated as a finished production system.</w:t>
            </w:r>
          </w:p>
        </w:tc>
      </w:tr>
    </w:tbl>
    <w:p w14:paraId="1D86C225" w14:textId="77777777" w:rsidR="005C6494" w:rsidRPr="00F76BBA" w:rsidRDefault="005C6494">
      <w:pPr>
        <w:spacing w:after="20"/>
        <w:rPr>
          <w:rFonts w:ascii="Times New Roman" w:hAnsi="Times New Roman" w:cs="Times New Roman"/>
          <w:sz w:val="22"/>
        </w:rPr>
      </w:pPr>
    </w:p>
    <w:p w14:paraId="55D2C714"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2. Final Stage 1 changes reconciled</w:t>
      </w:r>
    </w:p>
    <w:tbl>
      <w:tblPr>
        <w:tblStyle w:val="TableGrid"/>
        <w:tblW w:w="0" w:type="auto"/>
        <w:jc w:val="center"/>
        <w:tblLook w:val="04A0" w:firstRow="1" w:lastRow="0" w:firstColumn="1" w:lastColumn="0" w:noHBand="0" w:noVBand="1"/>
      </w:tblPr>
      <w:tblGrid>
        <w:gridCol w:w="4250"/>
        <w:gridCol w:w="6194"/>
      </w:tblGrid>
      <w:tr w:rsidR="005C6494" w:rsidRPr="00F76BBA" w14:paraId="00CAA684" w14:textId="77777777">
        <w:trPr>
          <w:cantSplit/>
          <w:tblHeader/>
          <w:jc w:val="center"/>
        </w:trPr>
        <w:tc>
          <w:tcPr>
            <w:tcW w:w="4464" w:type="dxa"/>
            <w:shd w:val="clear" w:color="auto" w:fill="D9EAF7"/>
            <w:vAlign w:val="center"/>
          </w:tcPr>
          <w:p w14:paraId="122C289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Change from Assessment 1 / early WP1</w:t>
            </w:r>
          </w:p>
        </w:tc>
        <w:tc>
          <w:tcPr>
            <w:tcW w:w="6480" w:type="dxa"/>
            <w:shd w:val="clear" w:color="auto" w:fill="D9EAF7"/>
            <w:vAlign w:val="center"/>
          </w:tcPr>
          <w:p w14:paraId="431E69B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Final documented position</w:t>
            </w:r>
          </w:p>
        </w:tc>
      </w:tr>
      <w:tr w:rsidR="005C6494" w:rsidRPr="00F76BBA" w14:paraId="780EEFFF" w14:textId="77777777">
        <w:trPr>
          <w:cantSplit/>
          <w:jc w:val="center"/>
        </w:trPr>
        <w:tc>
          <w:tcPr>
            <w:tcW w:w="4464" w:type="dxa"/>
            <w:vAlign w:val="center"/>
          </w:tcPr>
          <w:p w14:paraId="7962D44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Seven demand regions including Darwin–Katherine</w:t>
            </w:r>
          </w:p>
        </w:tc>
        <w:tc>
          <w:tcPr>
            <w:tcW w:w="6480" w:type="dxa"/>
            <w:vAlign w:val="center"/>
          </w:tcPr>
          <w:p w14:paraId="5F771FE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Six automated demand regions: NSW1, QLD1, VIC1, SA1, TAS1 and WA. NT removed because a reproducible automated historical-demand feed was not established.</w:t>
            </w:r>
          </w:p>
        </w:tc>
      </w:tr>
      <w:tr w:rsidR="005C6494" w:rsidRPr="00F76BBA" w14:paraId="21A1ACC8" w14:textId="77777777">
        <w:trPr>
          <w:cantSplit/>
          <w:jc w:val="center"/>
        </w:trPr>
        <w:tc>
          <w:tcPr>
            <w:tcW w:w="4464" w:type="dxa"/>
            <w:vAlign w:val="center"/>
          </w:tcPr>
          <w:p w14:paraId="701A141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BOM station weather</w:t>
            </w:r>
          </w:p>
        </w:tc>
        <w:tc>
          <w:tcPr>
            <w:tcW w:w="6480" w:type="dxa"/>
            <w:vAlign w:val="center"/>
          </w:tcPr>
          <w:p w14:paraId="33821D1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Replaced by Open-Meteo ERA5 historical reanalysis and ECMWF IFS HRES seven-day forecast weather, with forecast-vintage provenance.</w:t>
            </w:r>
          </w:p>
        </w:tc>
      </w:tr>
      <w:tr w:rsidR="005C6494" w:rsidRPr="00F76BBA" w14:paraId="4DD9136F" w14:textId="77777777">
        <w:trPr>
          <w:cantSplit/>
          <w:jc w:val="center"/>
        </w:trPr>
        <w:tc>
          <w:tcPr>
            <w:tcW w:w="4464" w:type="dxa"/>
            <w:vAlign w:val="center"/>
          </w:tcPr>
          <w:p w14:paraId="526E3073"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WA treated like another NEM region</w:t>
            </w:r>
          </w:p>
        </w:tc>
        <w:tc>
          <w:tcPr>
            <w:tcW w:w="6480" w:type="dxa"/>
            <w:vAlign w:val="center"/>
          </w:tcPr>
          <w:p w14:paraId="684583A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WA retained as a separate WEM acquisition path with genuine 30-minute legacy and 5-minute modern source regimes.</w:t>
            </w:r>
          </w:p>
        </w:tc>
      </w:tr>
      <w:tr w:rsidR="005C6494" w:rsidRPr="00F76BBA" w14:paraId="60431718" w14:textId="77777777">
        <w:trPr>
          <w:cantSplit/>
          <w:jc w:val="center"/>
        </w:trPr>
        <w:tc>
          <w:tcPr>
            <w:tcW w:w="4464" w:type="dxa"/>
            <w:vAlign w:val="center"/>
          </w:tcPr>
          <w:p w14:paraId="1BCB5AC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lastRenderedPageBreak/>
              <w:t>Successful download treated as sufficient</w:t>
            </w:r>
          </w:p>
        </w:tc>
        <w:tc>
          <w:tcPr>
            <w:tcW w:w="6480" w:type="dxa"/>
            <w:vAlign w:val="center"/>
          </w:tcPr>
          <w:p w14:paraId="6366226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Source/content/schema validation and failure isolation retained so HTML/error artefacts are not accepted as data.</w:t>
            </w:r>
          </w:p>
        </w:tc>
      </w:tr>
    </w:tbl>
    <w:p w14:paraId="08D9E4B7" w14:textId="77777777" w:rsidR="005C6494" w:rsidRPr="00F76BBA" w:rsidRDefault="005C6494">
      <w:pPr>
        <w:spacing w:after="20"/>
        <w:rPr>
          <w:rFonts w:ascii="Times New Roman" w:hAnsi="Times New Roman" w:cs="Times New Roman"/>
          <w:sz w:val="22"/>
        </w:rPr>
      </w:pPr>
    </w:p>
    <w:p w14:paraId="2A27F0A9"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3. Final Stage 2 changes reconciled</w:t>
      </w:r>
    </w:p>
    <w:tbl>
      <w:tblPr>
        <w:tblStyle w:val="TableGrid"/>
        <w:tblW w:w="0" w:type="auto"/>
        <w:jc w:val="center"/>
        <w:tblLook w:val="04A0" w:firstRow="1" w:lastRow="0" w:firstColumn="1" w:lastColumn="0" w:noHBand="0" w:noVBand="1"/>
      </w:tblPr>
      <w:tblGrid>
        <w:gridCol w:w="2763"/>
        <w:gridCol w:w="7681"/>
      </w:tblGrid>
      <w:tr w:rsidR="005C6494" w:rsidRPr="00F76BBA" w14:paraId="5D5D9E76" w14:textId="77777777">
        <w:trPr>
          <w:cantSplit/>
          <w:tblHeader/>
          <w:jc w:val="center"/>
        </w:trPr>
        <w:tc>
          <w:tcPr>
            <w:tcW w:w="2880" w:type="dxa"/>
            <w:shd w:val="clear" w:color="auto" w:fill="D9EAF7"/>
            <w:vAlign w:val="center"/>
          </w:tcPr>
          <w:p w14:paraId="5948555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Area</w:t>
            </w:r>
          </w:p>
        </w:tc>
        <w:tc>
          <w:tcPr>
            <w:tcW w:w="8064" w:type="dxa"/>
            <w:shd w:val="clear" w:color="auto" w:fill="D9EAF7"/>
            <w:vAlign w:val="center"/>
          </w:tcPr>
          <w:p w14:paraId="46FFC60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Final integrated position</w:t>
            </w:r>
          </w:p>
        </w:tc>
      </w:tr>
      <w:tr w:rsidR="005C6494" w:rsidRPr="00F76BBA" w14:paraId="12A8E487" w14:textId="77777777">
        <w:trPr>
          <w:cantSplit/>
          <w:jc w:val="center"/>
        </w:trPr>
        <w:tc>
          <w:tcPr>
            <w:tcW w:w="2880" w:type="dxa"/>
            <w:vAlign w:val="center"/>
          </w:tcPr>
          <w:p w14:paraId="6B95087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Modelling grid</w:t>
            </w:r>
          </w:p>
        </w:tc>
        <w:tc>
          <w:tcPr>
            <w:tcW w:w="8064" w:type="dxa"/>
            <w:vAlign w:val="center"/>
          </w:tcPr>
          <w:p w14:paraId="4F733AF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30-minute common analytical grid; 5-minute MW aggregated by mean; legacy WA 30-minute retained without fabricated 5-minute history.</w:t>
            </w:r>
          </w:p>
        </w:tc>
      </w:tr>
      <w:tr w:rsidR="005C6494" w:rsidRPr="00F76BBA" w14:paraId="599266DE" w14:textId="77777777">
        <w:trPr>
          <w:cantSplit/>
          <w:jc w:val="center"/>
        </w:trPr>
        <w:tc>
          <w:tcPr>
            <w:tcW w:w="2880" w:type="dxa"/>
            <w:vAlign w:val="center"/>
          </w:tcPr>
          <w:p w14:paraId="7453D2A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Weather</w:t>
            </w:r>
          </w:p>
        </w:tc>
        <w:tc>
          <w:tcPr>
            <w:tcW w:w="8064" w:type="dxa"/>
            <w:vAlign w:val="center"/>
          </w:tcPr>
          <w:p w14:paraId="4EC43E2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Historical observed/reanalysis weather + genuine seven-day forecast weather + provenance; climatology fallback outside genuine forecast coverage.</w:t>
            </w:r>
          </w:p>
        </w:tc>
      </w:tr>
      <w:tr w:rsidR="005C6494" w:rsidRPr="00F76BBA" w14:paraId="5E553738" w14:textId="77777777">
        <w:trPr>
          <w:cantSplit/>
          <w:jc w:val="center"/>
        </w:trPr>
        <w:tc>
          <w:tcPr>
            <w:tcW w:w="2880" w:type="dxa"/>
            <w:vAlign w:val="center"/>
          </w:tcPr>
          <w:p w14:paraId="60812BA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Training boundary</w:t>
            </w:r>
          </w:p>
        </w:tc>
        <w:tc>
          <w:tcPr>
            <w:tcW w:w="8064" w:type="dxa"/>
            <w:vAlign w:val="center"/>
          </w:tcPr>
          <w:p w14:paraId="5674EA8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Current prediction month excluded from training; training ends at the previous month boundary and current-month actuals are verification-only.</w:t>
            </w:r>
          </w:p>
        </w:tc>
      </w:tr>
      <w:tr w:rsidR="005C6494" w:rsidRPr="00F76BBA" w14:paraId="6F2F10C1" w14:textId="77777777">
        <w:trPr>
          <w:cantSplit/>
          <w:jc w:val="center"/>
        </w:trPr>
        <w:tc>
          <w:tcPr>
            <w:tcW w:w="2880" w:type="dxa"/>
            <w:vAlign w:val="center"/>
          </w:tcPr>
          <w:p w14:paraId="06344FD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Feature contract</w:t>
            </w:r>
          </w:p>
        </w:tc>
        <w:tc>
          <w:tcPr>
            <w:tcW w:w="8064" w:type="dxa"/>
            <w:vAlign w:val="center"/>
          </w:tcPr>
          <w:p w14:paraId="1FE6AAB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Model A core demand/calendar/history features; Model B extends Model A with weather/context.</w:t>
            </w:r>
          </w:p>
        </w:tc>
      </w:tr>
      <w:tr w:rsidR="005C6494" w:rsidRPr="00F76BBA" w14:paraId="2B4E1714" w14:textId="77777777">
        <w:trPr>
          <w:cantSplit/>
          <w:jc w:val="center"/>
        </w:trPr>
        <w:tc>
          <w:tcPr>
            <w:tcW w:w="2880" w:type="dxa"/>
            <w:vAlign w:val="center"/>
          </w:tcPr>
          <w:p w14:paraId="7BA2AEC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Validation</w:t>
            </w:r>
          </w:p>
        </w:tc>
        <w:tc>
          <w:tcPr>
            <w:tcW w:w="8064" w:type="dxa"/>
            <w:vAlign w:val="center"/>
          </w:tcPr>
          <w:p w14:paraId="2B16F8A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Final Stage 2 consolidated evidence records 162/162 core checks PASS, 60/60 forecast-weather checks PASS and 6/6 regions READY.</w:t>
            </w:r>
          </w:p>
        </w:tc>
      </w:tr>
      <w:tr w:rsidR="005C6494" w:rsidRPr="00F76BBA" w14:paraId="459E78F1" w14:textId="77777777">
        <w:trPr>
          <w:cantSplit/>
          <w:jc w:val="center"/>
        </w:trPr>
        <w:tc>
          <w:tcPr>
            <w:tcW w:w="2880" w:type="dxa"/>
            <w:vAlign w:val="center"/>
          </w:tcPr>
          <w:p w14:paraId="6DD8302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Packaging</w:t>
            </w:r>
          </w:p>
        </w:tc>
        <w:tc>
          <w:tcPr>
            <w:tcW w:w="8064" w:type="dxa"/>
            <w:vAlign w:val="center"/>
          </w:tcPr>
          <w:p w14:paraId="19BB685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Validated ZIP handoff retained so modelling does not consume a partially written archive.</w:t>
            </w:r>
          </w:p>
        </w:tc>
      </w:tr>
    </w:tbl>
    <w:p w14:paraId="6B929D40" w14:textId="77777777" w:rsidR="005C6494" w:rsidRPr="00F76BBA" w:rsidRDefault="005C6494">
      <w:pPr>
        <w:spacing w:after="20"/>
        <w:rPr>
          <w:rFonts w:ascii="Times New Roman" w:hAnsi="Times New Roman" w:cs="Times New Roman"/>
          <w:sz w:val="22"/>
        </w:rPr>
      </w:pPr>
    </w:p>
    <w:p w14:paraId="72A78912"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4. Final modelling evidence reconciled</w:t>
      </w:r>
    </w:p>
    <w:p w14:paraId="20427C3D" w14:textId="77777777" w:rsidR="005C6494" w:rsidRPr="00F76BBA" w:rsidRDefault="00000000">
      <w:pPr>
        <w:pStyle w:val="ListBullet"/>
        <w:spacing w:after="30"/>
        <w:ind w:left="317" w:hanging="173"/>
        <w:rPr>
          <w:rFonts w:ascii="Times New Roman" w:hAnsi="Times New Roman" w:cs="Times New Roman"/>
          <w:sz w:val="22"/>
        </w:rPr>
      </w:pPr>
      <w:r w:rsidRPr="00F76BBA">
        <w:rPr>
          <w:rFonts w:ascii="Times New Roman" w:hAnsi="Times New Roman" w:cs="Times New Roman"/>
          <w:sz w:val="22"/>
        </w:rPr>
        <w:t>The team retained the matched-origin A/B decision logic approved on 10 September: MAE primary, supporting RMSE/sMAPE/Bias, and a 1% tie tolerance favouring the simpler configuration when differences are negligible.</w:t>
      </w:r>
    </w:p>
    <w:p w14:paraId="31A4FE03" w14:textId="77777777" w:rsidR="005C6494" w:rsidRPr="00F76BBA" w:rsidRDefault="00000000">
      <w:pPr>
        <w:pStyle w:val="ListBullet"/>
        <w:spacing w:after="30"/>
        <w:ind w:left="317" w:hanging="173"/>
        <w:rPr>
          <w:rFonts w:ascii="Times New Roman" w:hAnsi="Times New Roman" w:cs="Times New Roman"/>
          <w:sz w:val="22"/>
        </w:rPr>
      </w:pPr>
      <w:r w:rsidRPr="00F76BBA">
        <w:rPr>
          <w:rFonts w:ascii="Times New Roman" w:hAnsi="Times New Roman" w:cs="Times New Roman"/>
          <w:sz w:val="22"/>
        </w:rPr>
        <w:t>Regional decision retained: Model A for NSW1, QLD1, VIC1, SA1 and TAS1; Model B for WA.</w:t>
      </w:r>
    </w:p>
    <w:p w14:paraId="21B1885E" w14:textId="77777777" w:rsidR="005C6494" w:rsidRPr="00F76BBA" w:rsidRDefault="00000000">
      <w:pPr>
        <w:pStyle w:val="ListBullet"/>
        <w:spacing w:after="30"/>
        <w:ind w:left="317" w:hanging="173"/>
        <w:rPr>
          <w:rFonts w:ascii="Times New Roman" w:hAnsi="Times New Roman" w:cs="Times New Roman"/>
          <w:sz w:val="22"/>
        </w:rPr>
      </w:pPr>
      <w:r w:rsidRPr="00F76BBA">
        <w:rPr>
          <w:rFonts w:ascii="Times New Roman" w:hAnsi="Times New Roman" w:cs="Times New Roman"/>
          <w:sz w:val="22"/>
        </w:rPr>
        <w:t>The modelling code generates actual-vs-forecast evidence at full 30-minute and daily resolution plus rolling, monthly, calibration and half-hour-bias views, so the recommendation is visually auditable rather than a single-number choice.</w:t>
      </w:r>
    </w:p>
    <w:p w14:paraId="32C9385E" w14:textId="77777777" w:rsidR="005C6494" w:rsidRPr="00F76BBA" w:rsidRDefault="00000000">
      <w:pPr>
        <w:pStyle w:val="ListBullet"/>
        <w:spacing w:after="30"/>
        <w:ind w:left="317" w:hanging="173"/>
        <w:rPr>
          <w:rFonts w:ascii="Times New Roman" w:hAnsi="Times New Roman" w:cs="Times New Roman"/>
          <w:sz w:val="22"/>
        </w:rPr>
      </w:pPr>
      <w:r w:rsidRPr="00F76BBA">
        <w:rPr>
          <w:rFonts w:ascii="Times New Roman" w:hAnsi="Times New Roman" w:cs="Times New Roman"/>
          <w:sz w:val="22"/>
        </w:rPr>
        <w:t>The integrated modelling pipeline can continue through frozen/current forecast generation, recursive lag provenance, verification and benchmark outputs. The Assessment 2 report, however, presents model selection/backtesting as the principal demonstrated progress gate so the project direction remains credible and leaves a clear next phase.</w:t>
      </w:r>
    </w:p>
    <w:p w14:paraId="6C844D28"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5. Assessment 2 submission structure check</w:t>
      </w:r>
    </w:p>
    <w:tbl>
      <w:tblPr>
        <w:tblStyle w:val="TableGrid"/>
        <w:tblW w:w="0" w:type="auto"/>
        <w:jc w:val="center"/>
        <w:tblLook w:val="04A0" w:firstRow="1" w:lastRow="0" w:firstColumn="1" w:lastColumn="0" w:noHBand="0" w:noVBand="1"/>
      </w:tblPr>
      <w:tblGrid>
        <w:gridCol w:w="2954"/>
        <w:gridCol w:w="7490"/>
      </w:tblGrid>
      <w:tr w:rsidR="005C6494" w:rsidRPr="00F76BBA" w14:paraId="621BC967" w14:textId="77777777">
        <w:trPr>
          <w:cantSplit/>
          <w:tblHeader/>
          <w:jc w:val="center"/>
        </w:trPr>
        <w:tc>
          <w:tcPr>
            <w:tcW w:w="3024" w:type="dxa"/>
            <w:shd w:val="clear" w:color="auto" w:fill="D9EAF7"/>
            <w:vAlign w:val="center"/>
          </w:tcPr>
          <w:p w14:paraId="2A90DDA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Requirement / deliverable</w:t>
            </w:r>
          </w:p>
        </w:tc>
        <w:tc>
          <w:tcPr>
            <w:tcW w:w="7776" w:type="dxa"/>
            <w:shd w:val="clear" w:color="auto" w:fill="D9EAF7"/>
            <w:vAlign w:val="center"/>
          </w:tcPr>
          <w:p w14:paraId="1294660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Integration decision</w:t>
            </w:r>
          </w:p>
        </w:tc>
      </w:tr>
      <w:tr w:rsidR="005C6494" w:rsidRPr="00F76BBA" w14:paraId="74E541FA" w14:textId="77777777">
        <w:trPr>
          <w:cantSplit/>
          <w:jc w:val="center"/>
        </w:trPr>
        <w:tc>
          <w:tcPr>
            <w:tcW w:w="3024" w:type="dxa"/>
            <w:vAlign w:val="center"/>
          </w:tcPr>
          <w:p w14:paraId="5F0A559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Assessment 1</w:t>
            </w:r>
          </w:p>
        </w:tc>
        <w:tc>
          <w:tcPr>
            <w:tcW w:w="7776" w:type="dxa"/>
            <w:vAlign w:val="center"/>
          </w:tcPr>
          <w:p w14:paraId="2A82BEF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Preserve original submission as the baseline design record; do not rewrite it.</w:t>
            </w:r>
          </w:p>
        </w:tc>
      </w:tr>
      <w:tr w:rsidR="005C6494" w:rsidRPr="00F76BBA" w14:paraId="15663CAF" w14:textId="77777777">
        <w:trPr>
          <w:cantSplit/>
          <w:jc w:val="center"/>
        </w:trPr>
        <w:tc>
          <w:tcPr>
            <w:tcW w:w="3024" w:type="dxa"/>
            <w:vAlign w:val="center"/>
          </w:tcPr>
          <w:p w14:paraId="1A2106C3"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Project Update Summary</w:t>
            </w:r>
          </w:p>
        </w:tc>
        <w:tc>
          <w:tcPr>
            <w:tcW w:w="7776" w:type="dxa"/>
            <w:vAlign w:val="center"/>
          </w:tcPr>
          <w:p w14:paraId="000D32E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One page, showing plan → evidence → change → current position.</w:t>
            </w:r>
          </w:p>
        </w:tc>
      </w:tr>
      <w:tr w:rsidR="005C6494" w:rsidRPr="00F76BBA" w14:paraId="7B5D3349" w14:textId="77777777">
        <w:trPr>
          <w:cantSplit/>
          <w:jc w:val="center"/>
        </w:trPr>
        <w:tc>
          <w:tcPr>
            <w:tcW w:w="3024" w:type="dxa"/>
            <w:vAlign w:val="center"/>
          </w:tcPr>
          <w:p w14:paraId="0E32AF9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Technical development</w:t>
            </w:r>
          </w:p>
        </w:tc>
        <w:tc>
          <w:tcPr>
            <w:tcW w:w="7776" w:type="dxa"/>
            <w:vAlign w:val="center"/>
          </w:tcPr>
          <w:p w14:paraId="4987D75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Integrate WP1 acquisition, WP2 preprocessing/feature engineering and WP3 model-decision progress as one system story.</w:t>
            </w:r>
          </w:p>
        </w:tc>
      </w:tr>
      <w:tr w:rsidR="005C6494" w:rsidRPr="00F76BBA" w14:paraId="102D5C1A" w14:textId="77777777">
        <w:trPr>
          <w:cantSplit/>
          <w:jc w:val="center"/>
        </w:trPr>
        <w:tc>
          <w:tcPr>
            <w:tcW w:w="3024" w:type="dxa"/>
            <w:vAlign w:val="center"/>
          </w:tcPr>
          <w:p w14:paraId="418569D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Individual contribution pages</w:t>
            </w:r>
          </w:p>
        </w:tc>
        <w:tc>
          <w:tcPr>
            <w:tcW w:w="7776" w:type="dxa"/>
            <w:vAlign w:val="center"/>
          </w:tcPr>
          <w:p w14:paraId="363AFDF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Exactly one page per student; state primary ownership plus dependencies/review relationships.</w:t>
            </w:r>
          </w:p>
        </w:tc>
      </w:tr>
      <w:tr w:rsidR="005C6494" w:rsidRPr="00F76BBA" w14:paraId="1DF0FC53" w14:textId="77777777">
        <w:trPr>
          <w:cantSplit/>
          <w:jc w:val="center"/>
        </w:trPr>
        <w:tc>
          <w:tcPr>
            <w:tcW w:w="3024" w:type="dxa"/>
            <w:vAlign w:val="center"/>
          </w:tcPr>
          <w:p w14:paraId="3732F87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Architecture</w:t>
            </w:r>
          </w:p>
        </w:tc>
        <w:tc>
          <w:tcPr>
            <w:tcW w:w="7776" w:type="dxa"/>
            <w:vAlign w:val="center"/>
          </w:tcPr>
          <w:p w14:paraId="397378E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Use consistent Stage 1, Stage 2, Stage 3 and combined end-to-end architecture figures.</w:t>
            </w:r>
          </w:p>
        </w:tc>
      </w:tr>
      <w:tr w:rsidR="005C6494" w:rsidRPr="00F76BBA" w14:paraId="414D7105" w14:textId="77777777">
        <w:trPr>
          <w:cantSplit/>
          <w:jc w:val="center"/>
        </w:trPr>
        <w:tc>
          <w:tcPr>
            <w:tcW w:w="3024" w:type="dxa"/>
            <w:vAlign w:val="center"/>
          </w:tcPr>
          <w:p w14:paraId="410CB28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Results evidence</w:t>
            </w:r>
          </w:p>
        </w:tc>
        <w:tc>
          <w:tcPr>
            <w:tcW w:w="7776" w:type="dxa"/>
            <w:vAlign w:val="center"/>
          </w:tcPr>
          <w:p w14:paraId="1F2AA01E"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Use pipeline-generated tables/figures, especially A/B four-month actual-vs-forecast and decision charts.</w:t>
            </w:r>
          </w:p>
        </w:tc>
      </w:tr>
      <w:tr w:rsidR="005C6494" w:rsidRPr="00F76BBA" w14:paraId="2F16FA68" w14:textId="77777777">
        <w:trPr>
          <w:cantSplit/>
          <w:jc w:val="center"/>
        </w:trPr>
        <w:tc>
          <w:tcPr>
            <w:tcW w:w="3024" w:type="dxa"/>
            <w:vAlign w:val="center"/>
          </w:tcPr>
          <w:p w14:paraId="52F5A9A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References</w:t>
            </w:r>
          </w:p>
        </w:tc>
        <w:tc>
          <w:tcPr>
            <w:tcW w:w="7776" w:type="dxa"/>
            <w:vAlign w:val="center"/>
          </w:tcPr>
          <w:p w14:paraId="357A478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Real/verifiable sources only; methodological references support reasoning, project outputs support project claims.</w:t>
            </w:r>
          </w:p>
        </w:tc>
      </w:tr>
      <w:tr w:rsidR="005C6494" w:rsidRPr="00F76BBA" w14:paraId="4F5512CB" w14:textId="77777777">
        <w:trPr>
          <w:cantSplit/>
          <w:jc w:val="center"/>
        </w:trPr>
        <w:tc>
          <w:tcPr>
            <w:tcW w:w="3024" w:type="dxa"/>
            <w:vAlign w:val="center"/>
          </w:tcPr>
          <w:p w14:paraId="1F9144F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Git/Jira/commit evidence</w:t>
            </w:r>
          </w:p>
        </w:tc>
        <w:tc>
          <w:tcPr>
            <w:tcW w:w="7776" w:type="dxa"/>
            <w:vAlign w:val="center"/>
          </w:tcPr>
          <w:p w14:paraId="23109C9E"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Do not invent links or commit IDs. Preserve explicit placeholders if evidence is not present in the reviewed package.</w:t>
            </w:r>
          </w:p>
        </w:tc>
      </w:tr>
      <w:tr w:rsidR="005C6494" w:rsidRPr="00F76BBA" w14:paraId="76123BFE" w14:textId="77777777">
        <w:trPr>
          <w:cantSplit/>
          <w:jc w:val="center"/>
        </w:trPr>
        <w:tc>
          <w:tcPr>
            <w:tcW w:w="3024" w:type="dxa"/>
            <w:vAlign w:val="center"/>
          </w:tcPr>
          <w:p w14:paraId="0DBED4D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AEMO comparison</w:t>
            </w:r>
          </w:p>
        </w:tc>
        <w:tc>
          <w:tcPr>
            <w:tcW w:w="7776" w:type="dxa"/>
            <w:vAlign w:val="center"/>
          </w:tcPr>
          <w:p w14:paraId="6CF7B61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Maintain Scheduled Demand vs Operational Demand caution; divergence is not accuracy when targets/vintages are not equivalent.</w:t>
            </w:r>
          </w:p>
        </w:tc>
      </w:tr>
      <w:tr w:rsidR="005C6494" w:rsidRPr="00F76BBA" w14:paraId="1FA7E016" w14:textId="77777777">
        <w:trPr>
          <w:cantSplit/>
          <w:jc w:val="center"/>
        </w:trPr>
        <w:tc>
          <w:tcPr>
            <w:tcW w:w="3024" w:type="dxa"/>
            <w:vAlign w:val="center"/>
          </w:tcPr>
          <w:p w14:paraId="349467C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lastRenderedPageBreak/>
              <w:t>Page/readability</w:t>
            </w:r>
          </w:p>
        </w:tc>
        <w:tc>
          <w:tcPr>
            <w:tcW w:w="7776" w:type="dxa"/>
            <w:vAlign w:val="center"/>
          </w:tcPr>
          <w:p w14:paraId="3C5EE5E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Keep the complete Assessment 2 submission inside the brief’s page limit and all text/figures readable.</w:t>
            </w:r>
          </w:p>
        </w:tc>
      </w:tr>
    </w:tbl>
    <w:p w14:paraId="064C72CE" w14:textId="77777777" w:rsidR="005C6494" w:rsidRPr="00F76BBA" w:rsidRDefault="005C6494">
      <w:pPr>
        <w:spacing w:after="20"/>
        <w:rPr>
          <w:rFonts w:ascii="Times New Roman" w:hAnsi="Times New Roman" w:cs="Times New Roman"/>
          <w:sz w:val="22"/>
        </w:rPr>
      </w:pPr>
    </w:p>
    <w:p w14:paraId="3DDCEEE6"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6. Individual contribution consistency check</w:t>
      </w:r>
    </w:p>
    <w:tbl>
      <w:tblPr>
        <w:tblStyle w:val="TableGrid"/>
        <w:tblW w:w="0" w:type="auto"/>
        <w:jc w:val="center"/>
        <w:tblLook w:val="04A0" w:firstRow="1" w:lastRow="0" w:firstColumn="1" w:lastColumn="0" w:noHBand="0" w:noVBand="1"/>
      </w:tblPr>
      <w:tblGrid>
        <w:gridCol w:w="1928"/>
        <w:gridCol w:w="8516"/>
      </w:tblGrid>
      <w:tr w:rsidR="005C6494" w:rsidRPr="00F76BBA" w14:paraId="183094DF" w14:textId="77777777">
        <w:trPr>
          <w:cantSplit/>
          <w:tblHeader/>
          <w:jc w:val="center"/>
        </w:trPr>
        <w:tc>
          <w:tcPr>
            <w:tcW w:w="1944" w:type="dxa"/>
            <w:shd w:val="clear" w:color="auto" w:fill="D9EAF7"/>
            <w:vAlign w:val="center"/>
          </w:tcPr>
          <w:p w14:paraId="5FC5D1E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Member</w:t>
            </w:r>
          </w:p>
        </w:tc>
        <w:tc>
          <w:tcPr>
            <w:tcW w:w="8640" w:type="dxa"/>
            <w:shd w:val="clear" w:color="auto" w:fill="D9EAF7"/>
            <w:vAlign w:val="center"/>
          </w:tcPr>
          <w:p w14:paraId="4311AD4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Contribution narrative retained for Assessment 2</w:t>
            </w:r>
          </w:p>
        </w:tc>
      </w:tr>
      <w:tr w:rsidR="005C6494" w:rsidRPr="00F76BBA" w14:paraId="0976506A" w14:textId="77777777">
        <w:trPr>
          <w:cantSplit/>
          <w:jc w:val="center"/>
        </w:trPr>
        <w:tc>
          <w:tcPr>
            <w:tcW w:w="1944" w:type="dxa"/>
            <w:vAlign w:val="center"/>
          </w:tcPr>
          <w:p w14:paraId="1ACBE4F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Suraj Raut</w:t>
            </w:r>
          </w:p>
        </w:tc>
        <w:tc>
          <w:tcPr>
            <w:tcW w:w="8640" w:type="dxa"/>
            <w:vAlign w:val="center"/>
          </w:tcPr>
          <w:p w14:paraId="1B1B82D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WP1 NEM archive and shared schema; WP2 timestamp/frequency harmonisation; WP3 chronological/recursive time-series engineering and XGBoost contribution.</w:t>
            </w:r>
          </w:p>
        </w:tc>
      </w:tr>
      <w:tr w:rsidR="005C6494" w:rsidRPr="00F76BBA" w14:paraId="69950EA3" w14:textId="77777777">
        <w:trPr>
          <w:cantSplit/>
          <w:jc w:val="center"/>
        </w:trPr>
        <w:tc>
          <w:tcPr>
            <w:tcW w:w="1944" w:type="dxa"/>
            <w:vAlign w:val="center"/>
          </w:tcPr>
          <w:p w14:paraId="1AF7A6B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Sudip Lamichhane</w:t>
            </w:r>
          </w:p>
        </w:tc>
        <w:tc>
          <w:tcPr>
            <w:tcW w:w="8640" w:type="dxa"/>
            <w:vAlign w:val="center"/>
          </w:tcPr>
          <w:p w14:paraId="29C444E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WP1 WA/WEM acquisition; WP2 source-quality/gap/provenance handling; WP3 input readiness, statistical/benchmark-source and weather/AEMO governance.</w:t>
            </w:r>
          </w:p>
        </w:tc>
      </w:tr>
      <w:tr w:rsidR="005C6494" w:rsidRPr="00F76BBA" w14:paraId="53CC4C5D" w14:textId="77777777">
        <w:trPr>
          <w:cantSplit/>
          <w:jc w:val="center"/>
        </w:trPr>
        <w:tc>
          <w:tcPr>
            <w:tcW w:w="1944" w:type="dxa"/>
            <w:vAlign w:val="center"/>
          </w:tcPr>
          <w:p w14:paraId="165F7B8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Ashish Shrestha</w:t>
            </w:r>
          </w:p>
        </w:tc>
        <w:tc>
          <w:tcPr>
            <w:tcW w:w="8640" w:type="dxa"/>
            <w:vAlign w:val="center"/>
          </w:tcPr>
          <w:p w14:paraId="68139F1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WP1 dashboard/predispatch acquisition; WP2 forecast-safe feature engineering; WP3 Random Forest A/B, backtesting, selection and forecasting integration.</w:t>
            </w:r>
          </w:p>
        </w:tc>
      </w:tr>
      <w:tr w:rsidR="005C6494" w:rsidRPr="00F76BBA" w14:paraId="0413C1E4" w14:textId="77777777">
        <w:trPr>
          <w:cantSplit/>
          <w:jc w:val="center"/>
        </w:trPr>
        <w:tc>
          <w:tcPr>
            <w:tcW w:w="1944" w:type="dxa"/>
            <w:vAlign w:val="center"/>
          </w:tcPr>
          <w:p w14:paraId="5F9A7F6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Bishal Dahal</w:t>
            </w:r>
          </w:p>
        </w:tc>
        <w:tc>
          <w:tcPr>
            <w:tcW w:w="8640" w:type="dxa"/>
            <w:vAlign w:val="center"/>
          </w:tcPr>
          <w:p w14:paraId="4516504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WP1 weather/holiday validation; WP2 independent readiness checks; WP3 baselines/metrics/verification/evidence figures and contribution documentation.</w:t>
            </w:r>
          </w:p>
        </w:tc>
      </w:tr>
      <w:tr w:rsidR="005C6494" w:rsidRPr="00F76BBA" w14:paraId="3E1771F2" w14:textId="77777777">
        <w:trPr>
          <w:cantSplit/>
          <w:jc w:val="center"/>
        </w:trPr>
        <w:tc>
          <w:tcPr>
            <w:tcW w:w="1944" w:type="dxa"/>
            <w:vAlign w:val="center"/>
          </w:tcPr>
          <w:p w14:paraId="0501FD7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All</w:t>
            </w:r>
          </w:p>
        </w:tc>
        <w:tc>
          <w:tcPr>
            <w:tcW w:w="8640" w:type="dxa"/>
            <w:vAlign w:val="center"/>
          </w:tcPr>
          <w:p w14:paraId="38660D4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 xml:space="preserve">Shared feature contract, integration reviews, selection </w:t>
            </w:r>
            <w:proofErr w:type="gramStart"/>
            <w:r w:rsidRPr="00F76BBA">
              <w:rPr>
                <w:rFonts w:ascii="Times New Roman" w:hAnsi="Times New Roman" w:cs="Times New Roman"/>
                <w:sz w:val="22"/>
              </w:rPr>
              <w:t>rule</w:t>
            </w:r>
            <w:proofErr w:type="gramEnd"/>
            <w:r w:rsidRPr="00F76BBA">
              <w:rPr>
                <w:rFonts w:ascii="Times New Roman" w:hAnsi="Times New Roman" w:cs="Times New Roman"/>
                <w:sz w:val="22"/>
              </w:rPr>
              <w:t>, architecture, evidence reconciliation and final submission assembly.</w:t>
            </w:r>
          </w:p>
        </w:tc>
      </w:tr>
    </w:tbl>
    <w:p w14:paraId="247B2A01" w14:textId="77777777" w:rsidR="005C6494" w:rsidRPr="00F76BBA" w:rsidRDefault="005C6494">
      <w:pPr>
        <w:spacing w:after="20"/>
        <w:rPr>
          <w:rFonts w:ascii="Times New Roman" w:hAnsi="Times New Roman" w:cs="Times New Roman"/>
          <w:sz w:val="22"/>
        </w:rPr>
      </w:pPr>
    </w:p>
    <w:p w14:paraId="24074115"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7. Risk and next-direction decisions</w:t>
      </w:r>
    </w:p>
    <w:tbl>
      <w:tblPr>
        <w:tblStyle w:val="TableGrid"/>
        <w:tblW w:w="0" w:type="auto"/>
        <w:jc w:val="center"/>
        <w:tblLook w:val="04A0" w:firstRow="1" w:lastRow="0" w:firstColumn="1" w:lastColumn="0" w:noHBand="0" w:noVBand="1"/>
      </w:tblPr>
      <w:tblGrid>
        <w:gridCol w:w="3120"/>
        <w:gridCol w:w="7324"/>
      </w:tblGrid>
      <w:tr w:rsidR="005C6494" w:rsidRPr="00F76BBA" w14:paraId="056D7394" w14:textId="77777777">
        <w:trPr>
          <w:cantSplit/>
          <w:tblHeader/>
          <w:jc w:val="center"/>
        </w:trPr>
        <w:tc>
          <w:tcPr>
            <w:tcW w:w="3168" w:type="dxa"/>
            <w:shd w:val="clear" w:color="auto" w:fill="D9EAF7"/>
            <w:vAlign w:val="center"/>
          </w:tcPr>
          <w:p w14:paraId="4558788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Item</w:t>
            </w:r>
          </w:p>
        </w:tc>
        <w:tc>
          <w:tcPr>
            <w:tcW w:w="7632" w:type="dxa"/>
            <w:shd w:val="clear" w:color="auto" w:fill="D9EAF7"/>
            <w:vAlign w:val="center"/>
          </w:tcPr>
          <w:p w14:paraId="6E13B75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Assessment 2 treatment / next direction</w:t>
            </w:r>
          </w:p>
        </w:tc>
      </w:tr>
      <w:tr w:rsidR="005C6494" w:rsidRPr="00F76BBA" w14:paraId="2365E6E6" w14:textId="77777777">
        <w:trPr>
          <w:cantSplit/>
          <w:jc w:val="center"/>
        </w:trPr>
        <w:tc>
          <w:tcPr>
            <w:tcW w:w="3168" w:type="dxa"/>
            <w:vAlign w:val="center"/>
          </w:tcPr>
          <w:p w14:paraId="52F7A8B1"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Seven-day forecast-weather horizon</w:t>
            </w:r>
          </w:p>
        </w:tc>
        <w:tc>
          <w:tcPr>
            <w:tcW w:w="7632" w:type="dxa"/>
            <w:vAlign w:val="center"/>
          </w:tcPr>
          <w:p w14:paraId="020F636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Use genuine forecast weather only where available; do not call climatology a weather forecast.</w:t>
            </w:r>
          </w:p>
        </w:tc>
      </w:tr>
      <w:tr w:rsidR="005C6494" w:rsidRPr="00F76BBA" w14:paraId="5A2C4823" w14:textId="77777777">
        <w:trPr>
          <w:cantSplit/>
          <w:jc w:val="center"/>
        </w:trPr>
        <w:tc>
          <w:tcPr>
            <w:tcW w:w="3168" w:type="dxa"/>
            <w:vAlign w:val="center"/>
          </w:tcPr>
          <w:p w14:paraId="1757D60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Long recursive horizon</w:t>
            </w:r>
          </w:p>
        </w:tc>
        <w:tc>
          <w:tcPr>
            <w:tcW w:w="7632" w:type="dxa"/>
            <w:vAlign w:val="center"/>
          </w:tcPr>
          <w:p w14:paraId="1FBABE8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Retain lag provenance and report increasing reliance on earlier predictions; investigate uncertainty intervals later.</w:t>
            </w:r>
          </w:p>
        </w:tc>
      </w:tr>
      <w:tr w:rsidR="005C6494" w:rsidRPr="00F76BBA" w14:paraId="165D8C90" w14:textId="77777777">
        <w:trPr>
          <w:cantSplit/>
          <w:jc w:val="center"/>
        </w:trPr>
        <w:tc>
          <w:tcPr>
            <w:tcW w:w="3168" w:type="dxa"/>
            <w:vAlign w:val="center"/>
          </w:tcPr>
          <w:p w14:paraId="6FD853A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Peak under-forecasting / regional behaviour</w:t>
            </w:r>
          </w:p>
        </w:tc>
        <w:tc>
          <w:tcPr>
            <w:tcW w:w="7632" w:type="dxa"/>
            <w:vAlign w:val="center"/>
          </w:tcPr>
          <w:p w14:paraId="590E584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Use residual/bias evidence for per-region tuning rather than forcing one shared configuration.</w:t>
            </w:r>
          </w:p>
        </w:tc>
      </w:tr>
      <w:tr w:rsidR="005C6494" w:rsidRPr="00F76BBA" w14:paraId="47A4F5D0" w14:textId="77777777">
        <w:trPr>
          <w:cantSplit/>
          <w:jc w:val="center"/>
        </w:trPr>
        <w:tc>
          <w:tcPr>
            <w:tcW w:w="3168" w:type="dxa"/>
            <w:vAlign w:val="center"/>
          </w:tcPr>
          <w:p w14:paraId="1DE631F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AEMO target mismatch</w:t>
            </w:r>
          </w:p>
        </w:tc>
        <w:tc>
          <w:tcPr>
            <w:tcW w:w="7632" w:type="dxa"/>
            <w:vAlign w:val="center"/>
          </w:tcPr>
          <w:p w14:paraId="2317159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Secondary benchmark only unless a compatible archived target/actual pair exists.</w:t>
            </w:r>
          </w:p>
        </w:tc>
      </w:tr>
      <w:tr w:rsidR="005C6494" w:rsidRPr="00F76BBA" w14:paraId="1E7ED455" w14:textId="77777777">
        <w:trPr>
          <w:cantSplit/>
          <w:jc w:val="center"/>
        </w:trPr>
        <w:tc>
          <w:tcPr>
            <w:tcW w:w="3168" w:type="dxa"/>
            <w:vAlign w:val="center"/>
          </w:tcPr>
          <w:p w14:paraId="1E76F4DF"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Correction handling</w:t>
            </w:r>
          </w:p>
        </w:tc>
        <w:tc>
          <w:tcPr>
            <w:tcW w:w="7632" w:type="dxa"/>
            <w:vAlign w:val="center"/>
          </w:tcPr>
          <w:p w14:paraId="549CCD5A"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Maintain source/vintage traceability; correction-aware rescoring remains a future operational enhancement.</w:t>
            </w:r>
          </w:p>
        </w:tc>
      </w:tr>
      <w:tr w:rsidR="005C6494" w:rsidRPr="00F76BBA" w14:paraId="4DC95E41" w14:textId="77777777">
        <w:trPr>
          <w:cantSplit/>
          <w:jc w:val="center"/>
        </w:trPr>
        <w:tc>
          <w:tcPr>
            <w:tcW w:w="3168" w:type="dxa"/>
            <w:vAlign w:val="center"/>
          </w:tcPr>
          <w:p w14:paraId="02A4842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Dashboard/automation</w:t>
            </w:r>
          </w:p>
        </w:tc>
        <w:tc>
          <w:tcPr>
            <w:tcW w:w="7632" w:type="dxa"/>
            <w:vAlign w:val="center"/>
          </w:tcPr>
          <w:p w14:paraId="7C6F1D7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Next project phase after the Assessment 2 model-decision milestone.</w:t>
            </w:r>
          </w:p>
        </w:tc>
      </w:tr>
      <w:tr w:rsidR="005C6494" w:rsidRPr="00F76BBA" w14:paraId="1EE90CD6" w14:textId="77777777">
        <w:trPr>
          <w:cantSplit/>
          <w:jc w:val="center"/>
        </w:trPr>
        <w:tc>
          <w:tcPr>
            <w:tcW w:w="3168" w:type="dxa"/>
            <w:vAlign w:val="center"/>
          </w:tcPr>
          <w:p w14:paraId="4131CB3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Repository reproducibility</w:t>
            </w:r>
          </w:p>
        </w:tc>
        <w:tc>
          <w:tcPr>
            <w:tcW w:w="7632" w:type="dxa"/>
            <w:vAlign w:val="center"/>
          </w:tcPr>
          <w:p w14:paraId="2E4EC50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Keep stage ZIPs, manifests, source code and evidence outputs so the report can be reproduced.</w:t>
            </w:r>
          </w:p>
        </w:tc>
      </w:tr>
    </w:tbl>
    <w:p w14:paraId="6D9E342C" w14:textId="77777777" w:rsidR="005C6494" w:rsidRPr="00F76BBA" w:rsidRDefault="005C6494">
      <w:pPr>
        <w:spacing w:after="20"/>
        <w:rPr>
          <w:rFonts w:ascii="Times New Roman" w:hAnsi="Times New Roman" w:cs="Times New Roman"/>
          <w:sz w:val="22"/>
        </w:rPr>
      </w:pPr>
    </w:p>
    <w:p w14:paraId="6944724B" w14:textId="77777777" w:rsidR="005C6494" w:rsidRPr="00F76BBA" w:rsidRDefault="00000000">
      <w:pPr>
        <w:pStyle w:val="Decision"/>
        <w:rPr>
          <w:rFonts w:ascii="Times New Roman" w:hAnsi="Times New Roman" w:cs="Times New Roman"/>
          <w:sz w:val="22"/>
        </w:rPr>
      </w:pPr>
      <w:r w:rsidRPr="00F76BBA">
        <w:rPr>
          <w:rFonts w:ascii="Times New Roman" w:hAnsi="Times New Roman" w:cs="Times New Roman"/>
          <w:sz w:val="22"/>
        </w:rPr>
        <w:t xml:space="preserve">DECISION: The Assessment 2 package would be frozen from the reviewed evidence. Any new modelling experiment proposed after this meeting would be treated as future work unless it could be fully rerun, validated and documented without altering the agreed evidence </w:t>
      </w:r>
      <w:proofErr w:type="gramStart"/>
      <w:r w:rsidRPr="00F76BBA">
        <w:rPr>
          <w:rFonts w:ascii="Times New Roman" w:hAnsi="Times New Roman" w:cs="Times New Roman"/>
          <w:sz w:val="22"/>
        </w:rPr>
        <w:t>trail</w:t>
      </w:r>
      <w:proofErr w:type="gramEnd"/>
      <w:r w:rsidRPr="00F76BBA">
        <w:rPr>
          <w:rFonts w:ascii="Times New Roman" w:hAnsi="Times New Roman" w:cs="Times New Roman"/>
          <w:sz w:val="22"/>
        </w:rPr>
        <w:t>.</w:t>
      </w:r>
    </w:p>
    <w:p w14:paraId="01E1A042" w14:textId="77777777" w:rsidR="005C6494" w:rsidRPr="00F76BBA" w:rsidRDefault="00000000">
      <w:pPr>
        <w:pStyle w:val="Heading2"/>
        <w:rPr>
          <w:rFonts w:ascii="Times New Roman" w:hAnsi="Times New Roman" w:cs="Times New Roman"/>
          <w:sz w:val="22"/>
          <w:szCs w:val="22"/>
        </w:rPr>
      </w:pPr>
      <w:r w:rsidRPr="00F76BBA">
        <w:rPr>
          <w:rFonts w:ascii="Times New Roman" w:hAnsi="Times New Roman" w:cs="Times New Roman"/>
          <w:sz w:val="22"/>
          <w:szCs w:val="22"/>
        </w:rPr>
        <w:t>8. Final action register</w:t>
      </w:r>
    </w:p>
    <w:tbl>
      <w:tblPr>
        <w:tblStyle w:val="TableGrid"/>
        <w:tblW w:w="0" w:type="auto"/>
        <w:jc w:val="center"/>
        <w:tblLook w:val="04A0" w:firstRow="1" w:lastRow="0" w:firstColumn="1" w:lastColumn="0" w:noHBand="0" w:noVBand="1"/>
      </w:tblPr>
      <w:tblGrid>
        <w:gridCol w:w="611"/>
        <w:gridCol w:w="5758"/>
        <w:gridCol w:w="1847"/>
        <w:gridCol w:w="2228"/>
      </w:tblGrid>
      <w:tr w:rsidR="005C6494" w:rsidRPr="00F76BBA" w14:paraId="6D7E53E2" w14:textId="77777777">
        <w:trPr>
          <w:cantSplit/>
          <w:tblHeader/>
          <w:jc w:val="center"/>
        </w:trPr>
        <w:tc>
          <w:tcPr>
            <w:tcW w:w="648" w:type="dxa"/>
            <w:shd w:val="clear" w:color="auto" w:fill="D9EAF7"/>
            <w:vAlign w:val="center"/>
          </w:tcPr>
          <w:p w14:paraId="47CDC4D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ID</w:t>
            </w:r>
          </w:p>
        </w:tc>
        <w:tc>
          <w:tcPr>
            <w:tcW w:w="6624" w:type="dxa"/>
            <w:shd w:val="clear" w:color="auto" w:fill="D9EAF7"/>
            <w:vAlign w:val="center"/>
          </w:tcPr>
          <w:p w14:paraId="3C0637A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Final action</w:t>
            </w:r>
          </w:p>
        </w:tc>
        <w:tc>
          <w:tcPr>
            <w:tcW w:w="2016" w:type="dxa"/>
            <w:shd w:val="clear" w:color="auto" w:fill="D9EAF7"/>
            <w:vAlign w:val="center"/>
          </w:tcPr>
          <w:p w14:paraId="55925C6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Owner</w:t>
            </w:r>
          </w:p>
        </w:tc>
        <w:tc>
          <w:tcPr>
            <w:tcW w:w="2448" w:type="dxa"/>
            <w:shd w:val="clear" w:color="auto" w:fill="D9EAF7"/>
            <w:vAlign w:val="center"/>
          </w:tcPr>
          <w:p w14:paraId="6AEEFD7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b/>
                <w:color w:val="14375F"/>
                <w:sz w:val="22"/>
              </w:rPr>
              <w:t>Status / note</w:t>
            </w:r>
          </w:p>
        </w:tc>
      </w:tr>
      <w:tr w:rsidR="005C6494" w:rsidRPr="00F76BBA" w14:paraId="4FE34861" w14:textId="77777777">
        <w:trPr>
          <w:cantSplit/>
          <w:jc w:val="center"/>
        </w:trPr>
        <w:tc>
          <w:tcPr>
            <w:tcW w:w="648" w:type="dxa"/>
            <w:vAlign w:val="center"/>
          </w:tcPr>
          <w:p w14:paraId="2264F1F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F1</w:t>
            </w:r>
          </w:p>
        </w:tc>
        <w:tc>
          <w:tcPr>
            <w:tcW w:w="6624" w:type="dxa"/>
            <w:vAlign w:val="center"/>
          </w:tcPr>
          <w:p w14:paraId="15A3B47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Final cross-check of report against Assessment 2 brief and page limit.</w:t>
            </w:r>
          </w:p>
        </w:tc>
        <w:tc>
          <w:tcPr>
            <w:tcW w:w="2016" w:type="dxa"/>
            <w:vAlign w:val="center"/>
          </w:tcPr>
          <w:p w14:paraId="444E753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All</w:t>
            </w:r>
          </w:p>
        </w:tc>
        <w:tc>
          <w:tcPr>
            <w:tcW w:w="2448" w:type="dxa"/>
            <w:vAlign w:val="center"/>
          </w:tcPr>
          <w:p w14:paraId="10F2DBB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Complete during integration; final file still requires uploader check.</w:t>
            </w:r>
          </w:p>
        </w:tc>
      </w:tr>
      <w:tr w:rsidR="005C6494" w:rsidRPr="00F76BBA" w14:paraId="7C4B0EE6" w14:textId="77777777">
        <w:trPr>
          <w:cantSplit/>
          <w:jc w:val="center"/>
        </w:trPr>
        <w:tc>
          <w:tcPr>
            <w:tcW w:w="648" w:type="dxa"/>
            <w:vAlign w:val="center"/>
          </w:tcPr>
          <w:p w14:paraId="5D5C8FB9"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F2</w:t>
            </w:r>
          </w:p>
        </w:tc>
        <w:tc>
          <w:tcPr>
            <w:tcW w:w="6624" w:type="dxa"/>
            <w:vAlign w:val="center"/>
          </w:tcPr>
          <w:p w14:paraId="430287EB"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Confirm all four individual pages and evidence links/placeholders.</w:t>
            </w:r>
          </w:p>
        </w:tc>
        <w:tc>
          <w:tcPr>
            <w:tcW w:w="2016" w:type="dxa"/>
            <w:vAlign w:val="center"/>
          </w:tcPr>
          <w:p w14:paraId="532528C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Each member</w:t>
            </w:r>
          </w:p>
        </w:tc>
        <w:tc>
          <w:tcPr>
            <w:tcW w:w="2448" w:type="dxa"/>
            <w:vAlign w:val="center"/>
          </w:tcPr>
          <w:p w14:paraId="539AFF9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Complete subject to final personal evidence insertion where required.</w:t>
            </w:r>
          </w:p>
        </w:tc>
      </w:tr>
      <w:tr w:rsidR="005C6494" w:rsidRPr="00F76BBA" w14:paraId="22FF62BC" w14:textId="77777777">
        <w:trPr>
          <w:cantSplit/>
          <w:jc w:val="center"/>
        </w:trPr>
        <w:tc>
          <w:tcPr>
            <w:tcW w:w="648" w:type="dxa"/>
            <w:vAlign w:val="center"/>
          </w:tcPr>
          <w:p w14:paraId="66879AB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F3</w:t>
            </w:r>
          </w:p>
        </w:tc>
        <w:tc>
          <w:tcPr>
            <w:tcW w:w="6624" w:type="dxa"/>
            <w:vAlign w:val="center"/>
          </w:tcPr>
          <w:p w14:paraId="7B4766C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Confirm code and output filenames referenced in the report exist in the submission/repository.</w:t>
            </w:r>
          </w:p>
        </w:tc>
        <w:tc>
          <w:tcPr>
            <w:tcW w:w="2016" w:type="dxa"/>
            <w:vAlign w:val="center"/>
          </w:tcPr>
          <w:p w14:paraId="7D3EA34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Suraj + Sudip</w:t>
            </w:r>
          </w:p>
        </w:tc>
        <w:tc>
          <w:tcPr>
            <w:tcW w:w="2448" w:type="dxa"/>
            <w:vAlign w:val="center"/>
          </w:tcPr>
          <w:p w14:paraId="670AC39E"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Cross-check before upload.</w:t>
            </w:r>
          </w:p>
        </w:tc>
      </w:tr>
      <w:tr w:rsidR="005C6494" w:rsidRPr="00F76BBA" w14:paraId="4F68ADDD" w14:textId="77777777">
        <w:trPr>
          <w:cantSplit/>
          <w:jc w:val="center"/>
        </w:trPr>
        <w:tc>
          <w:tcPr>
            <w:tcW w:w="648" w:type="dxa"/>
            <w:vAlign w:val="center"/>
          </w:tcPr>
          <w:p w14:paraId="3A7B9413"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lastRenderedPageBreak/>
              <w:t>F4</w:t>
            </w:r>
          </w:p>
        </w:tc>
        <w:tc>
          <w:tcPr>
            <w:tcW w:w="6624" w:type="dxa"/>
            <w:vAlign w:val="center"/>
          </w:tcPr>
          <w:p w14:paraId="31EC6536"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Confirm model-decision figures/tables are generated from outputs, not manually redrawn.</w:t>
            </w:r>
          </w:p>
        </w:tc>
        <w:tc>
          <w:tcPr>
            <w:tcW w:w="2016" w:type="dxa"/>
            <w:vAlign w:val="center"/>
          </w:tcPr>
          <w:p w14:paraId="54F386F5"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Ashish + Bishal</w:t>
            </w:r>
          </w:p>
        </w:tc>
        <w:tc>
          <w:tcPr>
            <w:tcW w:w="2448" w:type="dxa"/>
            <w:vAlign w:val="center"/>
          </w:tcPr>
          <w:p w14:paraId="1D8D43A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Accepted evidence rule.</w:t>
            </w:r>
          </w:p>
        </w:tc>
      </w:tr>
      <w:tr w:rsidR="005C6494" w:rsidRPr="00F76BBA" w14:paraId="5D15CC3A" w14:textId="77777777">
        <w:trPr>
          <w:cantSplit/>
          <w:jc w:val="center"/>
        </w:trPr>
        <w:tc>
          <w:tcPr>
            <w:tcW w:w="648" w:type="dxa"/>
            <w:vAlign w:val="center"/>
          </w:tcPr>
          <w:p w14:paraId="7DE2D577"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F5</w:t>
            </w:r>
          </w:p>
        </w:tc>
        <w:tc>
          <w:tcPr>
            <w:tcW w:w="6624" w:type="dxa"/>
            <w:vAlign w:val="center"/>
          </w:tcPr>
          <w:p w14:paraId="022442CD"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Attach combined meeting minutes and contribution records.</w:t>
            </w:r>
          </w:p>
        </w:tc>
        <w:tc>
          <w:tcPr>
            <w:tcW w:w="2016" w:type="dxa"/>
            <w:vAlign w:val="center"/>
          </w:tcPr>
          <w:p w14:paraId="44235CA8"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Bishal + Suraj</w:t>
            </w:r>
          </w:p>
        </w:tc>
        <w:tc>
          <w:tcPr>
            <w:tcW w:w="2448" w:type="dxa"/>
            <w:vAlign w:val="center"/>
          </w:tcPr>
          <w:p w14:paraId="1BA67CFE"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This consolidated file is the final meeting record.</w:t>
            </w:r>
          </w:p>
        </w:tc>
      </w:tr>
      <w:tr w:rsidR="005C6494" w:rsidRPr="00F76BBA" w14:paraId="38D80127" w14:textId="77777777">
        <w:trPr>
          <w:cantSplit/>
          <w:jc w:val="center"/>
        </w:trPr>
        <w:tc>
          <w:tcPr>
            <w:tcW w:w="648" w:type="dxa"/>
            <w:vAlign w:val="center"/>
          </w:tcPr>
          <w:p w14:paraId="2848B080"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F6</w:t>
            </w:r>
          </w:p>
        </w:tc>
        <w:tc>
          <w:tcPr>
            <w:tcW w:w="6624" w:type="dxa"/>
            <w:vAlign w:val="center"/>
          </w:tcPr>
          <w:p w14:paraId="07A7F9C4"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Perform final submission upload and verify the uploaded file opens correctly.</w:t>
            </w:r>
          </w:p>
        </w:tc>
        <w:tc>
          <w:tcPr>
            <w:tcW w:w="2016" w:type="dxa"/>
            <w:vAlign w:val="center"/>
          </w:tcPr>
          <w:p w14:paraId="522590D2"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Group / designated uploader</w:t>
            </w:r>
          </w:p>
        </w:tc>
        <w:tc>
          <w:tcPr>
            <w:tcW w:w="2448" w:type="dxa"/>
            <w:vAlign w:val="center"/>
          </w:tcPr>
          <w:p w14:paraId="0631A01C" w14:textId="77777777" w:rsidR="005C6494" w:rsidRPr="00F76BBA" w:rsidRDefault="00000000">
            <w:pPr>
              <w:spacing w:after="0"/>
              <w:rPr>
                <w:rFonts w:ascii="Times New Roman" w:hAnsi="Times New Roman" w:cs="Times New Roman"/>
                <w:sz w:val="22"/>
              </w:rPr>
            </w:pPr>
            <w:r w:rsidRPr="00F76BBA">
              <w:rPr>
                <w:rFonts w:ascii="Times New Roman" w:hAnsi="Times New Roman" w:cs="Times New Roman"/>
                <w:sz w:val="22"/>
              </w:rPr>
              <w:t>To be completed at submission.</w:t>
            </w:r>
          </w:p>
        </w:tc>
      </w:tr>
    </w:tbl>
    <w:p w14:paraId="0FF5B8C6" w14:textId="1D8969C7" w:rsidR="005C6494" w:rsidRPr="00F76BBA" w:rsidRDefault="005C6494">
      <w:pPr>
        <w:rPr>
          <w:rFonts w:ascii="Times New Roman" w:hAnsi="Times New Roman" w:cs="Times New Roman"/>
          <w:sz w:val="22"/>
        </w:rPr>
      </w:pPr>
    </w:p>
    <w:sectPr w:rsidR="005C6494" w:rsidRPr="00F76BBA"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66E8" w14:textId="77777777" w:rsidR="0009584C" w:rsidRDefault="0009584C">
      <w:pPr>
        <w:spacing w:after="0" w:line="240" w:lineRule="auto"/>
      </w:pPr>
      <w:r>
        <w:separator/>
      </w:r>
    </w:p>
  </w:endnote>
  <w:endnote w:type="continuationSeparator" w:id="0">
    <w:p w14:paraId="36E1B3E6" w14:textId="77777777" w:rsidR="0009584C" w:rsidRDefault="00095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7A11" w14:textId="77777777" w:rsidR="005C6494" w:rsidRDefault="00000000">
    <w:pPr>
      <w:pStyle w:val="Footer"/>
      <w:jc w:val="right"/>
    </w:pPr>
    <w:r>
      <w:rPr>
        <w:rFonts w:ascii="Arial" w:hAnsi="Arial"/>
      </w:rPr>
      <w:t xml:space="preserve">PRT661 | Dan6: Theme 2 | Meeting 6 | Page </w:t>
    </w:r>
    <w:r>
      <w:fldChar w:fldCharType="begin"/>
    </w:r>
    <w:r>
      <w:instrText xml:space="preserve"> PAGE </w:instrText>
    </w:r>
    <w:r w:rsidR="00E9289D">
      <w:fldChar w:fldCharType="separate"/>
    </w:r>
    <w:r w:rsidR="00E928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435E" w14:textId="77777777" w:rsidR="0009584C" w:rsidRDefault="0009584C">
      <w:pPr>
        <w:spacing w:after="0" w:line="240" w:lineRule="auto"/>
      </w:pPr>
      <w:r>
        <w:separator/>
      </w:r>
    </w:p>
  </w:footnote>
  <w:footnote w:type="continuationSeparator" w:id="0">
    <w:p w14:paraId="2EDCBDC2" w14:textId="77777777" w:rsidR="0009584C" w:rsidRDefault="00095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151655">
    <w:abstractNumId w:val="8"/>
  </w:num>
  <w:num w:numId="2" w16cid:durableId="241255861">
    <w:abstractNumId w:val="6"/>
  </w:num>
  <w:num w:numId="3" w16cid:durableId="720010833">
    <w:abstractNumId w:val="5"/>
  </w:num>
  <w:num w:numId="4" w16cid:durableId="1990089215">
    <w:abstractNumId w:val="4"/>
  </w:num>
  <w:num w:numId="5" w16cid:durableId="609163942">
    <w:abstractNumId w:val="7"/>
  </w:num>
  <w:num w:numId="6" w16cid:durableId="1002128706">
    <w:abstractNumId w:val="3"/>
  </w:num>
  <w:num w:numId="7" w16cid:durableId="473329712">
    <w:abstractNumId w:val="2"/>
  </w:num>
  <w:num w:numId="8" w16cid:durableId="414208872">
    <w:abstractNumId w:val="1"/>
  </w:num>
  <w:num w:numId="9" w16cid:durableId="151978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4C"/>
    <w:rsid w:val="0015074B"/>
    <w:rsid w:val="0029639D"/>
    <w:rsid w:val="00326F90"/>
    <w:rsid w:val="005C6494"/>
    <w:rsid w:val="00972953"/>
    <w:rsid w:val="00AA1D8D"/>
    <w:rsid w:val="00B47730"/>
    <w:rsid w:val="00B948F4"/>
    <w:rsid w:val="00CB0664"/>
    <w:rsid w:val="00E9289D"/>
    <w:rsid w:val="00F76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991A8"/>
  <w14:defaultImageDpi w14:val="300"/>
  <w15:docId w15:val="{3DAEE926-CE10-44F3-8ACD-2F2497AE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3376B"/>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37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05050"/>
      <w:sz w:val="17"/>
    </w:rPr>
  </w:style>
  <w:style w:type="paragraph" w:customStyle="1" w:styleId="Decision">
    <w:name w:val="Decision"/>
    <w:pPr>
      <w:spacing w:after="60"/>
      <w:ind w:left="216"/>
    </w:pPr>
    <w:rPr>
      <w:rFonts w:ascii="Aptos" w:hAnsi="Aptos"/>
      <w:b/>
      <w:color w:val="0061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PRT661 Dan6 Meeting 6 - 15 Sep 2026</vt:lpstr>
    </vt:vector>
  </TitlesOfParts>
  <Manager/>
  <Company/>
  <LinksUpToDate>false</LinksUpToDate>
  <CharactersWithSpaces>8877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PRT661 Dan6 Meeting 6 - 15 Sep 2026</dc:title>
  <dc:subject>PRT661 Data Science Practice - Australian Electricity Demand Forecasting</dc:subject>
  <dc:creator>Dan6 Group</dc:creator>
  <cp:keywords>PRT661, Dan6, Meeting 6, 15 Sep 2026</cp:keywords>
  <dc:description>generated by python-docx</dc:description>
  <cp:lastModifiedBy>Ashish Shrestha</cp:lastModifiedBy>
  <cp:revision>4</cp:revision>
  <dcterms:created xsi:type="dcterms:W3CDTF">2026-09-15T07:32:00Z</dcterms:created>
  <dcterms:modified xsi:type="dcterms:W3CDTF">2026-09-15T07:32:00Z</dcterms:modified>
  <cp:category/>
</cp:coreProperties>
</file>