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WP2 Individual Contribution</w:t>
        <w:br/>
        <w:t>and Progress Report</w:t>
      </w:r>
    </w:p>
    <w:p>
      <w:pPr>
        <w:jc w:val="center"/>
      </w:pPr>
      <w:r>
        <w:rPr>
          <w:b/>
          <w:sz w:val="24"/>
        </w:rPr>
        <w:t>Australian Electricity Demand Forecasting</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Pr>
                <w:b/>
                <w:sz w:val="18"/>
              </w:rPr>
              <w:t>Field</w:t>
            </w:r>
          </w:p>
        </w:tc>
        <w:tc>
          <w:tcPr>
            <w:tcW w:type="dxa" w:w="6803"/>
            <w:shd w:fill="D9EAF7"/>
            <w:vAlign w:val="center"/>
          </w:tcPr>
          <w:p>
            <w:r>
              <w:rPr>
                <w:b/>
                <w:sz w:val="18"/>
              </w:rPr>
              <w:t>Detail</w:t>
            </w:r>
          </w:p>
        </w:tc>
      </w:tr>
      <w:tr>
        <w:tc>
          <w:tcPr>
            <w:tcW w:type="dxa" w:w="2268"/>
            <w:vAlign w:val="top"/>
            <w:tcMar>
              <w:top w:w="90" w:type="dxa"/>
              <w:start w:w="90" w:type="dxa"/>
              <w:bottom w:w="90" w:type="dxa"/>
              <w:end w:w="90" w:type="dxa"/>
            </w:tcMar>
          </w:tcPr>
          <w:p>
            <w:r>
              <w:rPr>
                <w:sz w:val="18"/>
              </w:rPr>
              <w:t>Student</w:t>
            </w:r>
          </w:p>
        </w:tc>
        <w:tc>
          <w:tcPr>
            <w:tcW w:type="dxa" w:w="6803"/>
            <w:vAlign w:val="top"/>
            <w:tcMar>
              <w:top w:w="90" w:type="dxa"/>
              <w:start w:w="90" w:type="dxa"/>
              <w:bottom w:w="90" w:type="dxa"/>
              <w:end w:w="90" w:type="dxa"/>
            </w:tcMar>
          </w:tcPr>
          <w:p>
            <w:r>
              <w:rPr>
                <w:sz w:val="18"/>
              </w:rPr>
              <w:t>Suraj Raut</w:t>
            </w:r>
          </w:p>
        </w:tc>
      </w:tr>
      <w:tr>
        <w:tc>
          <w:tcPr>
            <w:tcW w:type="dxa" w:w="2268"/>
            <w:vAlign w:val="top"/>
            <w:tcMar>
              <w:top w:w="90" w:type="dxa"/>
              <w:start w:w="90" w:type="dxa"/>
              <w:bottom w:w="90" w:type="dxa"/>
              <w:end w:w="90" w:type="dxa"/>
            </w:tcMar>
          </w:tcPr>
          <w:p>
            <w:r>
              <w:rPr>
                <w:sz w:val="18"/>
              </w:rPr>
              <w:t>Student ID</w:t>
            </w:r>
          </w:p>
        </w:tc>
        <w:tc>
          <w:tcPr>
            <w:tcW w:type="dxa" w:w="6803"/>
            <w:vAlign w:val="top"/>
            <w:tcMar>
              <w:top w:w="90" w:type="dxa"/>
              <w:start w:w="90" w:type="dxa"/>
              <w:bottom w:w="90" w:type="dxa"/>
              <w:end w:w="90" w:type="dxa"/>
            </w:tcMar>
          </w:tcPr>
          <w:p>
            <w:r>
              <w:rPr>
                <w:sz w:val="18"/>
              </w:rPr>
              <w:t>S391201</w:t>
            </w:r>
          </w:p>
        </w:tc>
      </w:tr>
      <w:tr>
        <w:tc>
          <w:tcPr>
            <w:tcW w:type="dxa" w:w="2268"/>
            <w:vAlign w:val="top"/>
            <w:tcMar>
              <w:top w:w="90" w:type="dxa"/>
              <w:start w:w="90" w:type="dxa"/>
              <w:bottom w:w="90" w:type="dxa"/>
              <w:end w:w="90" w:type="dxa"/>
            </w:tcMar>
          </w:tcPr>
          <w:p>
            <w:r>
              <w:rPr>
                <w:sz w:val="18"/>
              </w:rPr>
              <w:t>Role</w:t>
            </w:r>
          </w:p>
        </w:tc>
        <w:tc>
          <w:tcPr>
            <w:tcW w:type="dxa" w:w="6803"/>
            <w:vAlign w:val="top"/>
            <w:tcMar>
              <w:top w:w="90" w:type="dxa"/>
              <w:start w:w="90" w:type="dxa"/>
              <w:bottom w:w="90" w:type="dxa"/>
              <w:end w:w="90" w:type="dxa"/>
            </w:tcMar>
          </w:tcPr>
          <w:p>
            <w:r>
              <w:rPr>
                <w:sz w:val="18"/>
              </w:rPr>
              <w:t>Data Engineering Lead</w:t>
            </w:r>
          </w:p>
        </w:tc>
      </w:tr>
      <w:tr>
        <w:tc>
          <w:tcPr>
            <w:tcW w:type="dxa" w:w="2268"/>
            <w:vAlign w:val="top"/>
            <w:tcMar>
              <w:top w:w="90" w:type="dxa"/>
              <w:start w:w="90" w:type="dxa"/>
              <w:bottom w:w="90" w:type="dxa"/>
              <w:end w:w="90" w:type="dxa"/>
            </w:tcMar>
          </w:tcPr>
          <w:p>
            <w:r>
              <w:rPr>
                <w:sz w:val="18"/>
              </w:rPr>
              <w:t>Group</w:t>
            </w:r>
          </w:p>
        </w:tc>
        <w:tc>
          <w:tcPr>
            <w:tcW w:type="dxa" w:w="6803"/>
            <w:vAlign w:val="top"/>
            <w:tcMar>
              <w:top w:w="90" w:type="dxa"/>
              <w:start w:w="90" w:type="dxa"/>
              <w:bottom w:w="90" w:type="dxa"/>
              <w:end w:w="90" w:type="dxa"/>
            </w:tcMar>
          </w:tcPr>
          <w:p>
            <w:r>
              <w:rPr>
                <w:sz w:val="18"/>
              </w:rPr>
              <w:t>Dan6 – Theme 2</w:t>
            </w:r>
          </w:p>
        </w:tc>
      </w:tr>
      <w:tr>
        <w:tc>
          <w:tcPr>
            <w:tcW w:type="dxa" w:w="2268"/>
            <w:vAlign w:val="top"/>
            <w:tcMar>
              <w:top w:w="90" w:type="dxa"/>
              <w:start w:w="90" w:type="dxa"/>
              <w:bottom w:w="90" w:type="dxa"/>
              <w:end w:w="90" w:type="dxa"/>
            </w:tcMar>
          </w:tcPr>
          <w:p>
            <w:r>
              <w:rPr>
                <w:sz w:val="18"/>
              </w:rPr>
              <w:t>WP2 code artefact</w:t>
            </w:r>
          </w:p>
        </w:tc>
        <w:tc>
          <w:tcPr>
            <w:tcW w:type="dxa" w:w="6803"/>
            <w:vAlign w:val="top"/>
            <w:tcMar>
              <w:top w:w="90" w:type="dxa"/>
              <w:start w:w="90" w:type="dxa"/>
              <w:bottom w:w="90" w:type="dxa"/>
              <w:end w:w="90" w:type="dxa"/>
            </w:tcMar>
          </w:tcPr>
          <w:p>
            <w:r>
              <w:rPr>
                <w:sz w:val="18"/>
              </w:rPr>
              <w:t>WP2_Suraj_Raut_Preprocessing.py</w:t>
            </w:r>
          </w:p>
        </w:tc>
      </w:tr>
      <w:tr>
        <w:tc>
          <w:tcPr>
            <w:tcW w:type="dxa" w:w="2268"/>
            <w:vAlign w:val="top"/>
            <w:tcMar>
              <w:top w:w="90" w:type="dxa"/>
              <w:start w:w="90" w:type="dxa"/>
              <w:bottom w:w="90" w:type="dxa"/>
              <w:end w:w="90" w:type="dxa"/>
            </w:tcMar>
          </w:tcPr>
          <w:p>
            <w:r>
              <w:rPr>
                <w:sz w:val="18"/>
              </w:rPr>
              <w:t>Integrated pipeline</w:t>
            </w:r>
          </w:p>
        </w:tc>
        <w:tc>
          <w:tcPr>
            <w:tcW w:type="dxa" w:w="6803"/>
            <w:vAlign w:val="top"/>
            <w:tcMar>
              <w:top w:w="90" w:type="dxa"/>
              <w:start w:w="90" w:type="dxa"/>
              <w:bottom w:w="90" w:type="dxa"/>
              <w:end w:w="90" w:type="dxa"/>
            </w:tcMar>
          </w:tcPr>
          <w:p>
            <w:r>
              <w:rPr>
                <w:sz w:val="18"/>
              </w:rPr>
              <w:t>Preprocessing Final.py</w:t>
            </w:r>
          </w:p>
        </w:tc>
      </w:tr>
      <w:tr>
        <w:tc>
          <w:tcPr>
            <w:tcW w:type="dxa" w:w="2268"/>
            <w:vAlign w:val="top"/>
            <w:tcMar>
              <w:top w:w="90" w:type="dxa"/>
              <w:start w:w="90" w:type="dxa"/>
              <w:bottom w:w="90" w:type="dxa"/>
              <w:end w:w="90" w:type="dxa"/>
            </w:tcMar>
          </w:tcPr>
          <w:p>
            <w:r>
              <w:rPr>
                <w:sz w:val="18"/>
              </w:rPr>
              <w:t>Verified output</w:t>
            </w:r>
          </w:p>
        </w:tc>
        <w:tc>
          <w:tcPr>
            <w:tcW w:type="dxa" w:w="6803"/>
            <w:vAlign w:val="top"/>
            <w:tcMar>
              <w:top w:w="90" w:type="dxa"/>
              <w:start w:w="90" w:type="dxa"/>
              <w:bottom w:w="90" w:type="dxa"/>
              <w:end w:w="90" w:type="dxa"/>
            </w:tcMar>
          </w:tcPr>
          <w:p>
            <w:r>
              <w:rPr>
                <w:sz w:val="18"/>
              </w:rPr>
              <w:t>Stage2_Preprocessing_Output_20260914_150854.zip</w:t>
            </w:r>
          </w:p>
        </w:tc>
      </w:tr>
    </w:tbl>
    <w:p/>
    <w:p>
      <w:pPr>
        <w:pStyle w:val="Heading1"/>
      </w:pPr>
      <w:r>
        <w:t>1. Contribution overview</w:t>
      </w:r>
    </w:p>
    <w:p>
      <w:pPr>
        <w:spacing w:after="120" w:line="259" w:lineRule="auto"/>
      </w:pPr>
      <w:r>
        <w:t>My Stage 2 workstream focused on turning differently structured NEM and WA demand data into one consistent engineering standard that later feature engineering could trust. In plain terms, my responsibility was to make sure that 'one row' and 'one lag' mean the same amount of time in every region before any model-related features are created.</w:t>
      </w:r>
    </w:p>
    <w:p>
      <w:r>
        <w:rPr>
          <w:b/>
        </w:rPr>
        <w:t xml:space="preserve">Contribution boundary. </w:t>
      </w:r>
      <w:r>
        <w:t>The final Stage 2 pipeline is a joint integration. This report identifies the student's primary workstream and the technical interfaces it contributed, but it does not claim that one person independently authored the complete preprocessing or feature-engineering pipeline. Feature engineering is intentionally collaborative: reliable time structure, source-quality controls, calendar/holiday context, forecasting features and independent validation are combined before the final handoff to Stage 3.</w:t>
      </w:r>
    </w:p>
    <w:p>
      <w:pPr>
        <w:pStyle w:val="Heading1"/>
      </w:pPr>
      <w:r>
        <w:t>2. How the initial preprocessing plan became my workstream</w:t>
      </w:r>
    </w:p>
    <w:tbl>
      <w:tblPr>
        <w:tblStyle w:val="TableGrid"/>
        <w:tblW w:type="auto" w:w="0"/>
        <w:jc w:val="center"/>
        <w:tblLook w:firstColumn="1" w:firstRow="1" w:lastColumn="0" w:lastRow="0" w:noHBand="0" w:noVBand="1" w:val="04A0"/>
      </w:tblPr>
      <w:tblGrid>
        <w:gridCol w:w="5156"/>
        <w:gridCol w:w="5156"/>
      </w:tblGrid>
      <w:tr>
        <w:tc>
          <w:tcPr>
            <w:tcW w:type="dxa" w:w="2948"/>
            <w:shd w:fill="D9EAF7"/>
            <w:vAlign w:val="center"/>
          </w:tcPr>
          <w:p>
            <w:r>
              <w:rPr>
                <w:b/>
                <w:sz w:val="18"/>
              </w:rPr>
              <w:t>Initial design requirement</w:t>
            </w:r>
          </w:p>
        </w:tc>
        <w:tc>
          <w:tcPr>
            <w:tcW w:type="dxa" w:w="6123"/>
            <w:shd w:fill="D9EAF7"/>
            <w:vAlign w:val="center"/>
          </w:tcPr>
          <w:p>
            <w:r>
              <w:rPr>
                <w:b/>
                <w:sz w:val="18"/>
              </w:rPr>
              <w:t>How it shaped this workstream</w:t>
            </w:r>
          </w:p>
        </w:tc>
      </w:tr>
      <w:tr>
        <w:tc>
          <w:tcPr>
            <w:tcW w:type="dxa" w:w="2948"/>
            <w:vAlign w:val="top"/>
            <w:tcMar>
              <w:top w:w="90" w:type="dxa"/>
              <w:start w:w="90" w:type="dxa"/>
              <w:bottom w:w="90" w:type="dxa"/>
              <w:end w:w="90" w:type="dxa"/>
            </w:tcMar>
          </w:tcPr>
          <w:p>
            <w:r>
              <w:rPr>
                <w:sz w:val="18"/>
              </w:rPr>
              <w:t>Timestamp and time-zone standardisation</w:t>
            </w:r>
          </w:p>
        </w:tc>
        <w:tc>
          <w:tcPr>
            <w:tcW w:type="dxa" w:w="6123"/>
            <w:vAlign w:val="top"/>
            <w:tcMar>
              <w:top w:w="90" w:type="dxa"/>
              <w:start w:w="90" w:type="dxa"/>
              <w:bottom w:w="90" w:type="dxa"/>
              <w:end w:w="90" w:type="dxa"/>
            </w:tcMar>
          </w:tcPr>
          <w:p>
            <w:r>
              <w:rPr>
                <w:sz w:val="18"/>
              </w:rPr>
              <w:t>The initial design required a canonical ordering plus local civil time for calendar effects.</w:t>
            </w:r>
          </w:p>
        </w:tc>
      </w:tr>
      <w:tr>
        <w:tc>
          <w:tcPr>
            <w:tcW w:type="dxa" w:w="2948"/>
            <w:vAlign w:val="top"/>
            <w:tcMar>
              <w:top w:w="90" w:type="dxa"/>
              <w:start w:w="90" w:type="dxa"/>
              <w:bottom w:w="90" w:type="dxa"/>
              <w:end w:w="90" w:type="dxa"/>
            </w:tcMar>
          </w:tcPr>
          <w:p>
            <w:r>
              <w:rPr>
                <w:sz w:val="18"/>
              </w:rPr>
              <w:t>Frequency harmonisation</w:t>
            </w:r>
          </w:p>
        </w:tc>
        <w:tc>
          <w:tcPr>
            <w:tcW w:type="dxa" w:w="6123"/>
            <w:vAlign w:val="top"/>
            <w:tcMar>
              <w:top w:w="90" w:type="dxa"/>
              <w:start w:w="90" w:type="dxa"/>
              <w:bottom w:w="90" w:type="dxa"/>
              <w:end w:w="90" w:type="dxa"/>
            </w:tcMar>
          </w:tcPr>
          <w:p>
            <w:r>
              <w:rPr>
                <w:sz w:val="18"/>
              </w:rPr>
              <w:t>The plan proposed aggregating higher-frequency records down rather than inventing lower-frequency history.</w:t>
            </w:r>
          </w:p>
        </w:tc>
      </w:tr>
      <w:tr>
        <w:tc>
          <w:tcPr>
            <w:tcW w:type="dxa" w:w="2948"/>
            <w:vAlign w:val="top"/>
            <w:tcMar>
              <w:top w:w="90" w:type="dxa"/>
              <w:start w:w="90" w:type="dxa"/>
              <w:bottom w:w="90" w:type="dxa"/>
              <w:end w:w="90" w:type="dxa"/>
            </w:tcMar>
          </w:tcPr>
          <w:p>
            <w:r>
              <w:rPr>
                <w:sz w:val="18"/>
              </w:rPr>
              <w:t>Calendar structure</w:t>
            </w:r>
          </w:p>
        </w:tc>
        <w:tc>
          <w:tcPr>
            <w:tcW w:type="dxa" w:w="6123"/>
            <w:vAlign w:val="top"/>
            <w:tcMar>
              <w:top w:w="90" w:type="dxa"/>
              <w:start w:w="90" w:type="dxa"/>
              <w:bottom w:w="90" w:type="dxa"/>
              <w:end w:w="90" w:type="dxa"/>
            </w:tcMar>
          </w:tcPr>
          <w:p>
            <w:r>
              <w:rPr>
                <w:sz w:val="18"/>
              </w:rPr>
              <w:t>The design proposed hour/day/week/month variables after timestamps were made reliable.</w:t>
            </w:r>
          </w:p>
        </w:tc>
      </w:tr>
      <w:tr>
        <w:tc>
          <w:tcPr>
            <w:tcW w:type="dxa" w:w="2948"/>
            <w:vAlign w:val="top"/>
            <w:tcMar>
              <w:top w:w="90" w:type="dxa"/>
              <w:start w:w="90" w:type="dxa"/>
              <w:bottom w:w="90" w:type="dxa"/>
              <w:end w:w="90" w:type="dxa"/>
            </w:tcMar>
          </w:tcPr>
          <w:p>
            <w:r>
              <w:rPr>
                <w:sz w:val="18"/>
              </w:rPr>
              <w:t>Model-ready interval</w:t>
            </w:r>
          </w:p>
        </w:tc>
        <w:tc>
          <w:tcPr>
            <w:tcW w:type="dxa" w:w="6123"/>
            <w:vAlign w:val="top"/>
            <w:tcMar>
              <w:top w:w="90" w:type="dxa"/>
              <w:start w:w="90" w:type="dxa"/>
              <w:bottom w:w="90" w:type="dxa"/>
              <w:end w:w="90" w:type="dxa"/>
            </w:tcMar>
          </w:tcPr>
          <w:p>
            <w:r>
              <w:rPr>
                <w:sz w:val="18"/>
              </w:rPr>
              <w:t>The design left 30-minute versus hourly open; the implemented pipeline confirmed a 30-minute grid.</w:t>
            </w:r>
          </w:p>
        </w:tc>
      </w:tr>
    </w:tbl>
    <w:p/>
    <w:p>
      <w:pPr>
        <w:pStyle w:val="Heading1"/>
      </w:pPr>
      <w:r>
        <w:t>3. Work completed</w:t>
      </w:r>
    </w:p>
    <w:p>
      <w:pPr>
        <w:pStyle w:val="Heading2"/>
      </w:pPr>
      <w:r>
        <w:t>3.1 Non-technical explanation</w:t>
      </w:r>
    </w:p>
    <w:p>
      <w:pPr>
        <w:pStyle w:val="ListBullet"/>
        <w:spacing w:after="60"/>
      </w:pPr>
      <w:r>
        <w:rPr>
          <w:b/>
        </w:rPr>
        <w:t xml:space="preserve">Load the six regional demand histories. </w:t>
      </w:r>
      <w:r>
        <w:t>NEM and WA arrive from different source structures, so they are first normalised into a common working schema without changing the original meaning.</w:t>
      </w:r>
    </w:p>
    <w:p>
      <w:pPr>
        <w:pStyle w:val="ListBullet"/>
        <w:spacing w:after="60"/>
      </w:pPr>
      <w:r>
        <w:rPr>
          <w:b/>
        </w:rPr>
        <w:t xml:space="preserve">Detect the frequency that actually exists. </w:t>
      </w:r>
      <w:r>
        <w:t>The code infers native spacing by month, which is important because WA changes from a legacy 30-minute regime to a modern 5-minute regime.</w:t>
      </w:r>
    </w:p>
    <w:p>
      <w:pPr>
        <w:pStyle w:val="ListBullet"/>
        <w:spacing w:after="60"/>
      </w:pPr>
      <w:r>
        <w:rPr>
          <w:b/>
        </w:rPr>
        <w:t xml:space="preserve">Convert to one 30-minute grid. </w:t>
      </w:r>
      <w:r>
        <w:t>Five-minute demand is averaged into half-hours because demand is a power level in MW. Native 30-minute records remain 30-minute; they are never expanded into invented five-minute readings.</w:t>
      </w:r>
    </w:p>
    <w:p>
      <w:pPr>
        <w:pStyle w:val="ListBullet"/>
        <w:spacing w:after="60"/>
      </w:pPr>
      <w:r>
        <w:rPr>
          <w:b/>
        </w:rPr>
        <w:t xml:space="preserve">Keep missing time visible. </w:t>
      </w:r>
      <w:r>
        <w:t>A continuous grid ensures an absent half-hour becomes an explicit missing row instead of silently shifting later lag calculations.</w:t>
      </w:r>
    </w:p>
    <w:p>
      <w:pPr>
        <w:pStyle w:val="ListBullet"/>
        <w:spacing w:after="60"/>
      </w:pPr>
      <w:r>
        <w:rPr>
          <w:b/>
        </w:rPr>
        <w:t xml:space="preserve">Separate market time from human calendar time. </w:t>
      </w:r>
      <w:r>
        <w:t>The fixed market clock is retained for the modelling grid, while regional civil time is used for weekday, weekend and holiday behaviour.</w:t>
      </w:r>
    </w:p>
    <w:p>
      <w:pPr>
        <w:pStyle w:val="ListBullet"/>
        <w:spacing w:after="60"/>
      </w:pPr>
      <w:r>
        <w:rPr>
          <w:b/>
        </w:rPr>
        <w:t xml:space="preserve">Create deterministic calendar features. </w:t>
      </w:r>
      <w:r>
        <w:t>Half-hour, day, month and cyclical sin/cos features are produced from the trusted local time structure.</w:t>
      </w:r>
    </w:p>
    <w:p>
      <w:pPr>
        <w:pStyle w:val="Heading2"/>
      </w:pPr>
      <w:r>
        <w:t>3.2 Technical code artefact</w:t>
      </w:r>
    </w:p>
    <w:p>
      <w:pPr>
        <w:spacing w:after="120" w:line="259" w:lineRule="auto"/>
      </w:pPr>
      <w:r>
        <w:t>The accompanying `WP2_Suraj_Raut_Preprocessing.py` is an updated individual contribution module reconstructed from the supplied WP2 module and aligned to the final Stage 2 architecture. It is intentionally narrower than the final integrated pipeline. Its main functions are:</w:t>
      </w:r>
    </w:p>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Pr>
                <w:b/>
                <w:sz w:val="18"/>
              </w:rPr>
              <w:t>Function / component</w:t>
            </w:r>
          </w:p>
        </w:tc>
        <w:tc>
          <w:tcPr>
            <w:tcW w:type="dxa" w:w="5669"/>
            <w:shd w:fill="D9EAF7"/>
            <w:vAlign w:val="center"/>
          </w:tcPr>
          <w:p>
            <w:r>
              <w:rPr>
                <w:b/>
                <w:sz w:val="18"/>
              </w:rPr>
              <w:t>Role in the workstream</w:t>
            </w:r>
          </w:p>
        </w:tc>
      </w:tr>
      <w:tr>
        <w:tc>
          <w:tcPr>
            <w:tcW w:type="dxa" w:w="3402"/>
            <w:vAlign w:val="top"/>
            <w:tcMar>
              <w:top w:w="90" w:type="dxa"/>
              <w:start w:w="90" w:type="dxa"/>
              <w:bottom w:w="90" w:type="dxa"/>
              <w:end w:w="90" w:type="dxa"/>
            </w:tcMar>
          </w:tcPr>
          <w:p>
            <w:r>
              <w:rPr>
                <w:sz w:val="18"/>
              </w:rPr>
              <w:t>resolve_raw_root</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load_nem_region</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load_wa_demand</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load_all_demand</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detect_resolution</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harmonise_to_half_hourly</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enforce_continuous_grid</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resolve_clocks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add_calendar_features</w:t>
            </w:r>
          </w:p>
        </w:tc>
        <w:tc>
          <w:tcPr>
            <w:tcW w:type="dxa" w:w="5669"/>
            <w:vAlign w:val="top"/>
            <w:tcMar>
              <w:top w:w="90" w:type="dxa"/>
              <w:start w:w="90" w:type="dxa"/>
              <w:bottom w:w="90" w:type="dxa"/>
              <w:end w:w="90" w:type="dxa"/>
            </w:tcMar>
          </w:tcPr>
          <w:p>
            <w:r>
              <w:rPr>
                <w:sz w:val="18"/>
              </w:rPr>
              <w:t>See code comments/docstring; integrated through Preprocessing Final.py.</w:t>
            </w:r>
          </w:p>
        </w:tc>
      </w:tr>
    </w:tbl>
    <w:p/>
    <w:p>
      <w:pPr>
        <w:pStyle w:val="Heading1"/>
      </w:pPr>
      <w:r>
        <w:t>4. Collaborative feature engineering and integration</w:t>
      </w:r>
    </w:p>
    <w:p>
      <w:pPr>
        <w:spacing w:after="120" w:line="259" w:lineRule="auto"/>
      </w:pPr>
      <w:r>
        <w:t>My engineering work is the foundation underneath collaborative feature engineering. Ashish's demand lags and historical profiles rely on my continuous 30-minute grid; Sudip's gap rules use the same inferred native spacing; and Bishal's resampling tests independently recompute sampled half-hours rather than trusting my function output. Calendar/cyclical features are therefore my direct feature contribution, while the complete feature set is a group product.</w:t>
      </w:r>
    </w:p>
    <w:tbl>
      <w:tblPr>
        <w:tblStyle w:val="TableGrid"/>
        <w:tblW w:type="auto" w:w="0"/>
        <w:jc w:val="center"/>
        <w:tblLook w:firstColumn="1" w:firstRow="1" w:lastColumn="0" w:lastRow="0" w:noHBand="0" w:noVBand="1" w:val="04A0"/>
      </w:tblPr>
      <w:tblGrid>
        <w:gridCol w:w="5156"/>
        <w:gridCol w:w="5156"/>
      </w:tblGrid>
      <w:tr>
        <w:tc>
          <w:tcPr>
            <w:tcW w:type="dxa" w:w="2551"/>
            <w:shd w:fill="D9EAF7"/>
            <w:vAlign w:val="center"/>
          </w:tcPr>
          <w:p>
            <w:r>
              <w:rPr>
                <w:b/>
                <w:sz w:val="18"/>
              </w:rPr>
              <w:t>Contributor interface</w:t>
            </w:r>
          </w:p>
        </w:tc>
        <w:tc>
          <w:tcPr>
            <w:tcW w:type="dxa" w:w="6520"/>
            <w:shd w:fill="D9EAF7"/>
            <w:vAlign w:val="center"/>
          </w:tcPr>
          <w:p>
            <w:r>
              <w:rPr>
                <w:b/>
                <w:sz w:val="18"/>
              </w:rPr>
              <w:t>What enters the final shared pipeline</w:t>
            </w:r>
          </w:p>
        </w:tc>
      </w:tr>
      <w:tr>
        <w:tc>
          <w:tcPr>
            <w:tcW w:type="dxa" w:w="2551"/>
            <w:vAlign w:val="top"/>
            <w:tcMar>
              <w:top w:w="90" w:type="dxa"/>
              <w:start w:w="90" w:type="dxa"/>
              <w:bottom w:w="90" w:type="dxa"/>
              <w:end w:w="90" w:type="dxa"/>
            </w:tcMar>
          </w:tcPr>
          <w:p>
            <w:r>
              <w:rPr>
                <w:sz w:val="18"/>
              </w:rPr>
              <w:t>Suraj – engineering</w:t>
            </w:r>
          </w:p>
        </w:tc>
        <w:tc>
          <w:tcPr>
            <w:tcW w:type="dxa" w:w="6520"/>
            <w:vAlign w:val="top"/>
            <w:tcMar>
              <w:top w:w="90" w:type="dxa"/>
              <w:start w:w="90" w:type="dxa"/>
              <w:bottom w:w="90" w:type="dxa"/>
              <w:end w:w="90" w:type="dxa"/>
            </w:tcMar>
          </w:tcPr>
          <w:p>
            <w:r>
              <w:rPr>
                <w:sz w:val="18"/>
              </w:rPr>
              <w:t>30-minute grid, local/canonical clock structure, calendar/cyclical features</w:t>
            </w:r>
          </w:p>
        </w:tc>
      </w:tr>
      <w:tr>
        <w:tc>
          <w:tcPr>
            <w:tcW w:type="dxa" w:w="2551"/>
            <w:vAlign w:val="top"/>
            <w:tcMar>
              <w:top w:w="90" w:type="dxa"/>
              <w:start w:w="90" w:type="dxa"/>
              <w:bottom w:w="90" w:type="dxa"/>
              <w:end w:w="90" w:type="dxa"/>
            </w:tcMar>
          </w:tcPr>
          <w:p>
            <w:r>
              <w:rPr>
                <w:sz w:val="18"/>
              </w:rPr>
              <w:t>Sudip – quality/context</w:t>
            </w:r>
          </w:p>
        </w:tc>
        <w:tc>
          <w:tcPr>
            <w:tcW w:type="dxa" w:w="6520"/>
            <w:vAlign w:val="top"/>
            <w:tcMar>
              <w:top w:w="90" w:type="dxa"/>
              <w:start w:w="90" w:type="dxa"/>
              <w:bottom w:w="90" w:type="dxa"/>
              <w:end w:w="90" w:type="dxa"/>
            </w:tcMar>
          </w:tcPr>
          <w:p>
            <w:r>
              <w:rPr>
                <w:sz w:val="18"/>
              </w:rPr>
              <w:t>gap and anomaly decisions, holiday fields, benchmark separation</w:t>
            </w:r>
          </w:p>
        </w:tc>
      </w:tr>
      <w:tr>
        <w:tc>
          <w:tcPr>
            <w:tcW w:type="dxa" w:w="2551"/>
            <w:vAlign w:val="top"/>
            <w:tcMar>
              <w:top w:w="90" w:type="dxa"/>
              <w:start w:w="90" w:type="dxa"/>
              <w:bottom w:w="90" w:type="dxa"/>
              <w:end w:w="90" w:type="dxa"/>
            </w:tcMar>
          </w:tcPr>
          <w:p>
            <w:r>
              <w:rPr>
                <w:sz w:val="18"/>
              </w:rPr>
              <w:t>Ashish – forecasting features</w:t>
            </w:r>
          </w:p>
        </w:tc>
        <w:tc>
          <w:tcPr>
            <w:tcW w:type="dxa" w:w="6520"/>
            <w:vAlign w:val="top"/>
            <w:tcMar>
              <w:top w:w="90" w:type="dxa"/>
              <w:start w:w="90" w:type="dxa"/>
              <w:bottom w:w="90" w:type="dxa"/>
              <w:end w:w="90" w:type="dxa"/>
            </w:tcMar>
          </w:tcPr>
          <w:p>
            <w:r>
              <w:rPr>
                <w:sz w:val="18"/>
              </w:rPr>
              <w:t>demand history, historical profiles, weather features, future frame, A/B contract</w:t>
            </w:r>
          </w:p>
        </w:tc>
      </w:tr>
      <w:tr>
        <w:tc>
          <w:tcPr>
            <w:tcW w:type="dxa" w:w="2551"/>
            <w:vAlign w:val="top"/>
            <w:tcMar>
              <w:top w:w="90" w:type="dxa"/>
              <w:start w:w="90" w:type="dxa"/>
              <w:bottom w:w="90" w:type="dxa"/>
              <w:end w:w="90" w:type="dxa"/>
            </w:tcMar>
          </w:tcPr>
          <w:p>
            <w:r>
              <w:rPr>
                <w:sz w:val="18"/>
              </w:rPr>
              <w:t>Bishal – verification</w:t>
            </w:r>
          </w:p>
        </w:tc>
        <w:tc>
          <w:tcPr>
            <w:tcW w:type="dxa" w:w="6520"/>
            <w:vAlign w:val="top"/>
            <w:tcMar>
              <w:top w:w="90" w:type="dxa"/>
              <w:start w:w="90" w:type="dxa"/>
              <w:bottom w:w="90" w:type="dxa"/>
              <w:end w:w="90" w:type="dxa"/>
            </w:tcMar>
          </w:tcPr>
          <w:p>
            <w:r>
              <w:rPr>
                <w:sz w:val="18"/>
              </w:rPr>
              <w:t>independent tests, weather/cutoff validation, readiness decision</w:t>
            </w:r>
          </w:p>
        </w:tc>
      </w:tr>
      <w:tr>
        <w:tc>
          <w:tcPr>
            <w:tcW w:type="dxa" w:w="2551"/>
            <w:vAlign w:val="top"/>
            <w:tcMar>
              <w:top w:w="90" w:type="dxa"/>
              <w:start w:w="90" w:type="dxa"/>
              <w:bottom w:w="90" w:type="dxa"/>
              <w:end w:w="90" w:type="dxa"/>
            </w:tcMar>
          </w:tcPr>
          <w:p>
            <w:r>
              <w:rPr>
                <w:sz w:val="18"/>
              </w:rPr>
              <w:t>Joint integration</w:t>
            </w:r>
          </w:p>
        </w:tc>
        <w:tc>
          <w:tcPr>
            <w:tcW w:type="dxa" w:w="6520"/>
            <w:vAlign w:val="top"/>
            <w:tcMar>
              <w:top w:w="90" w:type="dxa"/>
              <w:start w:w="90" w:type="dxa"/>
              <w:bottom w:w="90" w:type="dxa"/>
              <w:end w:w="90" w:type="dxa"/>
            </w:tcMar>
          </w:tcPr>
          <w:p>
            <w:r>
              <w:rPr>
                <w:sz w:val="18"/>
              </w:rPr>
              <w:t>strict previous-month cutoff, shared feature contract, Stage 2 handoff to Stage 3</w:t>
            </w:r>
          </w:p>
        </w:tc>
      </w:tr>
    </w:tbl>
    <w:p/>
    <w:p>
      <w:pPr>
        <w:pStyle w:val="Heading1"/>
      </w:pPr>
      <w:r>
        <w:t>5. Evidence from the final integrated Stage 2 run</w:t>
      </w:r>
    </w:p>
    <w:tbl>
      <w:tblPr>
        <w:tblStyle w:val="TableGrid"/>
        <w:tblW w:type="auto" w:w="0"/>
        <w:jc w:val="center"/>
        <w:tblLook w:firstColumn="1" w:firstRow="1" w:lastColumn="0" w:lastRow="0" w:noHBand="0" w:noVBand="1" w:val="04A0"/>
      </w:tblPr>
      <w:tblGrid>
        <w:gridCol w:w="3437"/>
        <w:gridCol w:w="3437"/>
        <w:gridCol w:w="3437"/>
      </w:tblGrid>
      <w:tr>
        <w:tc>
          <w:tcPr>
            <w:tcW w:type="dxa" w:w="2381"/>
            <w:shd w:fill="D9EAF7"/>
            <w:vAlign w:val="center"/>
          </w:tcPr>
          <w:p>
            <w:r>
              <w:rPr>
                <w:b/>
                <w:sz w:val="18"/>
              </w:rPr>
              <w:t>Evidence</w:t>
            </w:r>
          </w:p>
        </w:tc>
        <w:tc>
          <w:tcPr>
            <w:tcW w:type="dxa" w:w="2551"/>
            <w:shd w:fill="D9EAF7"/>
            <w:vAlign w:val="center"/>
          </w:tcPr>
          <w:p>
            <w:r>
              <w:rPr>
                <w:b/>
                <w:sz w:val="18"/>
              </w:rPr>
              <w:t>Observed result</w:t>
            </w:r>
          </w:p>
        </w:tc>
        <w:tc>
          <w:tcPr>
            <w:tcW w:type="dxa" w:w="4139"/>
            <w:shd w:fill="D9EAF7"/>
            <w:vAlign w:val="center"/>
          </w:tcPr>
          <w:p>
            <w:r>
              <w:rPr>
                <w:b/>
                <w:sz w:val="18"/>
              </w:rPr>
              <w:t>What it demonstrates</w:t>
            </w:r>
          </w:p>
        </w:tc>
      </w:tr>
      <w:tr>
        <w:tc>
          <w:tcPr>
            <w:tcW w:type="dxa" w:w="2381"/>
            <w:vAlign w:val="top"/>
            <w:tcMar>
              <w:top w:w="90" w:type="dxa"/>
              <w:start w:w="90" w:type="dxa"/>
              <w:bottom w:w="90" w:type="dxa"/>
              <w:end w:w="90" w:type="dxa"/>
            </w:tcMar>
          </w:tcPr>
          <w:p>
            <w:r>
              <w:rPr>
                <w:sz w:val="18"/>
              </w:rPr>
              <w:t>Resampling validation</w:t>
            </w:r>
          </w:p>
        </w:tc>
        <w:tc>
          <w:tcPr>
            <w:tcW w:type="dxa" w:w="2551"/>
            <w:vAlign w:val="top"/>
            <w:tcMar>
              <w:top w:w="90" w:type="dxa"/>
              <w:start w:w="90" w:type="dxa"/>
              <w:bottom w:w="90" w:type="dxa"/>
              <w:end w:w="90" w:type="dxa"/>
            </w:tcMar>
          </w:tcPr>
          <w:p>
            <w:r>
              <w:rPr>
                <w:sz w:val="18"/>
              </w:rPr>
              <w:t>18/18 checks PASS across six regions</w:t>
            </w:r>
          </w:p>
        </w:tc>
        <w:tc>
          <w:tcPr>
            <w:tcW w:type="dxa" w:w="4139"/>
            <w:vAlign w:val="top"/>
            <w:tcMar>
              <w:top w:w="90" w:type="dxa"/>
              <w:start w:w="90" w:type="dxa"/>
              <w:bottom w:w="90" w:type="dxa"/>
              <w:end w:w="90" w:type="dxa"/>
            </w:tcMar>
          </w:tcPr>
          <w:p>
            <w:r>
              <w:rPr>
                <w:sz w:val="18"/>
              </w:rPr>
              <w:t>Independent samples confirmed the 30-minute means and interval conventions.</w:t>
            </w:r>
          </w:p>
        </w:tc>
      </w:tr>
      <w:tr>
        <w:tc>
          <w:tcPr>
            <w:tcW w:type="dxa" w:w="2381"/>
            <w:vAlign w:val="top"/>
            <w:tcMar>
              <w:top w:w="90" w:type="dxa"/>
              <w:start w:w="90" w:type="dxa"/>
              <w:bottom w:w="90" w:type="dxa"/>
              <w:end w:w="90" w:type="dxa"/>
            </w:tcMar>
          </w:tcPr>
          <w:p>
            <w:r>
              <w:rPr>
                <w:sz w:val="18"/>
              </w:rPr>
              <w:t>Row reconciliation</w:t>
            </w:r>
          </w:p>
        </w:tc>
        <w:tc>
          <w:tcPr>
            <w:tcW w:type="dxa" w:w="2551"/>
            <w:vAlign w:val="top"/>
            <w:tcMar>
              <w:top w:w="90" w:type="dxa"/>
              <w:start w:w="90" w:type="dxa"/>
              <w:bottom w:w="90" w:type="dxa"/>
              <w:end w:w="90" w:type="dxa"/>
            </w:tcMar>
          </w:tcPr>
          <w:p>
            <w:r>
              <w:rPr>
                <w:sz w:val="18"/>
              </w:rPr>
              <w:t>24/24 checks PASS</w:t>
            </w:r>
          </w:p>
        </w:tc>
        <w:tc>
          <w:tcPr>
            <w:tcW w:type="dxa" w:w="4139"/>
            <w:vAlign w:val="top"/>
            <w:tcMar>
              <w:top w:w="90" w:type="dxa"/>
              <w:start w:w="90" w:type="dxa"/>
              <w:bottom w:w="90" w:type="dxa"/>
              <w:end w:w="90" w:type="dxa"/>
            </w:tcMar>
          </w:tcPr>
          <w:p>
            <w:r>
              <w:rPr>
                <w:sz w:val="18"/>
              </w:rPr>
              <w:t>The transformation preserved level/shape expectations while changing resolution.</w:t>
            </w:r>
          </w:p>
        </w:tc>
      </w:tr>
      <w:tr>
        <w:tc>
          <w:tcPr>
            <w:tcW w:type="dxa" w:w="2381"/>
            <w:vAlign w:val="top"/>
            <w:tcMar>
              <w:top w:w="90" w:type="dxa"/>
              <w:start w:w="90" w:type="dxa"/>
              <w:bottom w:w="90" w:type="dxa"/>
              <w:end w:w="90" w:type="dxa"/>
            </w:tcMar>
          </w:tcPr>
          <w:p>
            <w:r>
              <w:rPr>
                <w:sz w:val="18"/>
              </w:rPr>
              <w:t>NEM modelling grid</w:t>
            </w:r>
          </w:p>
        </w:tc>
        <w:tc>
          <w:tcPr>
            <w:tcW w:type="dxa" w:w="2551"/>
            <w:vAlign w:val="top"/>
            <w:tcMar>
              <w:top w:w="90" w:type="dxa"/>
              <w:start w:w="90" w:type="dxa"/>
              <w:bottom w:w="90" w:type="dxa"/>
              <w:end w:w="90" w:type="dxa"/>
            </w:tcMar>
          </w:tcPr>
          <w:p>
            <w:r>
              <w:rPr>
                <w:sz w:val="18"/>
              </w:rPr>
              <w:t>81,791 half-hour rows per NEM region before feature-complete row filtering</w:t>
            </w:r>
          </w:p>
        </w:tc>
        <w:tc>
          <w:tcPr>
            <w:tcW w:type="dxa" w:w="4139"/>
            <w:vAlign w:val="top"/>
            <w:tcMar>
              <w:top w:w="90" w:type="dxa"/>
              <w:start w:w="90" w:type="dxa"/>
              <w:bottom w:w="90" w:type="dxa"/>
              <w:end w:w="90" w:type="dxa"/>
            </w:tcMar>
          </w:tcPr>
          <w:p>
            <w:r>
              <w:rPr>
                <w:sz w:val="18"/>
              </w:rPr>
              <w:t>The final integrated output uses one uniform 30-minute structure.</w:t>
            </w:r>
          </w:p>
        </w:tc>
      </w:tr>
      <w:tr>
        <w:tc>
          <w:tcPr>
            <w:tcW w:type="dxa" w:w="2381"/>
            <w:vAlign w:val="top"/>
            <w:tcMar>
              <w:top w:w="90" w:type="dxa"/>
              <w:start w:w="90" w:type="dxa"/>
              <w:bottom w:w="90" w:type="dxa"/>
              <w:end w:w="90" w:type="dxa"/>
            </w:tcMar>
          </w:tcPr>
          <w:p>
            <w:r>
              <w:rPr>
                <w:sz w:val="18"/>
              </w:rPr>
              <w:t>WA gap visibility</w:t>
            </w:r>
          </w:p>
        </w:tc>
        <w:tc>
          <w:tcPr>
            <w:tcW w:type="dxa" w:w="2551"/>
            <w:vAlign w:val="top"/>
            <w:tcMar>
              <w:top w:w="90" w:type="dxa"/>
              <w:start w:w="90" w:type="dxa"/>
              <w:bottom w:w="90" w:type="dxa"/>
              <w:end w:w="90" w:type="dxa"/>
            </w:tcMar>
          </w:tcPr>
          <w:p>
            <w:r>
              <w:rPr>
                <w:sz w:val="18"/>
              </w:rPr>
              <w:t>16 missing demand rows remain explicit</w:t>
            </w:r>
          </w:p>
        </w:tc>
        <w:tc>
          <w:tcPr>
            <w:tcW w:type="dxa" w:w="4139"/>
            <w:vAlign w:val="top"/>
            <w:tcMar>
              <w:top w:w="90" w:type="dxa"/>
              <w:start w:w="90" w:type="dxa"/>
              <w:bottom w:w="90" w:type="dxa"/>
              <w:end w:w="90" w:type="dxa"/>
            </w:tcMar>
          </w:tcPr>
          <w:p>
            <w:r>
              <w:rPr>
                <w:sz w:val="18"/>
              </w:rPr>
              <w:t>The market-changeover gap is visible instead of being fabricated.</w:t>
            </w:r>
          </w:p>
        </w:tc>
      </w:tr>
      <w:tr>
        <w:tc>
          <w:tcPr>
            <w:tcW w:type="dxa" w:w="2381"/>
            <w:vAlign w:val="top"/>
            <w:tcMar>
              <w:top w:w="90" w:type="dxa"/>
              <w:start w:w="90" w:type="dxa"/>
              <w:bottom w:w="90" w:type="dxa"/>
              <w:end w:w="90" w:type="dxa"/>
            </w:tcMar>
          </w:tcPr>
          <w:p>
            <w:r>
              <w:rPr>
                <w:sz w:val="18"/>
              </w:rPr>
              <w:t>Training boundary</w:t>
            </w:r>
          </w:p>
        </w:tc>
        <w:tc>
          <w:tcPr>
            <w:tcW w:type="dxa" w:w="2551"/>
            <w:vAlign w:val="top"/>
            <w:tcMar>
              <w:top w:w="90" w:type="dxa"/>
              <w:start w:w="90" w:type="dxa"/>
              <w:bottom w:w="90" w:type="dxa"/>
              <w:end w:w="90" w:type="dxa"/>
            </w:tcMar>
          </w:tcPr>
          <w:p>
            <w:r>
              <w:rPr>
                <w:sz w:val="18"/>
              </w:rPr>
              <w:t>2026-08-31 23:30:00</w:t>
            </w:r>
          </w:p>
        </w:tc>
        <w:tc>
          <w:tcPr>
            <w:tcW w:type="dxa" w:w="4139"/>
            <w:vAlign w:val="top"/>
            <w:tcMar>
              <w:top w:w="90" w:type="dxa"/>
              <w:start w:w="90" w:type="dxa"/>
              <w:bottom w:w="90" w:type="dxa"/>
              <w:end w:w="90" w:type="dxa"/>
            </w:tcMar>
          </w:tcPr>
          <w:p>
            <w:r>
              <w:rPr>
                <w:sz w:val="18"/>
              </w:rPr>
              <w:t>The group-integrated pipeline now freezes training at the previous complete month end.</w:t>
            </w:r>
          </w:p>
        </w:tc>
      </w:tr>
    </w:tbl>
    <w:p/>
    <w:p>
      <w:pPr>
        <w:spacing w:after="120" w:line="259" w:lineRule="auto"/>
      </w:pPr>
      <w:r>
        <w:t>Across the complete Stage 2 run, 162/162 core checks and 60/60 live-weather checks passed, with 6/6 regions marked READY. These are integrated-pipeline results; they demonstrate that the combined team implementation passed validation, not that one individual module alone produced the outcome.</w:t>
      </w:r>
    </w:p>
    <w:p>
      <w:pPr>
        <w:pStyle w:val="Heading1"/>
      </w:pPr>
      <w:r>
        <w:t>6. Changes from the initial plan</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D9EAF7"/>
            <w:vAlign w:val="center"/>
          </w:tcPr>
          <w:p>
            <w:r>
              <w:rPr>
                <w:b/>
                <w:sz w:val="18"/>
              </w:rPr>
              <w:t>Initial position</w:t>
            </w:r>
          </w:p>
        </w:tc>
        <w:tc>
          <w:tcPr>
            <w:tcW w:type="dxa" w:w="2835"/>
            <w:shd w:fill="D9EAF7"/>
            <w:vAlign w:val="center"/>
          </w:tcPr>
          <w:p>
            <w:r>
              <w:rPr>
                <w:b/>
                <w:sz w:val="18"/>
              </w:rPr>
              <w:t>Final implementation</w:t>
            </w:r>
          </w:p>
        </w:tc>
        <w:tc>
          <w:tcPr>
            <w:tcW w:type="dxa" w:w="3685"/>
            <w:shd w:fill="D9EAF7"/>
            <w:vAlign w:val="center"/>
          </w:tcPr>
          <w:p>
            <w:r>
              <w:rPr>
                <w:b/>
                <w:sz w:val="18"/>
              </w:rPr>
              <w:t>Reason for change</w:t>
            </w:r>
          </w:p>
        </w:tc>
      </w:tr>
      <w:tr>
        <w:tc>
          <w:tcPr>
            <w:tcW w:type="dxa" w:w="2551"/>
            <w:vAlign w:val="top"/>
            <w:tcMar>
              <w:top w:w="90" w:type="dxa"/>
              <w:start w:w="90" w:type="dxa"/>
              <w:bottom w:w="90" w:type="dxa"/>
              <w:end w:w="90" w:type="dxa"/>
            </w:tcMar>
          </w:tcPr>
          <w:p>
            <w:r>
              <w:rPr>
                <w:sz w:val="18"/>
              </w:rPr>
              <w:t>Candidate 30-minute or hourly interval</w:t>
            </w:r>
          </w:p>
        </w:tc>
        <w:tc>
          <w:tcPr>
            <w:tcW w:type="dxa" w:w="2835"/>
            <w:vAlign w:val="top"/>
            <w:tcMar>
              <w:top w:w="90" w:type="dxa"/>
              <w:start w:w="90" w:type="dxa"/>
              <w:bottom w:w="90" w:type="dxa"/>
              <w:end w:w="90" w:type="dxa"/>
            </w:tcMar>
          </w:tcPr>
          <w:p>
            <w:r>
              <w:rPr>
                <w:sz w:val="18"/>
              </w:rPr>
              <w:t>30-minute selected</w:t>
            </w:r>
          </w:p>
        </w:tc>
        <w:tc>
          <w:tcPr>
            <w:tcW w:type="dxa" w:w="3685"/>
            <w:vAlign w:val="top"/>
            <w:tcMar>
              <w:top w:w="90" w:type="dxa"/>
              <w:start w:w="90" w:type="dxa"/>
              <w:bottom w:w="90" w:type="dxa"/>
              <w:end w:w="90" w:type="dxa"/>
            </w:tcMar>
          </w:tcPr>
          <w:p>
            <w:r>
              <w:rPr>
                <w:sz w:val="18"/>
              </w:rPr>
              <w:t>Matches NEM data naturally and allows WA 5-minute data to aggregate down without inventing historical detail.</w:t>
            </w:r>
          </w:p>
        </w:tc>
      </w:tr>
      <w:tr>
        <w:tc>
          <w:tcPr>
            <w:tcW w:type="dxa" w:w="2551"/>
            <w:vAlign w:val="top"/>
            <w:tcMar>
              <w:top w:w="90" w:type="dxa"/>
              <w:start w:w="90" w:type="dxa"/>
              <w:bottom w:w="90" w:type="dxa"/>
              <w:end w:w="90" w:type="dxa"/>
            </w:tcMar>
          </w:tcPr>
          <w:p>
            <w:r>
              <w:rPr>
                <w:sz w:val="18"/>
              </w:rPr>
              <w:t>Basic timestamp standardisation</w:t>
            </w:r>
          </w:p>
        </w:tc>
        <w:tc>
          <w:tcPr>
            <w:tcW w:type="dxa" w:w="2835"/>
            <w:vAlign w:val="top"/>
            <w:tcMar>
              <w:top w:w="90" w:type="dxa"/>
              <w:start w:w="90" w:type="dxa"/>
              <w:bottom w:w="90" w:type="dxa"/>
              <w:end w:w="90" w:type="dxa"/>
            </w:tcMar>
          </w:tcPr>
          <w:p>
            <w:r>
              <w:rPr>
                <w:sz w:val="18"/>
              </w:rPr>
              <w:t>Fixed market clock + regional civil time</w:t>
            </w:r>
          </w:p>
        </w:tc>
        <w:tc>
          <w:tcPr>
            <w:tcW w:type="dxa" w:w="3685"/>
            <w:vAlign w:val="top"/>
            <w:tcMar>
              <w:top w:w="90" w:type="dxa"/>
              <w:start w:w="90" w:type="dxa"/>
              <w:bottom w:w="90" w:type="dxa"/>
              <w:end w:w="90" w:type="dxa"/>
            </w:tcMar>
          </w:tcPr>
          <w:p>
            <w:r>
              <w:rPr>
                <w:sz w:val="18"/>
              </w:rPr>
              <w:t>Separates modelling interval consistency from DST-sensitive behavioural features.</w:t>
            </w:r>
          </w:p>
        </w:tc>
      </w:tr>
      <w:tr>
        <w:tc>
          <w:tcPr>
            <w:tcW w:type="dxa" w:w="2551"/>
            <w:vAlign w:val="top"/>
            <w:tcMar>
              <w:top w:w="90" w:type="dxa"/>
              <w:start w:w="90" w:type="dxa"/>
              <w:bottom w:w="90" w:type="dxa"/>
              <w:end w:w="90" w:type="dxa"/>
            </w:tcMar>
          </w:tcPr>
          <w:p>
            <w:r>
              <w:rPr>
                <w:sz w:val="18"/>
              </w:rPr>
              <w:t>Simple resampling</w:t>
            </w:r>
          </w:p>
        </w:tc>
        <w:tc>
          <w:tcPr>
            <w:tcW w:type="dxa" w:w="2835"/>
            <w:vAlign w:val="top"/>
            <w:tcMar>
              <w:top w:w="90" w:type="dxa"/>
              <w:start w:w="90" w:type="dxa"/>
              <w:bottom w:w="90" w:type="dxa"/>
              <w:end w:w="90" w:type="dxa"/>
            </w:tcMar>
          </w:tcPr>
          <w:p>
            <w:r>
              <w:rPr>
                <w:sz w:val="18"/>
              </w:rPr>
              <w:t>Source-specific interval-edge convention</w:t>
            </w:r>
          </w:p>
        </w:tc>
        <w:tc>
          <w:tcPr>
            <w:tcW w:type="dxa" w:w="3685"/>
            <w:vAlign w:val="top"/>
            <w:tcMar>
              <w:top w:w="90" w:type="dxa"/>
              <w:start w:w="90" w:type="dxa"/>
              <w:bottom w:w="90" w:type="dxa"/>
              <w:end w:w="90" w:type="dxa"/>
            </w:tcMar>
          </w:tcPr>
          <w:p>
            <w:r>
              <w:rPr>
                <w:sz w:val="18"/>
              </w:rPr>
              <w:t>NEM interval-ending and WA interval-beginning behaviour are handled explicitly.</w:t>
            </w:r>
          </w:p>
        </w:tc>
      </w:tr>
      <w:tr>
        <w:tc>
          <w:tcPr>
            <w:tcW w:type="dxa" w:w="2551"/>
            <w:vAlign w:val="top"/>
            <w:tcMar>
              <w:top w:w="90" w:type="dxa"/>
              <w:start w:w="90" w:type="dxa"/>
              <w:bottom w:w="90" w:type="dxa"/>
              <w:end w:w="90" w:type="dxa"/>
            </w:tcMar>
          </w:tcPr>
          <w:p>
            <w:r>
              <w:rPr>
                <w:sz w:val="18"/>
              </w:rPr>
              <w:t>Missing rows could remain absent</w:t>
            </w:r>
          </w:p>
        </w:tc>
        <w:tc>
          <w:tcPr>
            <w:tcW w:type="dxa" w:w="2835"/>
            <w:vAlign w:val="top"/>
            <w:tcMar>
              <w:top w:w="90" w:type="dxa"/>
              <w:start w:w="90" w:type="dxa"/>
              <w:bottom w:w="90" w:type="dxa"/>
              <w:end w:w="90" w:type="dxa"/>
            </w:tcMar>
          </w:tcPr>
          <w:p>
            <w:r>
              <w:rPr>
                <w:sz w:val="18"/>
              </w:rPr>
              <w:t>Continuous 30-minute index</w:t>
            </w:r>
          </w:p>
        </w:tc>
        <w:tc>
          <w:tcPr>
            <w:tcW w:type="dxa" w:w="3685"/>
            <w:vAlign w:val="top"/>
            <w:tcMar>
              <w:top w:w="90" w:type="dxa"/>
              <w:start w:w="90" w:type="dxa"/>
              <w:bottom w:w="90" w:type="dxa"/>
              <w:end w:w="90" w:type="dxa"/>
            </w:tcMar>
          </w:tcPr>
          <w:p>
            <w:r>
              <w:rPr>
                <w:sz w:val="18"/>
              </w:rPr>
              <w:t>Protects lag alignment and makes data gaps auditable.</w:t>
            </w:r>
          </w:p>
        </w:tc>
      </w:tr>
    </w:tbl>
    <w:p/>
    <w:p>
      <w:pPr>
        <w:pStyle w:val="Heading1"/>
      </w:pPr>
      <w:r>
        <w:t>7. Progress, handoff and reflection</w:t>
      </w:r>
    </w:p>
    <w:p>
      <w:pPr>
        <w:spacing w:after="120" w:line="259" w:lineRule="auto"/>
      </w:pPr>
      <w:r>
        <w:t>The main lesson from this workstream is that a forecasting feature can be numerically correct and still be temporally wrong. The continuous grid and independent resampling checks were therefore more important than simply obtaining a clean-looking CSV. My next-stage responsibility is to help ensure Stage 3 preserves these timestamp and interval conventions when forecasts are compared with actual demand.</w:t>
      </w:r>
    </w:p>
    <w:p>
      <w:pPr>
        <w:pStyle w:val="Heading2"/>
      </w:pPr>
      <w:r>
        <w:t>7.1 Handoff to final integration</w:t>
      </w:r>
    </w:p>
    <w:p>
      <w:pPr>
        <w:pStyle w:val="ListBullet"/>
        <w:spacing w:after="60"/>
      </w:pPr>
      <w:r>
        <w:rPr>
          <w:b/>
        </w:rPr>
        <w:t xml:space="preserve">Individual artefact: </w:t>
      </w:r>
      <w:r>
        <w:t>WP2_Suraj_Raut_Preprocessing.py</w:t>
      </w:r>
    </w:p>
    <w:p>
      <w:pPr>
        <w:pStyle w:val="ListBullet"/>
        <w:spacing w:after="60"/>
      </w:pPr>
      <w:r>
        <w:rPr>
          <w:b/>
        </w:rPr>
        <w:t xml:space="preserve">Final integrated code: </w:t>
      </w:r>
      <w:r>
        <w:t>Preprocessing Final.py</w:t>
      </w:r>
    </w:p>
    <w:p>
      <w:pPr>
        <w:pStyle w:val="ListBullet"/>
        <w:spacing w:after="60"/>
      </w:pPr>
      <w:r>
        <w:rPr>
          <w:b/>
        </w:rPr>
        <w:t xml:space="preserve">Verified Stage 2 output: </w:t>
      </w:r>
      <w:r>
        <w:t>Stage2_Preprocessing_Output_20260914_150854.zip</w:t>
      </w:r>
    </w:p>
    <w:p>
      <w:pPr>
        <w:pStyle w:val="ListBullet"/>
        <w:spacing w:after="60"/>
      </w:pPr>
      <w:r>
        <w:rPr>
          <w:b/>
        </w:rPr>
        <w:t xml:space="preserve">Stage 3 contract: </w:t>
      </w:r>
      <w:r>
        <w:t>30-minute regional modelling files, 39-feature Model A, 54-feature Model B, future feature frame, validation and provenance files.</w:t>
      </w:r>
    </w:p>
    <w:p>
      <w:pPr>
        <w:pStyle w:val="ListBullet"/>
        <w:spacing w:after="60"/>
      </w:pPr>
      <w:r>
        <w:rPr>
          <w:b/>
        </w:rPr>
        <w:t xml:space="preserve">Evidence principle: </w:t>
      </w:r>
      <w:r>
        <w:t>Git/GitHub history should be used where the assessment requires dated authorship or commit evidence; this WP2 report does not invent commits or timestamps.</w:t>
      </w:r>
    </w:p>
    <w:p>
      <w:pPr>
        <w:pStyle w:val="Heading1"/>
      </w:pPr>
      <w:r>
        <w:t>8. Evidence sources used for this update</w:t>
      </w:r>
    </w:p>
    <w:tbl>
      <w:tblPr>
        <w:tblStyle w:val="TableGrid"/>
        <w:tblW w:type="auto" w:w="0"/>
        <w:jc w:val="center"/>
        <w:tblLook w:firstColumn="1" w:firstRow="1" w:lastColumn="0" w:lastRow="0" w:noHBand="0" w:noVBand="1" w:val="04A0"/>
      </w:tblPr>
      <w:tblGrid>
        <w:gridCol w:w="5156"/>
        <w:gridCol w:w="5156"/>
      </w:tblGrid>
      <w:tr>
        <w:tc>
          <w:tcPr>
            <w:tcW w:type="dxa" w:w="4252"/>
            <w:shd w:fill="D9EAF7"/>
            <w:vAlign w:val="center"/>
          </w:tcPr>
          <w:p>
            <w:r>
              <w:rPr>
                <w:b/>
                <w:sz w:val="18"/>
              </w:rPr>
              <w:t>Artefact</w:t>
            </w:r>
          </w:p>
        </w:tc>
        <w:tc>
          <w:tcPr>
            <w:tcW w:type="dxa" w:w="4819"/>
            <w:shd w:fill="D9EAF7"/>
            <w:vAlign w:val="center"/>
          </w:tcPr>
          <w:p>
            <w:r>
              <w:rPr>
                <w:b/>
                <w:sz w:val="18"/>
              </w:rPr>
              <w:t>Use</w:t>
            </w:r>
          </w:p>
        </w:tc>
      </w:tr>
      <w:tr>
        <w:tc>
          <w:tcPr>
            <w:tcW w:type="dxa" w:w="4252"/>
            <w:vAlign w:val="top"/>
            <w:tcMar>
              <w:top w:w="90" w:type="dxa"/>
              <w:start w:w="90" w:type="dxa"/>
              <w:bottom w:w="90" w:type="dxa"/>
              <w:end w:w="90" w:type="dxa"/>
            </w:tcMar>
          </w:tcPr>
          <w:p>
            <w:r>
              <w:rPr>
                <w:sz w:val="18"/>
              </w:rPr>
              <w:t>Preprocessing Design(1).docx</w:t>
            </w:r>
          </w:p>
        </w:tc>
        <w:tc>
          <w:tcPr>
            <w:tcW w:type="dxa" w:w="4819"/>
            <w:vAlign w:val="top"/>
            <w:tcMar>
              <w:top w:w="90" w:type="dxa"/>
              <w:start w:w="90" w:type="dxa"/>
              <w:bottom w:w="90" w:type="dxa"/>
              <w:end w:w="90" w:type="dxa"/>
            </w:tcMar>
          </w:tcPr>
          <w:p>
            <w:r>
              <w:rPr>
                <w:sz w:val="18"/>
              </w:rPr>
              <w:t>Initial Stage 2 design, proposed sequence, leakage and feature-engineering plan</w:t>
            </w:r>
          </w:p>
        </w:tc>
      </w:tr>
      <w:tr>
        <w:tc>
          <w:tcPr>
            <w:tcW w:type="dxa" w:w="4252"/>
            <w:vAlign w:val="top"/>
            <w:tcMar>
              <w:top w:w="90" w:type="dxa"/>
              <w:start w:w="90" w:type="dxa"/>
              <w:bottom w:w="90" w:type="dxa"/>
              <w:end w:w="90" w:type="dxa"/>
            </w:tcMar>
          </w:tcPr>
          <w:p>
            <w:r>
              <w:rPr>
                <w:sz w:val="18"/>
              </w:rPr>
              <w:t>Preprocessing Final.py</w:t>
            </w:r>
          </w:p>
        </w:tc>
        <w:tc>
          <w:tcPr>
            <w:tcW w:type="dxa" w:w="4819"/>
            <w:vAlign w:val="top"/>
            <w:tcMar>
              <w:top w:w="90" w:type="dxa"/>
              <w:start w:w="90" w:type="dxa"/>
              <w:bottom w:w="90" w:type="dxa"/>
              <w:end w:w="90" w:type="dxa"/>
            </w:tcMar>
          </w:tcPr>
          <w:p>
            <w:r>
              <w:rPr>
                <w:sz w:val="18"/>
              </w:rPr>
              <w:t>Final integrated preprocessing and feature-engineering implementation</w:t>
            </w:r>
          </w:p>
        </w:tc>
      </w:tr>
      <w:tr>
        <w:tc>
          <w:tcPr>
            <w:tcW w:type="dxa" w:w="4252"/>
            <w:vAlign w:val="top"/>
            <w:tcMar>
              <w:top w:w="90" w:type="dxa"/>
              <w:start w:w="90" w:type="dxa"/>
              <w:bottom w:w="90" w:type="dxa"/>
              <w:end w:w="90" w:type="dxa"/>
            </w:tcMar>
          </w:tcPr>
          <w:p>
            <w:r>
              <w:rPr>
                <w:sz w:val="18"/>
              </w:rPr>
              <w:t>Stage2_Preprocessing_Output_20260914_150854.zip</w:t>
            </w:r>
          </w:p>
        </w:tc>
        <w:tc>
          <w:tcPr>
            <w:tcW w:type="dxa" w:w="4819"/>
            <w:vAlign w:val="top"/>
            <w:tcMar>
              <w:top w:w="90" w:type="dxa"/>
              <w:start w:w="90" w:type="dxa"/>
              <w:bottom w:w="90" w:type="dxa"/>
              <w:end w:w="90" w:type="dxa"/>
            </w:tcMar>
          </w:tcPr>
          <w:p>
            <w:r>
              <w:rPr>
                <w:sz w:val="18"/>
              </w:rPr>
              <w:t>Final test, readiness, feature, forecast-weather and cutoff evidence</w:t>
            </w:r>
          </w:p>
        </w:tc>
      </w:tr>
      <w:tr>
        <w:tc>
          <w:tcPr>
            <w:tcW w:type="dxa" w:w="4252"/>
            <w:vAlign w:val="top"/>
            <w:tcMar>
              <w:top w:w="90" w:type="dxa"/>
              <w:start w:w="90" w:type="dxa"/>
              <w:bottom w:w="90" w:type="dxa"/>
              <w:end w:w="90" w:type="dxa"/>
            </w:tcMar>
          </w:tcPr>
          <w:p>
            <w:r>
              <w:rPr>
                <w:sz w:val="18"/>
              </w:rPr>
              <w:t>PRT661_Group2_WP2_Preprocessing.zip</w:t>
            </w:r>
          </w:p>
        </w:tc>
        <w:tc>
          <w:tcPr>
            <w:tcW w:type="dxa" w:w="4819"/>
            <w:vAlign w:val="top"/>
            <w:tcMar>
              <w:top w:w="90" w:type="dxa"/>
              <w:start w:w="90" w:type="dxa"/>
              <w:bottom w:w="90" w:type="dxa"/>
              <w:end w:w="90" w:type="dxa"/>
            </w:tcMar>
          </w:tcPr>
          <w:p>
            <w:r>
              <w:rPr>
                <w:sz w:val="18"/>
              </w:rPr>
              <w:t>Earlier individual WP2 reports and contribution modules used as the baseline for revision</w:t>
            </w:r>
          </w:p>
        </w:tc>
      </w:tr>
      <w:tr>
        <w:tc>
          <w:tcPr>
            <w:tcW w:type="dxa" w:w="4252"/>
            <w:vAlign w:val="top"/>
            <w:tcMar>
              <w:top w:w="90" w:type="dxa"/>
              <w:start w:w="90" w:type="dxa"/>
              <w:bottom w:w="90" w:type="dxa"/>
              <w:end w:w="90" w:type="dxa"/>
            </w:tcMar>
          </w:tcPr>
          <w:p>
            <w:r>
              <w:rPr>
                <w:sz w:val="18"/>
              </w:rPr>
              <w:t>WP2_Suraj_Raut_Preprocessing.py</w:t>
            </w:r>
          </w:p>
        </w:tc>
        <w:tc>
          <w:tcPr>
            <w:tcW w:type="dxa" w:w="4819"/>
            <w:vAlign w:val="top"/>
            <w:tcMar>
              <w:top w:w="90" w:type="dxa"/>
              <w:start w:w="90" w:type="dxa"/>
              <w:bottom w:w="90" w:type="dxa"/>
              <w:end w:w="90" w:type="dxa"/>
            </w:tcMar>
          </w:tcPr>
          <w:p>
            <w:r>
              <w:rPr>
                <w:sz w:val="18"/>
              </w:rPr>
              <w:t>Updated individual contribution code supplied with this report</w:t>
            </w:r>
          </w:p>
        </w:tc>
      </w:tr>
    </w:tbl>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Suraj Raut | Individual Contribution and Progress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PRT661 – Data Science Practice | WP2 Stage 2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