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1341" w14:textId="77777777" w:rsidR="00D459CA" w:rsidRPr="00596335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596335">
        <w:rPr>
          <w:rFonts w:ascii="Times New Roman" w:hAnsi="Times New Roman" w:cs="Times New Roman"/>
          <w:sz w:val="22"/>
          <w:szCs w:val="22"/>
        </w:rPr>
        <w:t>Meeting 5 — Final Modelling Integration and Output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1"/>
        <w:gridCol w:w="5223"/>
      </w:tblGrid>
      <w:tr w:rsidR="00D459CA" w:rsidRPr="00596335" w14:paraId="48687419" w14:textId="77777777">
        <w:trPr>
          <w:cantSplit/>
          <w:tblHeader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16AF8952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Date</w:t>
            </w:r>
          </w:p>
        </w:tc>
        <w:tc>
          <w:tcPr>
            <w:tcW w:w="5227" w:type="dxa"/>
            <w:vAlign w:val="center"/>
          </w:tcPr>
          <w:p w14:paraId="6733C70F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Thursday, 10 September 2026</w:t>
            </w:r>
          </w:p>
        </w:tc>
      </w:tr>
      <w:tr w:rsidR="00D459CA" w:rsidRPr="00596335" w14:paraId="27751BD5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6A3AC14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Time</w:t>
            </w:r>
          </w:p>
        </w:tc>
        <w:tc>
          <w:tcPr>
            <w:tcW w:w="5227" w:type="dxa"/>
            <w:vAlign w:val="center"/>
          </w:tcPr>
          <w:p w14:paraId="6B1533E7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8:00 PM – 10:00 PM (2 hours)</w:t>
            </w:r>
          </w:p>
        </w:tc>
      </w:tr>
      <w:tr w:rsidR="00D459CA" w:rsidRPr="00596335" w14:paraId="0253BDF5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52B9780B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Location / method</w:t>
            </w:r>
          </w:p>
        </w:tc>
        <w:tc>
          <w:tcPr>
            <w:tcW w:w="5227" w:type="dxa"/>
            <w:vAlign w:val="center"/>
          </w:tcPr>
          <w:p w14:paraId="303F2AA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Team integration session using the shared repository, modelling code and generated output evidence</w:t>
            </w:r>
          </w:p>
        </w:tc>
      </w:tr>
      <w:tr w:rsidR="00D459CA" w:rsidRPr="00596335" w14:paraId="5BE11F07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61AB147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Chair</w:t>
            </w:r>
          </w:p>
        </w:tc>
        <w:tc>
          <w:tcPr>
            <w:tcW w:w="5227" w:type="dxa"/>
            <w:vAlign w:val="center"/>
          </w:tcPr>
          <w:p w14:paraId="7B3C85A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Ashish Shrestha</w:t>
            </w:r>
          </w:p>
        </w:tc>
      </w:tr>
      <w:tr w:rsidR="00D459CA" w:rsidRPr="00596335" w14:paraId="73A14FCC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66704002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Minutes recorded by</w:t>
            </w:r>
          </w:p>
        </w:tc>
        <w:tc>
          <w:tcPr>
            <w:tcW w:w="5227" w:type="dxa"/>
            <w:vAlign w:val="center"/>
          </w:tcPr>
          <w:p w14:paraId="7B547F37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Bishal Dahal</w:t>
            </w:r>
          </w:p>
        </w:tc>
      </w:tr>
      <w:tr w:rsidR="00D459CA" w:rsidRPr="00596335" w14:paraId="6B1E743C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0E7F37D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Attendees</w:t>
            </w:r>
          </w:p>
        </w:tc>
        <w:tc>
          <w:tcPr>
            <w:tcW w:w="5227" w:type="dxa"/>
            <w:vAlign w:val="center"/>
          </w:tcPr>
          <w:p w14:paraId="418D7717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Ashish Shrestha; Bishal Dahal; Sudip Lamichhane; Suraj Raut — all present</w:t>
            </w:r>
          </w:p>
        </w:tc>
      </w:tr>
      <w:tr w:rsidR="00D459CA" w:rsidRPr="00596335" w14:paraId="4B328C26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0A5E1B8F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Work package</w:t>
            </w:r>
          </w:p>
        </w:tc>
        <w:tc>
          <w:tcPr>
            <w:tcW w:w="5227" w:type="dxa"/>
            <w:vAlign w:val="center"/>
          </w:tcPr>
          <w:p w14:paraId="5753F6D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WP3 — modelling integration, historical backtesting and Model A/B decision evidence</w:t>
            </w:r>
          </w:p>
        </w:tc>
      </w:tr>
      <w:tr w:rsidR="00D459CA" w:rsidRPr="00596335" w14:paraId="67BFCC91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6D375E0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Meeting purpose</w:t>
            </w:r>
          </w:p>
        </w:tc>
        <w:tc>
          <w:tcPr>
            <w:tcW w:w="5227" w:type="dxa"/>
            <w:vAlign w:val="center"/>
          </w:tcPr>
          <w:p w14:paraId="0020072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Integrate the four modelling workstreams, validate the decision outputs and figures, confirm fair A/B comparison rules for all six regions, and freeze the modelling evidence to be carried into Assessment 2.</w:t>
            </w:r>
          </w:p>
        </w:tc>
      </w:tr>
      <w:tr w:rsidR="00D459CA" w:rsidRPr="00596335" w14:paraId="5689284F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4417CF9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Next meeting</w:t>
            </w:r>
          </w:p>
        </w:tc>
        <w:tc>
          <w:tcPr>
            <w:tcW w:w="5227" w:type="dxa"/>
            <w:vAlign w:val="center"/>
          </w:tcPr>
          <w:p w14:paraId="60848257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15 September 2026, 2:30–5:00 PM — Assessment 2 integration/submission</w:t>
            </w:r>
          </w:p>
        </w:tc>
      </w:tr>
    </w:tbl>
    <w:p w14:paraId="66DC3D55" w14:textId="77777777" w:rsidR="00D459CA" w:rsidRPr="00596335" w:rsidRDefault="00D459CA">
      <w:pPr>
        <w:spacing w:after="20"/>
        <w:rPr>
          <w:rFonts w:ascii="Times New Roman" w:hAnsi="Times New Roman" w:cs="Times New Roman"/>
          <w:sz w:val="22"/>
        </w:rPr>
      </w:pPr>
    </w:p>
    <w:p w14:paraId="2A29CF88" w14:textId="77777777" w:rsidR="00D459CA" w:rsidRPr="0059633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96335">
        <w:rPr>
          <w:rFonts w:ascii="Times New Roman" w:hAnsi="Times New Roman" w:cs="Times New Roman"/>
          <w:sz w:val="22"/>
          <w:szCs w:val="22"/>
        </w:rPr>
        <w:t>1. Integration scope</w:t>
      </w:r>
    </w:p>
    <w:p w14:paraId="210B4C3B" w14:textId="77777777" w:rsidR="00D459CA" w:rsidRPr="00596335" w:rsidRDefault="00000000">
      <w:pPr>
        <w:rPr>
          <w:rFonts w:ascii="Times New Roman" w:hAnsi="Times New Roman" w:cs="Times New Roman"/>
          <w:sz w:val="22"/>
        </w:rPr>
      </w:pPr>
      <w:r w:rsidRPr="00596335">
        <w:rPr>
          <w:rFonts w:ascii="Times New Roman" w:hAnsi="Times New Roman" w:cs="Times New Roman"/>
          <w:sz w:val="22"/>
        </w:rPr>
        <w:t>The team agreed that the key Assessment 2 modelling milestone was not simply “a model ran”. The evidence needed to show that Model A (core demand/calendar/history features) and Model B (Model A plus weather/context) were backtested on comparable historical windows, that forecast-versus-actual behaviour could be visualised across the full four-month horizon, and that the regional recommendation followed a documented decision rule.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44"/>
      </w:tblGrid>
      <w:tr w:rsidR="00D459CA" w:rsidRPr="00596335" w14:paraId="2353D4FB" w14:textId="77777777">
        <w:trPr>
          <w:cantSplit/>
          <w:tblHeader/>
          <w:jc w:val="center"/>
        </w:trPr>
        <w:tc>
          <w:tcPr>
            <w:tcW w:w="10454" w:type="dxa"/>
            <w:shd w:val="clear" w:color="auto" w:fill="EAF4EA"/>
          </w:tcPr>
          <w:p w14:paraId="49783346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sz w:val="22"/>
              </w:rPr>
              <w:t xml:space="preserve">Information boundary. </w:t>
            </w:r>
            <w:r w:rsidRPr="00596335">
              <w:rPr>
                <w:rFonts w:ascii="Times New Roman" w:hAnsi="Times New Roman" w:cs="Times New Roman"/>
                <w:sz w:val="22"/>
              </w:rPr>
              <w:t>2026 current-month actuals must not select or tune the historical winner. Historical backtesting determines the recommendation first; current-period actuals can only be used later for independent verification.</w:t>
            </w:r>
          </w:p>
        </w:tc>
      </w:tr>
    </w:tbl>
    <w:p w14:paraId="621E5EC6" w14:textId="77777777" w:rsidR="00D459CA" w:rsidRPr="00596335" w:rsidRDefault="00D459CA">
      <w:pPr>
        <w:spacing w:after="20"/>
        <w:rPr>
          <w:rFonts w:ascii="Times New Roman" w:hAnsi="Times New Roman" w:cs="Times New Roman"/>
          <w:sz w:val="22"/>
        </w:rPr>
      </w:pPr>
    </w:p>
    <w:p w14:paraId="4226B79C" w14:textId="77777777" w:rsidR="00D459CA" w:rsidRPr="0059633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96335">
        <w:rPr>
          <w:rFonts w:ascii="Times New Roman" w:hAnsi="Times New Roman" w:cs="Times New Roman"/>
          <w:sz w:val="22"/>
          <w:szCs w:val="22"/>
        </w:rPr>
        <w:t>2. Model A / Model B evidence added to the modelling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15"/>
        <w:gridCol w:w="6729"/>
      </w:tblGrid>
      <w:tr w:rsidR="00D459CA" w:rsidRPr="00596335" w14:paraId="2F98FE7C" w14:textId="77777777">
        <w:trPr>
          <w:cantSplit/>
          <w:tblHeader/>
          <w:jc w:val="center"/>
        </w:trPr>
        <w:tc>
          <w:tcPr>
            <w:tcW w:w="3888" w:type="dxa"/>
            <w:shd w:val="clear" w:color="auto" w:fill="D9EAF7"/>
            <w:vAlign w:val="center"/>
          </w:tcPr>
          <w:p w14:paraId="625EA1C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Evidence output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63723646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Purpose in decision making</w:t>
            </w:r>
          </w:p>
        </w:tc>
      </w:tr>
      <w:tr w:rsidR="00D459CA" w:rsidRPr="00596335" w14:paraId="3D5176E3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1B67B9D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Four-month actual vs Model A vs Model B — 30-minute</w:t>
            </w:r>
          </w:p>
        </w:tc>
        <w:tc>
          <w:tcPr>
            <w:tcW w:w="7056" w:type="dxa"/>
            <w:vAlign w:val="center"/>
          </w:tcPr>
          <w:p w14:paraId="7550F199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Shows the complete historical trajectory and where each family follows or departs from actual demand.</w:t>
            </w:r>
          </w:p>
        </w:tc>
      </w:tr>
      <w:tr w:rsidR="00D459CA" w:rsidRPr="00596335" w14:paraId="1322C907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794AC97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Daily actual vs A/B</w:t>
            </w:r>
          </w:p>
        </w:tc>
        <w:tc>
          <w:tcPr>
            <w:tcW w:w="7056" w:type="dxa"/>
            <w:vAlign w:val="center"/>
          </w:tcPr>
          <w:p w14:paraId="4520B73F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Report-friendly view of the same four-month evidence; makes systematic deviations visible.</w:t>
            </w:r>
          </w:p>
        </w:tc>
      </w:tr>
      <w:tr w:rsidR="00D459CA" w:rsidRPr="00596335" w14:paraId="21C03128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3886BC8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Rolling 7-day MAE</w:t>
            </w:r>
          </w:p>
        </w:tc>
        <w:tc>
          <w:tcPr>
            <w:tcW w:w="7056" w:type="dxa"/>
            <w:vAlign w:val="center"/>
          </w:tcPr>
          <w:p w14:paraId="23FC511B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Shows whether one family remains consistently closer through the horizon rather than winning on one short period.</w:t>
            </w:r>
          </w:p>
        </w:tc>
      </w:tr>
      <w:tr w:rsidR="00D459CA" w:rsidRPr="00596335" w14:paraId="64127E34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652A95C9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Monthly MAE A vs B</w:t>
            </w:r>
          </w:p>
        </w:tc>
        <w:tc>
          <w:tcPr>
            <w:tcW w:w="7056" w:type="dxa"/>
            <w:vAlign w:val="center"/>
          </w:tcPr>
          <w:p w14:paraId="2DC11A16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Makes Sep/Oct/Nov/Dec performance explicit and exposes month-specific weakness.</w:t>
            </w:r>
          </w:p>
        </w:tc>
      </w:tr>
      <w:tr w:rsidR="00D459CA" w:rsidRPr="00596335" w14:paraId="09C4756B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34808448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Actual-vs-forecast scatter</w:t>
            </w:r>
          </w:p>
        </w:tc>
        <w:tc>
          <w:tcPr>
            <w:tcW w:w="7056" w:type="dxa"/>
            <w:vAlign w:val="center"/>
          </w:tcPr>
          <w:p w14:paraId="415F8D81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Checks calibration and whether predictions systematically compress/expand the demand range.</w:t>
            </w:r>
          </w:p>
        </w:tc>
      </w:tr>
      <w:tr w:rsidR="00D459CA" w:rsidRPr="00596335" w14:paraId="3CF13739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50D93E6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Half-hour bias profile</w:t>
            </w:r>
          </w:p>
        </w:tc>
        <w:tc>
          <w:tcPr>
            <w:tcW w:w="7056" w:type="dxa"/>
            <w:vAlign w:val="center"/>
          </w:tcPr>
          <w:p w14:paraId="393B8F32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Detects time-of-day over/under-forecasting hidden by aggregate MAE.</w:t>
            </w:r>
          </w:p>
        </w:tc>
      </w:tr>
      <w:tr w:rsidR="00D459CA" w:rsidRPr="00596335" w14:paraId="009CC518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0CE0592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Cross-region A/B MAE chart</w:t>
            </w:r>
          </w:p>
        </w:tc>
        <w:tc>
          <w:tcPr>
            <w:tcW w:w="7056" w:type="dxa"/>
            <w:vAlign w:val="center"/>
          </w:tcPr>
          <w:p w14:paraId="15C9FA87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Compares family performance region by region.</w:t>
            </w:r>
          </w:p>
        </w:tc>
      </w:tr>
      <w:tr w:rsidR="00D459CA" w:rsidRPr="00596335" w14:paraId="02730E12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1941D81A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Relative MAE advantage chart</w:t>
            </w:r>
          </w:p>
        </w:tc>
        <w:tc>
          <w:tcPr>
            <w:tcW w:w="7056" w:type="dxa"/>
            <w:vAlign w:val="center"/>
          </w:tcPr>
          <w:p w14:paraId="0E0C21A2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Communicates the strength of the A/B decision; positive indicates Model A closer, negative Model B closer.</w:t>
            </w:r>
          </w:p>
        </w:tc>
      </w:tr>
    </w:tbl>
    <w:p w14:paraId="12EF8BF1" w14:textId="77777777" w:rsidR="00D459CA" w:rsidRPr="00596335" w:rsidRDefault="00D459CA">
      <w:pPr>
        <w:spacing w:after="20"/>
        <w:rPr>
          <w:rFonts w:ascii="Times New Roman" w:hAnsi="Times New Roman" w:cs="Times New Roman"/>
          <w:sz w:val="22"/>
        </w:rPr>
      </w:pPr>
    </w:p>
    <w:p w14:paraId="0AD84BA6" w14:textId="77777777" w:rsidR="00D459CA" w:rsidRPr="0059633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96335">
        <w:rPr>
          <w:rFonts w:ascii="Times New Roman" w:hAnsi="Times New Roman" w:cs="Times New Roman"/>
          <w:sz w:val="22"/>
          <w:szCs w:val="22"/>
        </w:rPr>
        <w:t>3. Fair-comparison rule</w:t>
      </w:r>
    </w:p>
    <w:p w14:paraId="26DADCC9" w14:textId="77777777" w:rsidR="00D459CA" w:rsidRPr="00596335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2"/>
        </w:rPr>
      </w:pPr>
      <w:r w:rsidRPr="00596335">
        <w:rPr>
          <w:rFonts w:ascii="Times New Roman" w:hAnsi="Times New Roman" w:cs="Times New Roman"/>
          <w:sz w:val="22"/>
        </w:rPr>
        <w:t>Only matched historical origins where both A and B family champions were fully usable were used for the direct A/B decision.</w:t>
      </w:r>
    </w:p>
    <w:p w14:paraId="3554D310" w14:textId="77777777" w:rsidR="00D459CA" w:rsidRPr="00596335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2"/>
        </w:rPr>
      </w:pPr>
      <w:r w:rsidRPr="00596335">
        <w:rPr>
          <w:rFonts w:ascii="Times New Roman" w:hAnsi="Times New Roman" w:cs="Times New Roman"/>
          <w:sz w:val="22"/>
        </w:rPr>
        <w:lastRenderedPageBreak/>
        <w:t>The direct matched comparison used the common MODEL_READY origins 1 Sep 2023 and 1 Sep 2025; a non-equivalent 2024 status was not allowed to make one family look better simply because it had fewer comparable origins.</w:t>
      </w:r>
    </w:p>
    <w:p w14:paraId="1231EC50" w14:textId="77777777" w:rsidR="00D459CA" w:rsidRPr="00596335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2"/>
        </w:rPr>
      </w:pPr>
      <w:r w:rsidRPr="00596335">
        <w:rPr>
          <w:rFonts w:ascii="Times New Roman" w:hAnsi="Times New Roman" w:cs="Times New Roman"/>
          <w:sz w:val="22"/>
        </w:rPr>
        <w:t>Primary decision metric: four-month MAE. Supporting evidence: RMSE, sMAPE, Bias, month wins, origin consistency and visual residual behaviour.</w:t>
      </w:r>
    </w:p>
    <w:p w14:paraId="20436C94" w14:textId="77777777" w:rsidR="00D459CA" w:rsidRPr="00596335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2"/>
        </w:rPr>
      </w:pPr>
      <w:r w:rsidRPr="00596335">
        <w:rPr>
          <w:rFonts w:ascii="Times New Roman" w:hAnsi="Times New Roman" w:cs="Times New Roman"/>
          <w:sz w:val="22"/>
        </w:rPr>
        <w:t>A 1% MAE tie tolerance was retained: if two configurations are effectively tied, prefer the simpler/more stable option rather than adding an unnecessary weather dependency.</w:t>
      </w:r>
    </w:p>
    <w:p w14:paraId="55A92BBD" w14:textId="77777777" w:rsidR="00D459CA" w:rsidRPr="00596335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2"/>
        </w:rPr>
      </w:pPr>
      <w:r w:rsidRPr="00596335">
        <w:rPr>
          <w:rFonts w:ascii="Times New Roman" w:hAnsi="Times New Roman" w:cs="Times New Roman"/>
          <w:sz w:val="22"/>
        </w:rPr>
        <w:t>Model choice is region-specific; one algorithm/feature family is not forced across all regions.</w:t>
      </w:r>
    </w:p>
    <w:p w14:paraId="55FFDC2B" w14:textId="77777777" w:rsidR="00D459CA" w:rsidRPr="0059633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96335">
        <w:rPr>
          <w:rFonts w:ascii="Times New Roman" w:hAnsi="Times New Roman" w:cs="Times New Roman"/>
          <w:sz w:val="22"/>
          <w:szCs w:val="22"/>
        </w:rPr>
        <w:t>4. Regional A/B decision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6"/>
        <w:gridCol w:w="1793"/>
        <w:gridCol w:w="1790"/>
        <w:gridCol w:w="1165"/>
        <w:gridCol w:w="1165"/>
        <w:gridCol w:w="1296"/>
        <w:gridCol w:w="2359"/>
      </w:tblGrid>
      <w:tr w:rsidR="00D459CA" w:rsidRPr="00596335" w14:paraId="4FE65DB9" w14:textId="77777777">
        <w:trPr>
          <w:cantSplit/>
          <w:tblHeader/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53AE525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Region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619A6D1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A champion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7C58B54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B champion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22EF9B2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Matched A MAE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0F2E159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Matched B MAE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5FEA89A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Decision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59713FB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Reason</w:t>
            </w:r>
          </w:p>
        </w:tc>
      </w:tr>
      <w:tr w:rsidR="00D459CA" w:rsidRPr="00596335" w14:paraId="15E35F02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53A65E5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NSW1</w:t>
            </w:r>
          </w:p>
        </w:tc>
        <w:tc>
          <w:tcPr>
            <w:tcW w:w="1800" w:type="dxa"/>
            <w:vAlign w:val="center"/>
          </w:tcPr>
          <w:p w14:paraId="307F2606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RandomForest_A</w:t>
            </w:r>
          </w:p>
        </w:tc>
        <w:tc>
          <w:tcPr>
            <w:tcW w:w="1800" w:type="dxa"/>
            <w:vAlign w:val="center"/>
          </w:tcPr>
          <w:p w14:paraId="18E280E9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RandomForest_B</w:t>
            </w:r>
          </w:p>
        </w:tc>
        <w:tc>
          <w:tcPr>
            <w:tcW w:w="1224" w:type="dxa"/>
            <w:vAlign w:val="center"/>
          </w:tcPr>
          <w:p w14:paraId="44781E1F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599.84</w:t>
            </w:r>
          </w:p>
        </w:tc>
        <w:tc>
          <w:tcPr>
            <w:tcW w:w="1224" w:type="dxa"/>
            <w:vAlign w:val="center"/>
          </w:tcPr>
          <w:p w14:paraId="4F285CEF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628.96</w:t>
            </w:r>
          </w:p>
        </w:tc>
        <w:tc>
          <w:tcPr>
            <w:tcW w:w="1440" w:type="dxa"/>
            <w:vAlign w:val="center"/>
          </w:tcPr>
          <w:p w14:paraId="5A821636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</w:t>
            </w:r>
          </w:p>
        </w:tc>
        <w:tc>
          <w:tcPr>
            <w:tcW w:w="2880" w:type="dxa"/>
            <w:vAlign w:val="center"/>
          </w:tcPr>
          <w:p w14:paraId="4B9B0A3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 lower by 4.85%; weather does not justify extra dependency.</w:t>
            </w:r>
          </w:p>
        </w:tc>
      </w:tr>
      <w:tr w:rsidR="00D459CA" w:rsidRPr="00596335" w14:paraId="073DDE88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4EC09BB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QLD1</w:t>
            </w:r>
          </w:p>
        </w:tc>
        <w:tc>
          <w:tcPr>
            <w:tcW w:w="1800" w:type="dxa"/>
            <w:vAlign w:val="center"/>
          </w:tcPr>
          <w:p w14:paraId="4E222946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RandomForest_A</w:t>
            </w:r>
          </w:p>
        </w:tc>
        <w:tc>
          <w:tcPr>
            <w:tcW w:w="1800" w:type="dxa"/>
            <w:vAlign w:val="center"/>
          </w:tcPr>
          <w:p w14:paraId="0F9636F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RandomForest_B</w:t>
            </w:r>
          </w:p>
        </w:tc>
        <w:tc>
          <w:tcPr>
            <w:tcW w:w="1224" w:type="dxa"/>
            <w:vAlign w:val="center"/>
          </w:tcPr>
          <w:p w14:paraId="10C6DDE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468.80</w:t>
            </w:r>
          </w:p>
        </w:tc>
        <w:tc>
          <w:tcPr>
            <w:tcW w:w="1224" w:type="dxa"/>
            <w:vAlign w:val="center"/>
          </w:tcPr>
          <w:p w14:paraId="383C71D0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490.78</w:t>
            </w:r>
          </w:p>
        </w:tc>
        <w:tc>
          <w:tcPr>
            <w:tcW w:w="1440" w:type="dxa"/>
            <w:vAlign w:val="center"/>
          </w:tcPr>
          <w:p w14:paraId="01E7128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</w:t>
            </w:r>
          </w:p>
        </w:tc>
        <w:tc>
          <w:tcPr>
            <w:tcW w:w="2880" w:type="dxa"/>
            <w:vAlign w:val="center"/>
          </w:tcPr>
          <w:p w14:paraId="18BF8AD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 lower by 4.69%.</w:t>
            </w:r>
          </w:p>
        </w:tc>
      </w:tr>
      <w:tr w:rsidR="00D459CA" w:rsidRPr="00596335" w14:paraId="5B3CAD90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6B8EC70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VIC1</w:t>
            </w:r>
          </w:p>
        </w:tc>
        <w:tc>
          <w:tcPr>
            <w:tcW w:w="1800" w:type="dxa"/>
            <w:vAlign w:val="center"/>
          </w:tcPr>
          <w:p w14:paraId="5F75ECD2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RandomForest_A</w:t>
            </w:r>
          </w:p>
        </w:tc>
        <w:tc>
          <w:tcPr>
            <w:tcW w:w="1800" w:type="dxa"/>
            <w:vAlign w:val="center"/>
          </w:tcPr>
          <w:p w14:paraId="4A0B249B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RandomForest_B</w:t>
            </w:r>
          </w:p>
        </w:tc>
        <w:tc>
          <w:tcPr>
            <w:tcW w:w="1224" w:type="dxa"/>
            <w:vAlign w:val="center"/>
          </w:tcPr>
          <w:p w14:paraId="288832D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444.01</w:t>
            </w:r>
          </w:p>
        </w:tc>
        <w:tc>
          <w:tcPr>
            <w:tcW w:w="1224" w:type="dxa"/>
            <w:vAlign w:val="center"/>
          </w:tcPr>
          <w:p w14:paraId="0C1418F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461.66</w:t>
            </w:r>
          </w:p>
        </w:tc>
        <w:tc>
          <w:tcPr>
            <w:tcW w:w="1440" w:type="dxa"/>
            <w:vAlign w:val="center"/>
          </w:tcPr>
          <w:p w14:paraId="7A0F4712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</w:t>
            </w:r>
          </w:p>
        </w:tc>
        <w:tc>
          <w:tcPr>
            <w:tcW w:w="2880" w:type="dxa"/>
            <w:vAlign w:val="center"/>
          </w:tcPr>
          <w:p w14:paraId="37268157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 lower by 3.98%.</w:t>
            </w:r>
          </w:p>
        </w:tc>
      </w:tr>
      <w:tr w:rsidR="00D459CA" w:rsidRPr="00596335" w14:paraId="285F7AB8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41DB47A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SA1</w:t>
            </w:r>
          </w:p>
        </w:tc>
        <w:tc>
          <w:tcPr>
            <w:tcW w:w="1800" w:type="dxa"/>
            <w:vAlign w:val="center"/>
          </w:tcPr>
          <w:p w14:paraId="145993F0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RandomForest_A</w:t>
            </w:r>
          </w:p>
        </w:tc>
        <w:tc>
          <w:tcPr>
            <w:tcW w:w="1800" w:type="dxa"/>
            <w:vAlign w:val="center"/>
          </w:tcPr>
          <w:p w14:paraId="4B8D1ABB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RandomForest_B</w:t>
            </w:r>
          </w:p>
        </w:tc>
        <w:tc>
          <w:tcPr>
            <w:tcW w:w="1224" w:type="dxa"/>
            <w:vAlign w:val="center"/>
          </w:tcPr>
          <w:p w14:paraId="7F4748C7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184.39</w:t>
            </w:r>
          </w:p>
        </w:tc>
        <w:tc>
          <w:tcPr>
            <w:tcW w:w="1224" w:type="dxa"/>
            <w:vAlign w:val="center"/>
          </w:tcPr>
          <w:p w14:paraId="6CBFFA1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183.13</w:t>
            </w:r>
          </w:p>
        </w:tc>
        <w:tc>
          <w:tcPr>
            <w:tcW w:w="1440" w:type="dxa"/>
            <w:vAlign w:val="center"/>
          </w:tcPr>
          <w:p w14:paraId="1BEB4C9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 — tie rule</w:t>
            </w:r>
          </w:p>
        </w:tc>
        <w:tc>
          <w:tcPr>
            <w:tcW w:w="2880" w:type="dxa"/>
            <w:vAlign w:val="center"/>
          </w:tcPr>
          <w:p w14:paraId="2CE6ABF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B lower by only 0.68%, inside 1% tie tolerance; simpler A retained.</w:t>
            </w:r>
          </w:p>
        </w:tc>
      </w:tr>
      <w:tr w:rsidR="00D459CA" w:rsidRPr="00596335" w14:paraId="5F662CAE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71F3BED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TAS1</w:t>
            </w:r>
          </w:p>
        </w:tc>
        <w:tc>
          <w:tcPr>
            <w:tcW w:w="1800" w:type="dxa"/>
            <w:vAlign w:val="center"/>
          </w:tcPr>
          <w:p w14:paraId="2EECD0F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RandomForest_A</w:t>
            </w:r>
          </w:p>
        </w:tc>
        <w:tc>
          <w:tcPr>
            <w:tcW w:w="1800" w:type="dxa"/>
            <w:vAlign w:val="center"/>
          </w:tcPr>
          <w:p w14:paraId="4E1A4B0F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XGBoost_B</w:t>
            </w:r>
          </w:p>
        </w:tc>
        <w:tc>
          <w:tcPr>
            <w:tcW w:w="1224" w:type="dxa"/>
            <w:vAlign w:val="center"/>
          </w:tcPr>
          <w:p w14:paraId="61BE4D6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71.29</w:t>
            </w:r>
          </w:p>
        </w:tc>
        <w:tc>
          <w:tcPr>
            <w:tcW w:w="1224" w:type="dxa"/>
            <w:vAlign w:val="center"/>
          </w:tcPr>
          <w:p w14:paraId="5CAD134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71.47</w:t>
            </w:r>
          </w:p>
        </w:tc>
        <w:tc>
          <w:tcPr>
            <w:tcW w:w="1440" w:type="dxa"/>
            <w:vAlign w:val="center"/>
          </w:tcPr>
          <w:p w14:paraId="76CA86D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 — tie rule</w:t>
            </w:r>
          </w:p>
        </w:tc>
        <w:tc>
          <w:tcPr>
            <w:tcW w:w="2880" w:type="dxa"/>
            <w:vAlign w:val="center"/>
          </w:tcPr>
          <w:p w14:paraId="52A357A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Difference only 0.25%; simpler A retained.</w:t>
            </w:r>
          </w:p>
        </w:tc>
      </w:tr>
      <w:tr w:rsidR="00D459CA" w:rsidRPr="00596335" w14:paraId="452CE824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6DCD03F2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WA</w:t>
            </w:r>
          </w:p>
        </w:tc>
        <w:tc>
          <w:tcPr>
            <w:tcW w:w="1800" w:type="dxa"/>
            <w:vAlign w:val="center"/>
          </w:tcPr>
          <w:p w14:paraId="6D1D5AF7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RandomForest_A</w:t>
            </w:r>
          </w:p>
        </w:tc>
        <w:tc>
          <w:tcPr>
            <w:tcW w:w="1800" w:type="dxa"/>
            <w:vAlign w:val="center"/>
          </w:tcPr>
          <w:p w14:paraId="1A379FE8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RandomForest_B</w:t>
            </w:r>
          </w:p>
        </w:tc>
        <w:tc>
          <w:tcPr>
            <w:tcW w:w="1224" w:type="dxa"/>
            <w:vAlign w:val="center"/>
          </w:tcPr>
          <w:p w14:paraId="62FE4997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225.22</w:t>
            </w:r>
          </w:p>
        </w:tc>
        <w:tc>
          <w:tcPr>
            <w:tcW w:w="1224" w:type="dxa"/>
            <w:vAlign w:val="center"/>
          </w:tcPr>
          <w:p w14:paraId="505A1C8B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206.46</w:t>
            </w:r>
          </w:p>
        </w:tc>
        <w:tc>
          <w:tcPr>
            <w:tcW w:w="1440" w:type="dxa"/>
            <w:vAlign w:val="center"/>
          </w:tcPr>
          <w:p w14:paraId="2C05CF8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B</w:t>
            </w:r>
          </w:p>
        </w:tc>
        <w:tc>
          <w:tcPr>
            <w:tcW w:w="2880" w:type="dxa"/>
            <w:vAlign w:val="center"/>
          </w:tcPr>
          <w:p w14:paraId="75F7F989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B lower by 8.33% and improves the main error measures.</w:t>
            </w:r>
          </w:p>
        </w:tc>
      </w:tr>
    </w:tbl>
    <w:p w14:paraId="66D29228" w14:textId="77777777" w:rsidR="00D459CA" w:rsidRPr="00596335" w:rsidRDefault="00D459CA">
      <w:pPr>
        <w:spacing w:after="20"/>
        <w:rPr>
          <w:rFonts w:ascii="Times New Roman" w:hAnsi="Times New Roman" w:cs="Times New Roman"/>
          <w:sz w:val="22"/>
        </w:rPr>
      </w:pPr>
    </w:p>
    <w:p w14:paraId="373DE3A5" w14:textId="77777777" w:rsidR="00D459CA" w:rsidRPr="00596335" w:rsidRDefault="00000000">
      <w:pPr>
        <w:pStyle w:val="Decision"/>
        <w:rPr>
          <w:rFonts w:ascii="Times New Roman" w:hAnsi="Times New Roman" w:cs="Times New Roman"/>
          <w:sz w:val="22"/>
        </w:rPr>
      </w:pPr>
      <w:r w:rsidRPr="00596335">
        <w:rPr>
          <w:rFonts w:ascii="Times New Roman" w:hAnsi="Times New Roman" w:cs="Times New Roman"/>
          <w:sz w:val="22"/>
        </w:rPr>
        <w:t>DECISION: The Assessment 2 model recommendation is Model A for NSW1, QLD1, VIC1, SA1 and TAS1; Model B for WA. The result is evidence-led, not a design assumption that weather must improve every region.</w:t>
      </w:r>
    </w:p>
    <w:p w14:paraId="5C5305FC" w14:textId="77777777" w:rsidR="00D459CA" w:rsidRPr="0059633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96335">
        <w:rPr>
          <w:rFonts w:ascii="Times New Roman" w:hAnsi="Times New Roman" w:cs="Times New Roman"/>
          <w:sz w:val="22"/>
          <w:szCs w:val="22"/>
        </w:rPr>
        <w:t>5. Output-validation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3"/>
        <w:gridCol w:w="7641"/>
      </w:tblGrid>
      <w:tr w:rsidR="00D459CA" w:rsidRPr="00596335" w14:paraId="73FCA49A" w14:textId="77777777">
        <w:trPr>
          <w:cantSplit/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19749A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Check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039B32E8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Validation decision</w:t>
            </w:r>
          </w:p>
        </w:tc>
      </w:tr>
      <w:tr w:rsidR="00D459CA" w:rsidRPr="00596335" w14:paraId="60B5DC1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E439C3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A/B output tables</w:t>
            </w:r>
          </w:p>
        </w:tc>
        <w:tc>
          <w:tcPr>
            <w:tcW w:w="7920" w:type="dxa"/>
            <w:vAlign w:val="center"/>
          </w:tcPr>
          <w:p w14:paraId="42CD800A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Backtest detail, daily/monthly/half-hour metrics and decision evidence retained as CSV outputs rather than values copied manually into the report.</w:t>
            </w:r>
          </w:p>
        </w:tc>
      </w:tr>
      <w:tr w:rsidR="00D459CA" w:rsidRPr="00596335" w14:paraId="29CAFA10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BC9641A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Plots</w:t>
            </w:r>
          </w:p>
        </w:tc>
        <w:tc>
          <w:tcPr>
            <w:tcW w:w="7920" w:type="dxa"/>
            <w:vAlign w:val="center"/>
          </w:tcPr>
          <w:p w14:paraId="38121C0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Region-level A/B figures and cross-region decision charts generated automatically from the backtest outputs.</w:t>
            </w:r>
          </w:p>
        </w:tc>
      </w:tr>
      <w:tr w:rsidR="00D459CA" w:rsidRPr="00596335" w14:paraId="19FADA8C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AE7FB6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Selection independence</w:t>
            </w:r>
          </w:p>
        </w:tc>
        <w:tc>
          <w:tcPr>
            <w:tcW w:w="7920" w:type="dxa"/>
            <w:vAlign w:val="center"/>
          </w:tcPr>
          <w:p w14:paraId="60A44BBF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Historical selection does not use current-month actuals.</w:t>
            </w:r>
          </w:p>
        </w:tc>
      </w:tr>
      <w:tr w:rsidR="00D459CA" w:rsidRPr="00596335" w14:paraId="2E55A19A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79EDF83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Feature safety</w:t>
            </w:r>
          </w:p>
        </w:tc>
        <w:tc>
          <w:tcPr>
            <w:tcW w:w="7920" w:type="dxa"/>
            <w:vAlign w:val="center"/>
          </w:tcPr>
          <w:p w14:paraId="34F17656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Model A excludes direct future weather; Model B extends A with weather/context and explicit provenance.</w:t>
            </w:r>
          </w:p>
        </w:tc>
      </w:tr>
      <w:tr w:rsidR="00D459CA" w:rsidRPr="00596335" w14:paraId="0C3FECA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6255B0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Recursive provenance</w:t>
            </w:r>
          </w:p>
        </w:tc>
        <w:tc>
          <w:tcPr>
            <w:tcW w:w="7920" w:type="dxa"/>
            <w:vAlign w:val="center"/>
          </w:tcPr>
          <w:p w14:paraId="0222CDDB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Later full forecasting code records ACTUAL_HISTORY / RECURSIVE_FORECAST / MISSING for lag sources.</w:t>
            </w:r>
          </w:p>
        </w:tc>
      </w:tr>
      <w:tr w:rsidR="00D459CA" w:rsidRPr="00596335" w14:paraId="6598A70C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B668EF3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AEMO semantics</w:t>
            </w:r>
          </w:p>
        </w:tc>
        <w:tc>
          <w:tcPr>
            <w:tcW w:w="7920" w:type="dxa"/>
            <w:vAlign w:val="center"/>
          </w:tcPr>
          <w:p w14:paraId="7886C74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AEMO pre-dispatch remains a secondary benchmark and is never a predictor; target mismatch is not described as project accuracy.</w:t>
            </w:r>
          </w:p>
        </w:tc>
      </w:tr>
      <w:tr w:rsidR="00D459CA" w:rsidRPr="00596335" w14:paraId="182FFBE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C4D54A6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Failure transparency</w:t>
            </w:r>
          </w:p>
        </w:tc>
        <w:tc>
          <w:tcPr>
            <w:tcW w:w="7920" w:type="dxa"/>
            <w:vAlign w:val="center"/>
          </w:tcPr>
          <w:p w14:paraId="2DB51D40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Skipped/failed statistical or optional candidates remain recorded rather than being silently replaced.</w:t>
            </w:r>
          </w:p>
        </w:tc>
      </w:tr>
    </w:tbl>
    <w:p w14:paraId="03DF12ED" w14:textId="77777777" w:rsidR="00D459CA" w:rsidRPr="00596335" w:rsidRDefault="00D459CA">
      <w:pPr>
        <w:spacing w:after="20"/>
        <w:rPr>
          <w:rFonts w:ascii="Times New Roman" w:hAnsi="Times New Roman" w:cs="Times New Roman"/>
          <w:sz w:val="22"/>
        </w:rPr>
      </w:pPr>
    </w:p>
    <w:p w14:paraId="1FE5D150" w14:textId="77777777" w:rsidR="00D459CA" w:rsidRPr="0059633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96335">
        <w:rPr>
          <w:rFonts w:ascii="Times New Roman" w:hAnsi="Times New Roman" w:cs="Times New Roman"/>
          <w:sz w:val="22"/>
          <w:szCs w:val="22"/>
        </w:rPr>
        <w:t>6. Work split confirmed at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8513"/>
      </w:tblGrid>
      <w:tr w:rsidR="00D459CA" w:rsidRPr="00596335" w14:paraId="19A7A60E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4E9B9AEA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Member</w:t>
            </w:r>
          </w:p>
        </w:tc>
        <w:tc>
          <w:tcPr>
            <w:tcW w:w="8640" w:type="dxa"/>
            <w:shd w:val="clear" w:color="auto" w:fill="D9EAF7"/>
            <w:vAlign w:val="center"/>
          </w:tcPr>
          <w:p w14:paraId="4292ED5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Primary WP3 contribution used in the merge</w:t>
            </w:r>
          </w:p>
        </w:tc>
      </w:tr>
      <w:tr w:rsidR="00D459CA" w:rsidRPr="00596335" w14:paraId="22EF000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F9A2833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Ashish Shrestha</w:t>
            </w:r>
          </w:p>
        </w:tc>
        <w:tc>
          <w:tcPr>
            <w:tcW w:w="8640" w:type="dxa"/>
            <w:vAlign w:val="center"/>
          </w:tcPr>
          <w:p w14:paraId="68050072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Random Forest A/B development, historical four-month backtesting, model-selection logic and regional recommendation.</w:t>
            </w:r>
          </w:p>
        </w:tc>
      </w:tr>
      <w:tr w:rsidR="00D459CA" w:rsidRPr="00596335" w14:paraId="511BDD4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5E14551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lastRenderedPageBreak/>
              <w:t>Suraj Raut</w:t>
            </w:r>
          </w:p>
        </w:tc>
        <w:tc>
          <w:tcPr>
            <w:tcW w:w="8640" w:type="dxa"/>
            <w:vAlign w:val="center"/>
          </w:tcPr>
          <w:p w14:paraId="6E2D0B6A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Chronological validation, XGBoost A/B contribution, recursive time-series engine and lag provenance.</w:t>
            </w:r>
          </w:p>
        </w:tc>
      </w:tr>
      <w:tr w:rsidR="00D459CA" w:rsidRPr="00596335" w14:paraId="027A5832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5053C6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Sudip Lamichhane</w:t>
            </w:r>
          </w:p>
        </w:tc>
        <w:tc>
          <w:tcPr>
            <w:tcW w:w="8640" w:type="dxa"/>
            <w:vAlign w:val="center"/>
          </w:tcPr>
          <w:p w14:paraId="24EBBB3A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Input-readiness/source governance, statistical/benchmark-source handling, weather provenance and AEMO semantics.</w:t>
            </w:r>
          </w:p>
        </w:tc>
      </w:tr>
      <w:tr w:rsidR="00D459CA" w:rsidRPr="00596335" w14:paraId="2CB5C0E9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A962B8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Bishal Dahal</w:t>
            </w:r>
          </w:p>
        </w:tc>
        <w:tc>
          <w:tcPr>
            <w:tcW w:w="8640" w:type="dxa"/>
            <w:vAlign w:val="center"/>
          </w:tcPr>
          <w:p w14:paraId="5E10270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Feature-safety gate, seasonal-naive references, MAE/RMSE/sMAPE/Bias verification and evidence visualisation.</w:t>
            </w:r>
          </w:p>
        </w:tc>
      </w:tr>
      <w:tr w:rsidR="00D459CA" w:rsidRPr="00596335" w14:paraId="08EDA8BF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53B6792B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All four</w:t>
            </w:r>
          </w:p>
        </w:tc>
        <w:tc>
          <w:tcPr>
            <w:tcW w:w="8640" w:type="dxa"/>
            <w:vAlign w:val="center"/>
          </w:tcPr>
          <w:p w14:paraId="1A534E40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Selection rules, tie tolerance, A/B interpretation, output review and final integration.</w:t>
            </w:r>
          </w:p>
        </w:tc>
      </w:tr>
    </w:tbl>
    <w:p w14:paraId="206F6368" w14:textId="77777777" w:rsidR="00D459CA" w:rsidRPr="00596335" w:rsidRDefault="00D459CA">
      <w:pPr>
        <w:spacing w:after="20"/>
        <w:rPr>
          <w:rFonts w:ascii="Times New Roman" w:hAnsi="Times New Roman" w:cs="Times New Roman"/>
          <w:sz w:val="22"/>
        </w:rPr>
      </w:pPr>
    </w:p>
    <w:p w14:paraId="6C455336" w14:textId="77777777" w:rsidR="00D459CA" w:rsidRPr="00596335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96335">
        <w:rPr>
          <w:rFonts w:ascii="Times New Roman" w:hAnsi="Times New Roman" w:cs="Times New Roman"/>
          <w:sz w:val="22"/>
          <w:szCs w:val="22"/>
        </w:rPr>
        <w:t>7. Actions for 15 September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1"/>
        <w:gridCol w:w="5751"/>
        <w:gridCol w:w="1815"/>
        <w:gridCol w:w="2267"/>
      </w:tblGrid>
      <w:tr w:rsidR="00D459CA" w:rsidRPr="00596335" w14:paraId="73E159A3" w14:textId="77777777">
        <w:trPr>
          <w:cantSplit/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3A9634E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ID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2F79611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Action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E8F300F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Owner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63394D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b/>
                <w:color w:val="14375F"/>
                <w:sz w:val="22"/>
              </w:rPr>
              <w:t>Status target</w:t>
            </w:r>
          </w:p>
        </w:tc>
      </w:tr>
      <w:tr w:rsidR="00D459CA" w:rsidRPr="00596335" w14:paraId="2FA17876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2738AD2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S1</w:t>
            </w:r>
          </w:p>
        </w:tc>
        <w:tc>
          <w:tcPr>
            <w:tcW w:w="6624" w:type="dxa"/>
            <w:vAlign w:val="center"/>
          </w:tcPr>
          <w:p w14:paraId="4456F959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Re-run/verify the final Stage 1, Stage 2 and modelling artefact packages used in Assessment 2.</w:t>
            </w:r>
          </w:p>
        </w:tc>
        <w:tc>
          <w:tcPr>
            <w:tcW w:w="2016" w:type="dxa"/>
            <w:vAlign w:val="center"/>
          </w:tcPr>
          <w:p w14:paraId="57A898CF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2448" w:type="dxa"/>
            <w:vAlign w:val="center"/>
          </w:tcPr>
          <w:p w14:paraId="79FB0FF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Complete before documentation freeze.</w:t>
            </w:r>
          </w:p>
        </w:tc>
      </w:tr>
      <w:tr w:rsidR="00D459CA" w:rsidRPr="00596335" w14:paraId="56A3D9B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60972400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S2</w:t>
            </w:r>
          </w:p>
        </w:tc>
        <w:tc>
          <w:tcPr>
            <w:tcW w:w="6624" w:type="dxa"/>
            <w:vAlign w:val="center"/>
          </w:tcPr>
          <w:p w14:paraId="214D0BB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Update report architecture so Stage 1 → Stage 2 → Stage 3 reads as one collaborative system.</w:t>
            </w:r>
          </w:p>
        </w:tc>
        <w:tc>
          <w:tcPr>
            <w:tcW w:w="2016" w:type="dxa"/>
            <w:vAlign w:val="center"/>
          </w:tcPr>
          <w:p w14:paraId="23C80F2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Ashish + Bishal</w:t>
            </w:r>
          </w:p>
        </w:tc>
        <w:tc>
          <w:tcPr>
            <w:tcW w:w="2448" w:type="dxa"/>
            <w:vAlign w:val="center"/>
          </w:tcPr>
          <w:p w14:paraId="4CFB100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Ready for final report merge.</w:t>
            </w:r>
          </w:p>
        </w:tc>
      </w:tr>
      <w:tr w:rsidR="00D459CA" w:rsidRPr="00596335" w14:paraId="79A2E9F8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66E3A874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S3</w:t>
            </w:r>
          </w:p>
        </w:tc>
        <w:tc>
          <w:tcPr>
            <w:tcW w:w="6624" w:type="dxa"/>
            <w:vAlign w:val="center"/>
          </w:tcPr>
          <w:p w14:paraId="46C250B8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Reconcile individual contribution pages with actual code modules and team integration.</w:t>
            </w:r>
          </w:p>
        </w:tc>
        <w:tc>
          <w:tcPr>
            <w:tcW w:w="2016" w:type="dxa"/>
            <w:vAlign w:val="center"/>
          </w:tcPr>
          <w:p w14:paraId="279F6FDF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Each member + peer reviewer</w:t>
            </w:r>
          </w:p>
        </w:tc>
        <w:tc>
          <w:tcPr>
            <w:tcW w:w="2448" w:type="dxa"/>
            <w:vAlign w:val="center"/>
          </w:tcPr>
          <w:p w14:paraId="2A938D5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No exaggerated ownership.</w:t>
            </w:r>
          </w:p>
        </w:tc>
      </w:tr>
      <w:tr w:rsidR="00D459CA" w:rsidRPr="00596335" w14:paraId="7E19A100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9F6D058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S4</w:t>
            </w:r>
          </w:p>
        </w:tc>
        <w:tc>
          <w:tcPr>
            <w:tcW w:w="6624" w:type="dxa"/>
            <w:vAlign w:val="center"/>
          </w:tcPr>
          <w:p w14:paraId="0CA3A68D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Ensure source changes are documented: NT scope, BOM replacement, WA mixed frequency, strict cutoff, Model A/B.</w:t>
            </w:r>
          </w:p>
        </w:tc>
        <w:tc>
          <w:tcPr>
            <w:tcW w:w="2016" w:type="dxa"/>
            <w:vAlign w:val="center"/>
          </w:tcPr>
          <w:p w14:paraId="7D3915F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Sudip + Suraj</w:t>
            </w:r>
          </w:p>
        </w:tc>
        <w:tc>
          <w:tcPr>
            <w:tcW w:w="2448" w:type="dxa"/>
            <w:vAlign w:val="center"/>
          </w:tcPr>
          <w:p w14:paraId="120C54B0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Change log aligned.</w:t>
            </w:r>
          </w:p>
        </w:tc>
      </w:tr>
      <w:tr w:rsidR="00D459CA" w:rsidRPr="00596335" w14:paraId="74050E91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8427EA0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S5</w:t>
            </w:r>
          </w:p>
        </w:tc>
        <w:tc>
          <w:tcPr>
            <w:tcW w:w="6624" w:type="dxa"/>
            <w:vAlign w:val="center"/>
          </w:tcPr>
          <w:p w14:paraId="6A00A341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Prepare evidence links/figures/tables and check no unsupported Git/Jira evidence is invented.</w:t>
            </w:r>
          </w:p>
        </w:tc>
        <w:tc>
          <w:tcPr>
            <w:tcW w:w="2016" w:type="dxa"/>
            <w:vAlign w:val="center"/>
          </w:tcPr>
          <w:p w14:paraId="3583DA5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Bishal</w:t>
            </w:r>
          </w:p>
        </w:tc>
        <w:tc>
          <w:tcPr>
            <w:tcW w:w="2448" w:type="dxa"/>
            <w:vAlign w:val="center"/>
          </w:tcPr>
          <w:p w14:paraId="1E5D1541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Traceable evidence only.</w:t>
            </w:r>
          </w:p>
        </w:tc>
      </w:tr>
      <w:tr w:rsidR="00D459CA" w:rsidRPr="00596335" w14:paraId="5C366C42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010CB41C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S6</w:t>
            </w:r>
          </w:p>
        </w:tc>
        <w:tc>
          <w:tcPr>
            <w:tcW w:w="6624" w:type="dxa"/>
            <w:vAlign w:val="center"/>
          </w:tcPr>
          <w:p w14:paraId="5F664B25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Complete Assessment 2 page-limit/format/reference check and submission assembly.</w:t>
            </w:r>
          </w:p>
        </w:tc>
        <w:tc>
          <w:tcPr>
            <w:tcW w:w="2016" w:type="dxa"/>
            <w:vAlign w:val="center"/>
          </w:tcPr>
          <w:p w14:paraId="725DB463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2448" w:type="dxa"/>
            <w:vAlign w:val="center"/>
          </w:tcPr>
          <w:p w14:paraId="0FDE3F7E" w14:textId="77777777" w:rsidR="00D459CA" w:rsidRPr="00596335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596335">
              <w:rPr>
                <w:rFonts w:ascii="Times New Roman" w:hAnsi="Times New Roman" w:cs="Times New Roman"/>
                <w:sz w:val="22"/>
              </w:rPr>
              <w:t>15 Sep integration meeting.</w:t>
            </w:r>
          </w:p>
        </w:tc>
      </w:tr>
    </w:tbl>
    <w:p w14:paraId="2EE4159E" w14:textId="77777777" w:rsidR="00D459CA" w:rsidRPr="00596335" w:rsidRDefault="00D459CA">
      <w:pPr>
        <w:spacing w:after="20"/>
        <w:rPr>
          <w:rFonts w:ascii="Times New Roman" w:hAnsi="Times New Roman" w:cs="Times New Roman"/>
          <w:sz w:val="22"/>
        </w:rPr>
      </w:pPr>
    </w:p>
    <w:p w14:paraId="7F1E089D" w14:textId="77777777" w:rsidR="00D459CA" w:rsidRPr="00596335" w:rsidRDefault="00000000">
      <w:pPr>
        <w:rPr>
          <w:rFonts w:ascii="Times New Roman" w:hAnsi="Times New Roman" w:cs="Times New Roman"/>
          <w:sz w:val="22"/>
        </w:rPr>
      </w:pPr>
      <w:r w:rsidRPr="00596335">
        <w:rPr>
          <w:rFonts w:ascii="Times New Roman" w:hAnsi="Times New Roman" w:cs="Times New Roman"/>
          <w:sz w:val="22"/>
        </w:rPr>
        <w:br w:type="page"/>
      </w:r>
    </w:p>
    <w:p w14:paraId="56BF2856" w14:textId="77777777" w:rsidR="00596335" w:rsidRPr="00596335" w:rsidRDefault="00596335">
      <w:pPr>
        <w:rPr>
          <w:rFonts w:ascii="Times New Roman" w:hAnsi="Times New Roman" w:cs="Times New Roman"/>
          <w:sz w:val="22"/>
        </w:rPr>
      </w:pPr>
    </w:p>
    <w:sectPr w:rsidR="00596335" w:rsidRPr="00596335" w:rsidSect="00034616">
      <w:footerReference w:type="default" r:id="rId8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10387" w14:textId="77777777" w:rsidR="00D13BF0" w:rsidRDefault="00D13BF0">
      <w:pPr>
        <w:spacing w:after="0" w:line="240" w:lineRule="auto"/>
      </w:pPr>
      <w:r>
        <w:separator/>
      </w:r>
    </w:p>
  </w:endnote>
  <w:endnote w:type="continuationSeparator" w:id="0">
    <w:p w14:paraId="67D1D9B1" w14:textId="77777777" w:rsidR="00D13BF0" w:rsidRDefault="00D13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14B0" w14:textId="77777777" w:rsidR="00D459CA" w:rsidRDefault="00000000">
    <w:pPr>
      <w:pStyle w:val="Footer"/>
      <w:jc w:val="right"/>
    </w:pPr>
    <w:r>
      <w:rPr>
        <w:rFonts w:ascii="Arial" w:hAnsi="Arial"/>
      </w:rPr>
      <w:t xml:space="preserve">PRT661 | Dan6: Theme 2 | Meeting 5 | Page </w:t>
    </w:r>
    <w:r>
      <w:fldChar w:fldCharType="begin"/>
    </w:r>
    <w:r>
      <w:instrText xml:space="preserve"> PAGE </w:instrText>
    </w:r>
    <w:r w:rsidR="00FD3F6D">
      <w:fldChar w:fldCharType="separate"/>
    </w:r>
    <w:r w:rsidR="00FD3F6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1F1C3" w14:textId="77777777" w:rsidR="00D13BF0" w:rsidRDefault="00D13BF0">
      <w:pPr>
        <w:spacing w:after="0" w:line="240" w:lineRule="auto"/>
      </w:pPr>
      <w:r>
        <w:separator/>
      </w:r>
    </w:p>
  </w:footnote>
  <w:footnote w:type="continuationSeparator" w:id="0">
    <w:p w14:paraId="46D5C1CE" w14:textId="77777777" w:rsidR="00D13BF0" w:rsidRDefault="00D13B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054059">
    <w:abstractNumId w:val="8"/>
  </w:num>
  <w:num w:numId="2" w16cid:durableId="907351097">
    <w:abstractNumId w:val="6"/>
  </w:num>
  <w:num w:numId="3" w16cid:durableId="1618412617">
    <w:abstractNumId w:val="5"/>
  </w:num>
  <w:num w:numId="4" w16cid:durableId="1845824577">
    <w:abstractNumId w:val="4"/>
  </w:num>
  <w:num w:numId="5" w16cid:durableId="1985888729">
    <w:abstractNumId w:val="7"/>
  </w:num>
  <w:num w:numId="6" w16cid:durableId="1160076354">
    <w:abstractNumId w:val="3"/>
  </w:num>
  <w:num w:numId="7" w16cid:durableId="1655184986">
    <w:abstractNumId w:val="2"/>
  </w:num>
  <w:num w:numId="8" w16cid:durableId="376320973">
    <w:abstractNumId w:val="1"/>
  </w:num>
  <w:num w:numId="9" w16cid:durableId="41432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6335"/>
    <w:rsid w:val="00AA1D8D"/>
    <w:rsid w:val="00B47730"/>
    <w:rsid w:val="00CB0664"/>
    <w:rsid w:val="00D13BF0"/>
    <w:rsid w:val="00D459CA"/>
    <w:rsid w:val="00DB2214"/>
    <w:rsid w:val="00FC693F"/>
    <w:rsid w:val="00FD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D5DE1"/>
  <w14:defaultImageDpi w14:val="300"/>
  <w15:docId w15:val="{C0113C68-C8F9-4705-8FD4-AECECFC4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337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337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i/>
      <w:color w:val="505050"/>
      <w:sz w:val="17"/>
    </w:rPr>
  </w:style>
  <w:style w:type="paragraph" w:customStyle="1" w:styleId="Decision">
    <w:name w:val="Decision"/>
    <w:pPr>
      <w:spacing w:after="60"/>
      <w:ind w:left="216"/>
    </w:pPr>
    <w:rPr>
      <w:rFonts w:ascii="Aptos" w:hAnsi="Aptos"/>
      <w:b/>
      <w:color w:val="0061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PRT661 Dan6 Meeting 5 - 10 Sep 2026</dc:title>
  <dc:subject>PRT661 Data Science Practice - Australian Electricity Demand Forecasting</dc:subject>
  <dc:creator>Dan6 Group</dc:creator>
  <cp:keywords>PRT661, Dan6, Meeting 5, 10 Sep 2026</cp:keywords>
  <dc:description>generated by python-docx</dc:description>
  <cp:lastModifiedBy>Ashish Shrestha</cp:lastModifiedBy>
  <cp:revision>3</cp:revision>
  <dcterms:created xsi:type="dcterms:W3CDTF">2026-09-15T07:30:00Z</dcterms:created>
  <dcterms:modified xsi:type="dcterms:W3CDTF">2026-09-15T07:30:00Z</dcterms:modified>
  <cp:category/>
</cp:coreProperties>
</file>