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508D" w14:textId="77777777" w:rsidR="00C618D9" w:rsidRPr="005342DA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5342DA">
        <w:rPr>
          <w:rFonts w:ascii="Times New Roman" w:hAnsi="Times New Roman" w:cs="Times New Roman"/>
          <w:sz w:val="22"/>
          <w:szCs w:val="22"/>
        </w:rPr>
        <w:t>Meeting 2 — WP1 Integration, Validation and Transition to WP2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C618D9" w:rsidRPr="005342DA" w14:paraId="7C8CBE9C" w14:textId="77777777">
        <w:trPr>
          <w:cantSplit/>
          <w:tblHeader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6E9CF7CD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Date</w:t>
            </w:r>
          </w:p>
        </w:tc>
        <w:tc>
          <w:tcPr>
            <w:tcW w:w="5227" w:type="dxa"/>
            <w:vAlign w:val="center"/>
          </w:tcPr>
          <w:p w14:paraId="16DB77B9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Saturday, 23 August 2026</w:t>
            </w:r>
          </w:p>
        </w:tc>
      </w:tr>
      <w:tr w:rsidR="00C618D9" w:rsidRPr="005342DA" w14:paraId="02621812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3E794EAC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Time</w:t>
            </w:r>
          </w:p>
        </w:tc>
        <w:tc>
          <w:tcPr>
            <w:tcW w:w="5227" w:type="dxa"/>
            <w:vAlign w:val="center"/>
          </w:tcPr>
          <w:p w14:paraId="4ECBFAD2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7:30 PM – 9:30 PM (2 hours)</w:t>
            </w:r>
          </w:p>
        </w:tc>
      </w:tr>
      <w:tr w:rsidR="00C618D9" w:rsidRPr="005342DA" w14:paraId="4E865E98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08420C7C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Location / method</w:t>
            </w:r>
          </w:p>
        </w:tc>
        <w:tc>
          <w:tcPr>
            <w:tcW w:w="5227" w:type="dxa"/>
            <w:vAlign w:val="center"/>
          </w:tcPr>
          <w:p w14:paraId="68E5AF63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Online — Zoom and shared Git repository</w:t>
            </w:r>
          </w:p>
        </w:tc>
      </w:tr>
      <w:tr w:rsidR="00C618D9" w:rsidRPr="005342DA" w14:paraId="489BC31E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13E7BE85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Chair</w:t>
            </w:r>
          </w:p>
        </w:tc>
        <w:tc>
          <w:tcPr>
            <w:tcW w:w="5227" w:type="dxa"/>
            <w:vAlign w:val="center"/>
          </w:tcPr>
          <w:p w14:paraId="3C84AADD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Sudip Lamichhane</w:t>
            </w:r>
          </w:p>
        </w:tc>
      </w:tr>
      <w:tr w:rsidR="00C618D9" w:rsidRPr="005342DA" w14:paraId="5EC6768E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1A991FC8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Minutes recorded by</w:t>
            </w:r>
          </w:p>
        </w:tc>
        <w:tc>
          <w:tcPr>
            <w:tcW w:w="5227" w:type="dxa"/>
            <w:vAlign w:val="center"/>
          </w:tcPr>
          <w:p w14:paraId="7F64F2E0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Bishal Dahal</w:t>
            </w:r>
          </w:p>
        </w:tc>
      </w:tr>
      <w:tr w:rsidR="00C618D9" w:rsidRPr="005342DA" w14:paraId="2E9C480F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7EBF1719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Attendees</w:t>
            </w:r>
          </w:p>
        </w:tc>
        <w:tc>
          <w:tcPr>
            <w:tcW w:w="5227" w:type="dxa"/>
            <w:vAlign w:val="center"/>
          </w:tcPr>
          <w:p w14:paraId="03E62168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All four members present</w:t>
            </w:r>
          </w:p>
        </w:tc>
      </w:tr>
      <w:tr w:rsidR="00C618D9" w:rsidRPr="005342DA" w14:paraId="25ABAFC2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3C85208C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Work package</w:t>
            </w:r>
          </w:p>
        </w:tc>
        <w:tc>
          <w:tcPr>
            <w:tcW w:w="5227" w:type="dxa"/>
            <w:vAlign w:val="center"/>
          </w:tcPr>
          <w:p w14:paraId="5A3E5E12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WP1 close-out; transition planning to WP2</w:t>
            </w:r>
          </w:p>
        </w:tc>
      </w:tr>
      <w:tr w:rsidR="00C618D9" w:rsidRPr="005342DA" w14:paraId="54678866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46826970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Purpose</w:t>
            </w:r>
          </w:p>
        </w:tc>
        <w:tc>
          <w:tcPr>
            <w:tcW w:w="5227" w:type="dxa"/>
            <w:vAlign w:val="center"/>
          </w:tcPr>
          <w:p w14:paraId="1413BDDD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Integrate the four acquisition workstreams, validate produced files against source systems, close the working acquisition deliverable and allocate preprocessing responsibilities.</w:t>
            </w:r>
          </w:p>
        </w:tc>
      </w:tr>
      <w:tr w:rsidR="00C618D9" w:rsidRPr="005342DA" w14:paraId="7F14FE4F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22E884FA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Next meeting</w:t>
            </w:r>
          </w:p>
        </w:tc>
        <w:tc>
          <w:tcPr>
            <w:tcW w:w="5227" w:type="dxa"/>
            <w:vAlign w:val="center"/>
          </w:tcPr>
          <w:p w14:paraId="4D422F14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30 August 2026, 9:00–11:00 PM</w:t>
            </w:r>
          </w:p>
        </w:tc>
      </w:tr>
    </w:tbl>
    <w:p w14:paraId="636D1A0D" w14:textId="77777777" w:rsidR="00C618D9" w:rsidRPr="005342DA" w:rsidRDefault="00C618D9">
      <w:pPr>
        <w:spacing w:after="20"/>
        <w:rPr>
          <w:rFonts w:ascii="Times New Roman" w:hAnsi="Times New Roman" w:cs="Times New Roman"/>
          <w:sz w:val="22"/>
        </w:rPr>
      </w:pPr>
    </w:p>
    <w:p w14:paraId="6B8D6094" w14:textId="77777777" w:rsidR="00C618D9" w:rsidRPr="005342DA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5342DA">
        <w:rPr>
          <w:rFonts w:ascii="Times New Roman" w:hAnsi="Times New Roman" w:cs="Times New Roman"/>
          <w:sz w:val="22"/>
          <w:szCs w:val="22"/>
        </w:rPr>
        <w:t>1. Review of 19 August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1567"/>
        <w:gridCol w:w="5621"/>
      </w:tblGrid>
      <w:tr w:rsidR="00C618D9" w:rsidRPr="005342DA" w14:paraId="1E0E43C9" w14:textId="77777777">
        <w:trPr>
          <w:cantSplit/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9BEF146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Action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1D3AC64D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Status</w:t>
            </w:r>
          </w:p>
        </w:tc>
        <w:tc>
          <w:tcPr>
            <w:tcW w:w="5760" w:type="dxa"/>
            <w:shd w:val="clear" w:color="auto" w:fill="D9EAF7"/>
            <w:vAlign w:val="center"/>
          </w:tcPr>
          <w:p w14:paraId="72D63077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Outcome</w:t>
            </w:r>
          </w:p>
        </w:tc>
      </w:tr>
      <w:tr w:rsidR="00C618D9" w:rsidRPr="005342DA" w14:paraId="26C4757B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244B47EB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Shared schema/common helpers</w:t>
            </w:r>
          </w:p>
        </w:tc>
        <w:tc>
          <w:tcPr>
            <w:tcW w:w="1584" w:type="dxa"/>
            <w:vAlign w:val="center"/>
          </w:tcPr>
          <w:p w14:paraId="7712CA4D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5760" w:type="dxa"/>
            <w:vAlign w:val="center"/>
          </w:tcPr>
          <w:p w14:paraId="26E7D433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Common contract enabled source-specific modules to be integrated without redesign.</w:t>
            </w:r>
          </w:p>
        </w:tc>
      </w:tr>
      <w:tr w:rsidR="00C618D9" w:rsidRPr="005342DA" w14:paraId="2DE5DBF9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59DBB810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NEM archive coverage</w:t>
            </w:r>
          </w:p>
        </w:tc>
        <w:tc>
          <w:tcPr>
            <w:tcW w:w="1584" w:type="dxa"/>
            <w:vAlign w:val="center"/>
          </w:tcPr>
          <w:p w14:paraId="5D31297C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5760" w:type="dxa"/>
            <w:vAlign w:val="center"/>
          </w:tcPr>
          <w:p w14:paraId="4211548F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Current-month archive publication behaviour confirmed.</w:t>
            </w:r>
          </w:p>
        </w:tc>
      </w:tr>
      <w:tr w:rsidR="00C618D9" w:rsidRPr="005342DA" w14:paraId="73E3AC50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6634BA1E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WA 2022/legacy/current source route</w:t>
            </w:r>
          </w:p>
        </w:tc>
        <w:tc>
          <w:tcPr>
            <w:tcW w:w="1584" w:type="dxa"/>
            <w:vAlign w:val="center"/>
          </w:tcPr>
          <w:p w14:paraId="0FD508DD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5760" w:type="dxa"/>
            <w:vAlign w:val="center"/>
          </w:tcPr>
          <w:p w14:paraId="7AC1B257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Legacy, current-market and daily WEM paths integrated around the 1 Oct 2023 cutover.</w:t>
            </w:r>
          </w:p>
        </w:tc>
      </w:tr>
      <w:tr w:rsidR="00C618D9" w:rsidRPr="005342DA" w14:paraId="7EB10B40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00566AE2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Dispatch/pre-dispatch behaviour</w:t>
            </w:r>
          </w:p>
        </w:tc>
        <w:tc>
          <w:tcPr>
            <w:tcW w:w="1584" w:type="dxa"/>
            <w:vAlign w:val="center"/>
          </w:tcPr>
          <w:p w14:paraId="0E4F1049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5760" w:type="dxa"/>
            <w:vAlign w:val="center"/>
          </w:tcPr>
          <w:p w14:paraId="0A306C22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Mixed PERIODTYPE confirmed; views remain separate.</w:t>
            </w:r>
          </w:p>
        </w:tc>
      </w:tr>
      <w:tr w:rsidR="00C618D9" w:rsidRPr="005342DA" w14:paraId="18521662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6909A3C5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Repeatable acquisition validation</w:t>
            </w:r>
          </w:p>
        </w:tc>
        <w:tc>
          <w:tcPr>
            <w:tcW w:w="1584" w:type="dxa"/>
            <w:vAlign w:val="center"/>
          </w:tcPr>
          <w:p w14:paraId="31DCA2D8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5760" w:type="dxa"/>
            <w:vAlign w:val="center"/>
          </w:tcPr>
          <w:p w14:paraId="78600FFB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Written files re-read and checked for coverage/duplicates/gaps.</w:t>
            </w:r>
          </w:p>
        </w:tc>
      </w:tr>
      <w:tr w:rsidR="00C618D9" w:rsidRPr="005342DA" w14:paraId="1B5B223F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20316D5E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NT scope documentation</w:t>
            </w:r>
          </w:p>
        </w:tc>
        <w:tc>
          <w:tcPr>
            <w:tcW w:w="1584" w:type="dxa"/>
            <w:vAlign w:val="center"/>
          </w:tcPr>
          <w:p w14:paraId="233D78BB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Completed for demand</w:t>
            </w:r>
          </w:p>
        </w:tc>
        <w:tc>
          <w:tcPr>
            <w:tcW w:w="5760" w:type="dxa"/>
            <w:vAlign w:val="center"/>
          </w:tcPr>
          <w:p w14:paraId="084D5FA6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 xml:space="preserve">No NT operational-demand file expected; feature-only </w:t>
            </w:r>
            <w:proofErr w:type="gramStart"/>
            <w:r w:rsidRPr="005342DA">
              <w:rPr>
                <w:rFonts w:ascii="Times New Roman" w:hAnsi="Times New Roman" w:cs="Times New Roman"/>
                <w:sz w:val="22"/>
              </w:rPr>
              <w:t>question</w:t>
            </w:r>
            <w:proofErr w:type="gramEnd"/>
            <w:r w:rsidRPr="005342DA">
              <w:rPr>
                <w:rFonts w:ascii="Times New Roman" w:hAnsi="Times New Roman" w:cs="Times New Roman"/>
                <w:sz w:val="22"/>
              </w:rPr>
              <w:t xml:space="preserve"> remained temporarily open at this point.</w:t>
            </w:r>
          </w:p>
        </w:tc>
      </w:tr>
      <w:tr w:rsidR="00C618D9" w:rsidRPr="005342DA" w14:paraId="0EFD1770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123D948B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Bring modules for integration</w:t>
            </w:r>
          </w:p>
        </w:tc>
        <w:tc>
          <w:tcPr>
            <w:tcW w:w="1584" w:type="dxa"/>
            <w:vAlign w:val="center"/>
          </w:tcPr>
          <w:p w14:paraId="5F78612D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5760" w:type="dxa"/>
            <w:vAlign w:val="center"/>
          </w:tcPr>
          <w:p w14:paraId="2834DC88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One executable acquisition entry point assembled.</w:t>
            </w:r>
          </w:p>
        </w:tc>
      </w:tr>
    </w:tbl>
    <w:p w14:paraId="1E78E8D9" w14:textId="77777777" w:rsidR="00C618D9" w:rsidRPr="005342DA" w:rsidRDefault="00C618D9">
      <w:pPr>
        <w:spacing w:after="20"/>
        <w:rPr>
          <w:rFonts w:ascii="Times New Roman" w:hAnsi="Times New Roman" w:cs="Times New Roman"/>
          <w:sz w:val="22"/>
        </w:rPr>
      </w:pPr>
    </w:p>
    <w:p w14:paraId="1F899969" w14:textId="77777777" w:rsidR="00C618D9" w:rsidRPr="005342DA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5342DA">
        <w:rPr>
          <w:rFonts w:ascii="Times New Roman" w:hAnsi="Times New Roman" w:cs="Times New Roman"/>
          <w:sz w:val="22"/>
          <w:szCs w:val="22"/>
        </w:rPr>
        <w:t>2. Four workstreams integrated into one acquisition pipeline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7"/>
        <w:gridCol w:w="5622"/>
        <w:gridCol w:w="3425"/>
      </w:tblGrid>
      <w:tr w:rsidR="00C618D9" w:rsidRPr="005342DA" w14:paraId="780FACCE" w14:textId="77777777">
        <w:trPr>
          <w:cantSplit/>
          <w:tblHeader/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7CCF1D0B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Owner</w:t>
            </w:r>
          </w:p>
        </w:tc>
        <w:tc>
          <w:tcPr>
            <w:tcW w:w="5904" w:type="dxa"/>
            <w:shd w:val="clear" w:color="auto" w:fill="D9EAF7"/>
            <w:vAlign w:val="center"/>
          </w:tcPr>
          <w:p w14:paraId="309A2F46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Integrated technical responsibility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6146912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Outputs / interface</w:t>
            </w:r>
          </w:p>
        </w:tc>
      </w:tr>
      <w:tr w:rsidR="00C618D9" w:rsidRPr="005342DA" w14:paraId="44153E45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0C654FCD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Suraj</w:t>
            </w:r>
          </w:p>
        </w:tc>
        <w:tc>
          <w:tcPr>
            <w:tcW w:w="5904" w:type="dxa"/>
            <w:vAlign w:val="center"/>
          </w:tcPr>
          <w:p w14:paraId="25B333C8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NEM monthly archive, five regions, source columns/timestamps, duplicate protection.</w:t>
            </w:r>
          </w:p>
        </w:tc>
        <w:tc>
          <w:tcPr>
            <w:tcW w:w="3456" w:type="dxa"/>
            <w:vAlign w:val="center"/>
          </w:tcPr>
          <w:p w14:paraId="66D63DFF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price_and_demand/&lt;REGION&gt;</w:t>
            </w:r>
          </w:p>
        </w:tc>
      </w:tr>
      <w:tr w:rsidR="00C618D9" w:rsidRPr="005342DA" w14:paraId="444108C9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7E02C6B6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Sudip</w:t>
            </w:r>
          </w:p>
        </w:tc>
        <w:tc>
          <w:tcPr>
            <w:tcW w:w="5904" w:type="dxa"/>
            <w:vAlign w:val="center"/>
          </w:tcPr>
          <w:p w14:paraId="4B8E38AA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WA legacy 30-min + modern 5-min WEM, daily top-up, precedence, Market Requirements.</w:t>
            </w:r>
          </w:p>
        </w:tc>
        <w:tc>
          <w:tcPr>
            <w:tcW w:w="3456" w:type="dxa"/>
            <w:vAlign w:val="center"/>
          </w:tcPr>
          <w:p w14:paraId="2A20B809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WA demand + energy_requirement/</w:t>
            </w:r>
          </w:p>
        </w:tc>
      </w:tr>
      <w:tr w:rsidR="00C618D9" w:rsidRPr="005342DA" w14:paraId="48EC9031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0DFAE6DB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Ashish</w:t>
            </w:r>
          </w:p>
        </w:tc>
        <w:tc>
          <w:tcPr>
            <w:tcW w:w="5904" w:type="dxa"/>
            <w:vAlign w:val="center"/>
          </w:tcPr>
          <w:p w14:paraId="6D771F3F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AEMO dashboard dispatch/pre-dispatch snapshots; PERIODTYPE separation and fault isolation.</w:t>
            </w:r>
          </w:p>
        </w:tc>
        <w:tc>
          <w:tcPr>
            <w:tcW w:w="3456" w:type="dxa"/>
            <w:vAlign w:val="center"/>
          </w:tcPr>
          <w:p w14:paraId="0DF69CDD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dispatch/ and predispatch/</w:t>
            </w:r>
          </w:p>
        </w:tc>
      </w:tr>
      <w:tr w:rsidR="00C618D9" w:rsidRPr="005342DA" w14:paraId="106F64AC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366493B3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Bishal</w:t>
            </w:r>
          </w:p>
        </w:tc>
        <w:tc>
          <w:tcPr>
            <w:tcW w:w="5904" w:type="dxa"/>
            <w:vAlign w:val="center"/>
          </w:tcPr>
          <w:p w14:paraId="4B830315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Weather/public holidays and validation checks.</w:t>
            </w:r>
          </w:p>
        </w:tc>
        <w:tc>
          <w:tcPr>
            <w:tcW w:w="3456" w:type="dxa"/>
            <w:vAlign w:val="center"/>
          </w:tcPr>
          <w:p w14:paraId="7C1A1A49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weather/ (then BOM-oriented), public_holidays/, validation evidence</w:t>
            </w:r>
          </w:p>
        </w:tc>
      </w:tr>
      <w:tr w:rsidR="00C618D9" w:rsidRPr="005342DA" w14:paraId="173E869B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1C75E198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All</w:t>
            </w:r>
          </w:p>
        </w:tc>
        <w:tc>
          <w:tcPr>
            <w:tcW w:w="5904" w:type="dxa"/>
            <w:vAlign w:val="center"/>
          </w:tcPr>
          <w:p w14:paraId="715C4627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Shared configuration, folders, execution order, logging, errors and documentation.</w:t>
            </w:r>
          </w:p>
        </w:tc>
        <w:tc>
          <w:tcPr>
            <w:tcW w:w="3456" w:type="dxa"/>
            <w:vAlign w:val="center"/>
          </w:tcPr>
          <w:p w14:paraId="7BFC405F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Single integrated Data Acquisition pipeline</w:t>
            </w:r>
          </w:p>
        </w:tc>
      </w:tr>
    </w:tbl>
    <w:p w14:paraId="54BEB928" w14:textId="77777777" w:rsidR="00C618D9" w:rsidRPr="005342DA" w:rsidRDefault="00C618D9">
      <w:pPr>
        <w:spacing w:after="20"/>
        <w:rPr>
          <w:rFonts w:ascii="Times New Roman" w:hAnsi="Times New Roman" w:cs="Times New Roman"/>
          <w:sz w:val="22"/>
        </w:rPr>
      </w:pPr>
    </w:p>
    <w:p w14:paraId="33D20CFF" w14:textId="77777777" w:rsidR="00C618D9" w:rsidRPr="005342DA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5342DA">
        <w:rPr>
          <w:rFonts w:ascii="Times New Roman" w:hAnsi="Times New Roman" w:cs="Times New Roman"/>
          <w:sz w:val="22"/>
          <w:szCs w:val="22"/>
        </w:rPr>
        <w:t>3. Integration issues found</w:t>
      </w:r>
    </w:p>
    <w:p w14:paraId="1C4967D5" w14:textId="77777777" w:rsidR="00C618D9" w:rsidRPr="005342DA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2"/>
        </w:rPr>
      </w:pPr>
      <w:r w:rsidRPr="005342DA">
        <w:rPr>
          <w:rFonts w:ascii="Times New Roman" w:hAnsi="Times New Roman" w:cs="Times New Roman"/>
          <w:sz w:val="22"/>
        </w:rPr>
        <w:t>WA feature-loop omission: the first integration used the NEM region list for feature acquisition, so the region scope had to be separated from demand-source scope.</w:t>
      </w:r>
    </w:p>
    <w:p w14:paraId="47211E03" w14:textId="77777777" w:rsidR="00C618D9" w:rsidRPr="005342DA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2"/>
        </w:rPr>
      </w:pPr>
      <w:r w:rsidRPr="005342DA">
        <w:rPr>
          <w:rFonts w:ascii="Times New Roman" w:hAnsi="Times New Roman" w:cs="Times New Roman"/>
          <w:sz w:val="22"/>
        </w:rPr>
        <w:t>Pipeline stall: an unbounded WA daily top-up loop prevented later dashboard acquisition. Sudip bounded the request window; Suraj prioritised time-sensitive snapshots; Ashish added step-level error isolation.</w:t>
      </w:r>
    </w:p>
    <w:p w14:paraId="5C892571" w14:textId="77777777" w:rsidR="00C618D9" w:rsidRPr="005342DA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2"/>
        </w:rPr>
      </w:pPr>
      <w:r w:rsidRPr="005342DA">
        <w:rPr>
          <w:rFonts w:ascii="Times New Roman" w:hAnsi="Times New Roman" w:cs="Times New Roman"/>
          <w:sz w:val="22"/>
        </w:rPr>
        <w:lastRenderedPageBreak/>
        <w:t>NT scope remained inconsistent across early files. The meeting retained no NT demand and left the feature-only question visible for later closure rather than silently dropping it.</w:t>
      </w:r>
    </w:p>
    <w:p w14:paraId="146E3D6A" w14:textId="77777777" w:rsidR="00C618D9" w:rsidRPr="005342DA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5342DA">
        <w:rPr>
          <w:rFonts w:ascii="Times New Roman" w:hAnsi="Times New Roman" w:cs="Times New Roman"/>
          <w:sz w:val="22"/>
          <w:szCs w:val="22"/>
        </w:rPr>
        <w:t>4. Acquisition validation and acceptance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9"/>
        <w:gridCol w:w="4925"/>
        <w:gridCol w:w="3460"/>
      </w:tblGrid>
      <w:tr w:rsidR="00C618D9" w:rsidRPr="005342DA" w14:paraId="6DA3D82E" w14:textId="77777777">
        <w:trPr>
          <w:cantSplit/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6436CB6B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Validation area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2526C5C1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Evidence / method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5B7D3695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Outcome</w:t>
            </w:r>
          </w:p>
        </w:tc>
      </w:tr>
      <w:tr w:rsidR="00C618D9" w:rsidRPr="005342DA" w14:paraId="6BCE2734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41A945B0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NEM history</w:t>
            </w:r>
          </w:p>
        </w:tc>
        <w:tc>
          <w:tcPr>
            <w:tcW w:w="5184" w:type="dxa"/>
            <w:vAlign w:val="center"/>
          </w:tcPr>
          <w:p w14:paraId="15E336D9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First/last timestamps and interval coverage checked against AEMO source.</w:t>
            </w:r>
          </w:p>
        </w:tc>
        <w:tc>
          <w:tcPr>
            <w:tcW w:w="3600" w:type="dxa"/>
            <w:vAlign w:val="center"/>
          </w:tcPr>
          <w:p w14:paraId="48BBE85E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Reviewed regions matched expected source coverage.</w:t>
            </w:r>
          </w:p>
        </w:tc>
      </w:tr>
      <w:tr w:rsidR="00C618D9" w:rsidRPr="005342DA" w14:paraId="62273086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5EC2D38D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Duplicate timestamps</w:t>
            </w:r>
          </w:p>
        </w:tc>
        <w:tc>
          <w:tcPr>
            <w:tcW w:w="5184" w:type="dxa"/>
            <w:vAlign w:val="center"/>
          </w:tcPr>
          <w:p w14:paraId="733AA428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Validation logic across written demand files.</w:t>
            </w:r>
          </w:p>
        </w:tc>
        <w:tc>
          <w:tcPr>
            <w:tcW w:w="3600" w:type="dxa"/>
            <w:vAlign w:val="center"/>
          </w:tcPr>
          <w:p w14:paraId="2BB88DDD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No duplicate demand timestamps reported in reviewed outputs.</w:t>
            </w:r>
          </w:p>
        </w:tc>
      </w:tr>
      <w:tr w:rsidR="00C618D9" w:rsidRPr="005342DA" w14:paraId="06108EE0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147D6B56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AEMO dashboard</w:t>
            </w:r>
          </w:p>
        </w:tc>
        <w:tc>
          <w:tcPr>
            <w:tcW w:w="5184" w:type="dxa"/>
            <w:vAlign w:val="center"/>
          </w:tcPr>
          <w:p w14:paraId="2A8B6FE0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Output counts and PERIODTYPE composition.</w:t>
            </w:r>
          </w:p>
        </w:tc>
        <w:tc>
          <w:tcPr>
            <w:tcW w:w="3600" w:type="dxa"/>
            <w:vAlign w:val="center"/>
          </w:tcPr>
          <w:p w14:paraId="424FAF9A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Expected region files produced; ACTUAL/FORECAST separation retained.</w:t>
            </w:r>
          </w:p>
        </w:tc>
      </w:tr>
      <w:tr w:rsidR="00C618D9" w:rsidRPr="005342DA" w14:paraId="6B5C7B2A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4445D861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WA cutover</w:t>
            </w:r>
          </w:p>
        </w:tc>
        <w:tc>
          <w:tcPr>
            <w:tcW w:w="5184" w:type="dxa"/>
            <w:vAlign w:val="center"/>
          </w:tcPr>
          <w:p w14:paraId="468AD323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Observations around 1 Oct 2023.</w:t>
            </w:r>
          </w:p>
        </w:tc>
        <w:tc>
          <w:tcPr>
            <w:tcW w:w="3600" w:type="dxa"/>
            <w:vAlign w:val="center"/>
          </w:tcPr>
          <w:p w14:paraId="56D2ADA5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Legacy 30-minute and modern 5-minute regimes preserved with interval metadata.</w:t>
            </w:r>
          </w:p>
        </w:tc>
      </w:tr>
      <w:tr w:rsidR="00C618D9" w:rsidRPr="005342DA" w14:paraId="08BBF09C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55EDED7F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WA target selection</w:t>
            </w:r>
          </w:p>
        </w:tc>
        <w:tc>
          <w:tcPr>
            <w:tcW w:w="5184" w:type="dxa"/>
            <w:vAlign w:val="center"/>
          </w:tcPr>
          <w:p w14:paraId="23BD0910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Demand/withdrawal/forecast columns reviewed.</w:t>
            </w:r>
          </w:p>
        </w:tc>
        <w:tc>
          <w:tcPr>
            <w:tcW w:w="3600" w:type="dxa"/>
            <w:vAlign w:val="center"/>
          </w:tcPr>
          <w:p w14:paraId="2611822E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 xml:space="preserve">Operational demand </w:t>
            </w:r>
            <w:proofErr w:type="gramStart"/>
            <w:r w:rsidRPr="005342DA">
              <w:rPr>
                <w:rFonts w:ascii="Times New Roman" w:hAnsi="Times New Roman" w:cs="Times New Roman"/>
                <w:sz w:val="22"/>
              </w:rPr>
              <w:t>retained</w:t>
            </w:r>
            <w:proofErr w:type="gramEnd"/>
            <w:r w:rsidRPr="005342DA">
              <w:rPr>
                <w:rFonts w:ascii="Times New Roman" w:hAnsi="Times New Roman" w:cs="Times New Roman"/>
                <w:sz w:val="22"/>
              </w:rPr>
              <w:t>; non-target columns excluded.</w:t>
            </w:r>
          </w:p>
        </w:tc>
      </w:tr>
      <w:tr w:rsidR="00C618D9" w:rsidRPr="005342DA" w14:paraId="3451C7B3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2D0A589B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Public holidays</w:t>
            </w:r>
          </w:p>
        </w:tc>
        <w:tc>
          <w:tcPr>
            <w:tcW w:w="5184" w:type="dxa"/>
            <w:vAlign w:val="center"/>
          </w:tcPr>
          <w:p w14:paraId="00F5F42D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State-specific calendars checked.</w:t>
            </w:r>
          </w:p>
        </w:tc>
        <w:tc>
          <w:tcPr>
            <w:tcW w:w="3600" w:type="dxa"/>
            <w:vAlign w:val="center"/>
          </w:tcPr>
          <w:p w14:paraId="76A508DC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Regional logic retained.</w:t>
            </w:r>
          </w:p>
        </w:tc>
      </w:tr>
      <w:tr w:rsidR="00C618D9" w:rsidRPr="005342DA" w14:paraId="6ABB75F5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4066F312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Failure isolation</w:t>
            </w:r>
          </w:p>
        </w:tc>
        <w:tc>
          <w:tcPr>
            <w:tcW w:w="5184" w:type="dxa"/>
            <w:vAlign w:val="center"/>
          </w:tcPr>
          <w:p w14:paraId="4887D999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Independent source failures tested/observed.</w:t>
            </w:r>
          </w:p>
        </w:tc>
        <w:tc>
          <w:tcPr>
            <w:tcW w:w="3600" w:type="dxa"/>
            <w:vAlign w:val="center"/>
          </w:tcPr>
          <w:p w14:paraId="1EB3972E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One source failure no longer blocks unrelated stages.</w:t>
            </w:r>
          </w:p>
        </w:tc>
      </w:tr>
    </w:tbl>
    <w:p w14:paraId="34A92553" w14:textId="77777777" w:rsidR="00C618D9" w:rsidRPr="005342DA" w:rsidRDefault="00C618D9">
      <w:pPr>
        <w:spacing w:after="20"/>
        <w:rPr>
          <w:rFonts w:ascii="Times New Roman" w:hAnsi="Times New Roman" w:cs="Times New Roman"/>
          <w:sz w:val="22"/>
        </w:rPr>
      </w:pPr>
    </w:p>
    <w:p w14:paraId="5809BB84" w14:textId="77777777" w:rsidR="00C618D9" w:rsidRPr="005342DA" w:rsidRDefault="00000000">
      <w:pPr>
        <w:pStyle w:val="Decision"/>
        <w:rPr>
          <w:rFonts w:ascii="Times New Roman" w:hAnsi="Times New Roman" w:cs="Times New Roman"/>
          <w:sz w:val="22"/>
        </w:rPr>
      </w:pPr>
      <w:r w:rsidRPr="005342DA">
        <w:rPr>
          <w:rFonts w:ascii="Times New Roman" w:hAnsi="Times New Roman" w:cs="Times New Roman"/>
          <w:sz w:val="22"/>
        </w:rPr>
        <w:t>DECISION: The working WP1 acquisition pipeline was accepted as the source layer; analytical resampling, time harmonisation, missing-data treatment and feature engineering were explicitly deferred to WP2.</w:t>
      </w:r>
    </w:p>
    <w:p w14:paraId="086B930B" w14:textId="77777777" w:rsidR="00C618D9" w:rsidRPr="005342DA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5342DA">
        <w:rPr>
          <w:rFonts w:ascii="Times New Roman" w:hAnsi="Times New Roman" w:cs="Times New Roman"/>
          <w:sz w:val="22"/>
          <w:szCs w:val="22"/>
        </w:rPr>
        <w:t>5. WP2 work allocation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7"/>
        <w:gridCol w:w="5468"/>
        <w:gridCol w:w="3569"/>
      </w:tblGrid>
      <w:tr w:rsidR="00C618D9" w:rsidRPr="005342DA" w14:paraId="15206E80" w14:textId="77777777">
        <w:trPr>
          <w:cantSplit/>
          <w:tblHeader/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21F4C98A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Member</w:t>
            </w:r>
          </w:p>
        </w:tc>
        <w:tc>
          <w:tcPr>
            <w:tcW w:w="5760" w:type="dxa"/>
            <w:shd w:val="clear" w:color="auto" w:fill="D9EAF7"/>
            <w:vAlign w:val="center"/>
          </w:tcPr>
          <w:p w14:paraId="46E483FB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WP2 responsibility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47A80DA6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color w:val="14375F"/>
                <w:sz w:val="22"/>
              </w:rPr>
              <w:t>Cross-review dependency</w:t>
            </w:r>
          </w:p>
        </w:tc>
      </w:tr>
      <w:tr w:rsidR="00C618D9" w:rsidRPr="005342DA" w14:paraId="42520A07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183BEC22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Suraj</w:t>
            </w:r>
          </w:p>
        </w:tc>
        <w:tc>
          <w:tcPr>
            <w:tcW w:w="5760" w:type="dxa"/>
            <w:vAlign w:val="center"/>
          </w:tcPr>
          <w:p w14:paraId="4DDEA0B4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Schemas, timestamps, duplicate/gap checks, 30-minute harmonisation, regional consistency.</w:t>
            </w:r>
          </w:p>
        </w:tc>
        <w:tc>
          <w:tcPr>
            <w:tcW w:w="3744" w:type="dxa"/>
            <w:vAlign w:val="center"/>
          </w:tcPr>
          <w:p w14:paraId="70C7F6C0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Works with Sudip on WA source exceptions; outputs reviewed independently.</w:t>
            </w:r>
          </w:p>
        </w:tc>
      </w:tr>
      <w:tr w:rsidR="00C618D9" w:rsidRPr="005342DA" w14:paraId="38440F6F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60578622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Sudip</w:t>
            </w:r>
          </w:p>
        </w:tc>
        <w:tc>
          <w:tcPr>
            <w:tcW w:w="5760" w:type="dxa"/>
            <w:vAlign w:val="center"/>
          </w:tcPr>
          <w:p w14:paraId="18C1AD28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Source integrity, WA resolution/cutover, provenance, missing/gap interpretation, corrections.</w:t>
            </w:r>
          </w:p>
        </w:tc>
        <w:tc>
          <w:tcPr>
            <w:tcW w:w="3744" w:type="dxa"/>
            <w:vAlign w:val="center"/>
          </w:tcPr>
          <w:p w14:paraId="591C9319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Constrains harmonisation and feature treatment.</w:t>
            </w:r>
          </w:p>
        </w:tc>
      </w:tr>
      <w:tr w:rsidR="00C618D9" w:rsidRPr="005342DA" w14:paraId="5B5E57D3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2610D7A3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Ashish</w:t>
            </w:r>
          </w:p>
        </w:tc>
        <w:tc>
          <w:tcPr>
            <w:tcW w:w="5760" w:type="dxa"/>
            <w:vAlign w:val="center"/>
          </w:tcPr>
          <w:p w14:paraId="6F2D5889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Forecast-readiness EDA, transformations, lag/rolling features, leakage controls.</w:t>
            </w:r>
          </w:p>
        </w:tc>
        <w:tc>
          <w:tcPr>
            <w:tcW w:w="3744" w:type="dxa"/>
            <w:vAlign w:val="center"/>
          </w:tcPr>
          <w:p w14:paraId="39AA752F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Consumes engineered grid; evidence reviewed by Bishal.</w:t>
            </w:r>
          </w:p>
        </w:tc>
      </w:tr>
      <w:tr w:rsidR="00C618D9" w:rsidRPr="005342DA" w14:paraId="77887F5D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4D5C2BFE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Bishal</w:t>
            </w:r>
          </w:p>
        </w:tc>
        <w:tc>
          <w:tcPr>
            <w:tcW w:w="5760" w:type="dxa"/>
            <w:vAlign w:val="center"/>
          </w:tcPr>
          <w:p w14:paraId="64109027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Validation/evidence, weather/calendar checks, processed-output verification.</w:t>
            </w:r>
          </w:p>
        </w:tc>
        <w:tc>
          <w:tcPr>
            <w:tcW w:w="3744" w:type="dxa"/>
            <w:vAlign w:val="center"/>
          </w:tcPr>
          <w:p w14:paraId="6A77230C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Independent review of all workstreams.</w:t>
            </w:r>
          </w:p>
        </w:tc>
      </w:tr>
      <w:tr w:rsidR="00C618D9" w:rsidRPr="005342DA" w14:paraId="47145E61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4A8B043A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All</w:t>
            </w:r>
          </w:p>
        </w:tc>
        <w:tc>
          <w:tcPr>
            <w:tcW w:w="5760" w:type="dxa"/>
            <w:vAlign w:val="center"/>
          </w:tcPr>
          <w:p w14:paraId="522DFF35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Integrate one preprocessing pipeline and agree the final feature contract.</w:t>
            </w:r>
          </w:p>
        </w:tc>
        <w:tc>
          <w:tcPr>
            <w:tcW w:w="3744" w:type="dxa"/>
            <w:vAlign w:val="center"/>
          </w:tcPr>
          <w:p w14:paraId="49A481CC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sz w:val="22"/>
              </w:rPr>
              <w:t>Cross-review before acceptance.</w:t>
            </w:r>
          </w:p>
        </w:tc>
      </w:tr>
    </w:tbl>
    <w:p w14:paraId="73757EF6" w14:textId="77777777" w:rsidR="00C618D9" w:rsidRPr="005342DA" w:rsidRDefault="00C618D9">
      <w:pPr>
        <w:spacing w:after="20"/>
        <w:rPr>
          <w:rFonts w:ascii="Times New Roman" w:hAnsi="Times New Roman" w:cs="Times New Roman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44"/>
      </w:tblGrid>
      <w:tr w:rsidR="00C618D9" w:rsidRPr="005342DA" w14:paraId="461B1A6A" w14:textId="77777777">
        <w:trPr>
          <w:cantSplit/>
          <w:tblHeader/>
          <w:jc w:val="center"/>
        </w:trPr>
        <w:tc>
          <w:tcPr>
            <w:tcW w:w="10454" w:type="dxa"/>
            <w:shd w:val="clear" w:color="auto" w:fill="FFF2CC"/>
          </w:tcPr>
          <w:p w14:paraId="7D948765" w14:textId="77777777" w:rsidR="00C618D9" w:rsidRPr="005342D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342DA">
              <w:rPr>
                <w:rFonts w:ascii="Times New Roman" w:hAnsi="Times New Roman" w:cs="Times New Roman"/>
                <w:b/>
                <w:sz w:val="22"/>
              </w:rPr>
              <w:t xml:space="preserve">Subsequent source change. </w:t>
            </w:r>
            <w:r w:rsidRPr="005342DA">
              <w:rPr>
                <w:rFonts w:ascii="Times New Roman" w:hAnsi="Times New Roman" w:cs="Times New Roman"/>
                <w:sz w:val="22"/>
              </w:rPr>
              <w:t>The feature-only NT idea recorded at this meeting was later removed from the final WP1 implementation, and the unsuccessful BOM route was ultimately replaced by ERA5/ECMWF. The change is kept visible as an evolution of the design rather than editing this meeting to make it appear the final source decision existed on 23 August.</w:t>
            </w:r>
          </w:p>
        </w:tc>
      </w:tr>
    </w:tbl>
    <w:p w14:paraId="2967FAF9" w14:textId="6FD59FCE" w:rsidR="00C618D9" w:rsidRPr="005342DA" w:rsidRDefault="00C618D9">
      <w:pPr>
        <w:rPr>
          <w:rFonts w:ascii="Times New Roman" w:hAnsi="Times New Roman" w:cs="Times New Roman"/>
          <w:sz w:val="22"/>
        </w:rPr>
      </w:pPr>
    </w:p>
    <w:sectPr w:rsidR="00C618D9" w:rsidRPr="005342DA" w:rsidSect="00034616">
      <w:footerReference w:type="default" r:id="rId8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4FE96" w14:textId="77777777" w:rsidR="00F43DC6" w:rsidRDefault="00F43DC6">
      <w:pPr>
        <w:spacing w:after="0" w:line="240" w:lineRule="auto"/>
      </w:pPr>
      <w:r>
        <w:separator/>
      </w:r>
    </w:p>
  </w:endnote>
  <w:endnote w:type="continuationSeparator" w:id="0">
    <w:p w14:paraId="15F7E324" w14:textId="77777777" w:rsidR="00F43DC6" w:rsidRDefault="00F43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46A25" w14:textId="77777777" w:rsidR="00C618D9" w:rsidRDefault="00000000">
    <w:pPr>
      <w:pStyle w:val="Footer"/>
      <w:jc w:val="right"/>
    </w:pPr>
    <w:r>
      <w:rPr>
        <w:rFonts w:ascii="Arial" w:hAnsi="Arial"/>
      </w:rPr>
      <w:t xml:space="preserve">PRT661 | Dan6: Theme 2 | Meeting 2 | Page </w:t>
    </w:r>
    <w:r>
      <w:fldChar w:fldCharType="begin"/>
    </w:r>
    <w:r>
      <w:instrText xml:space="preserve"> PAGE </w:instrText>
    </w:r>
    <w:r w:rsidR="003B76C7">
      <w:fldChar w:fldCharType="separate"/>
    </w:r>
    <w:r w:rsidR="003B76C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228C9" w14:textId="77777777" w:rsidR="00F43DC6" w:rsidRDefault="00F43DC6">
      <w:pPr>
        <w:spacing w:after="0" w:line="240" w:lineRule="auto"/>
      </w:pPr>
      <w:r>
        <w:separator/>
      </w:r>
    </w:p>
  </w:footnote>
  <w:footnote w:type="continuationSeparator" w:id="0">
    <w:p w14:paraId="58529D74" w14:textId="77777777" w:rsidR="00F43DC6" w:rsidRDefault="00F43D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539252">
    <w:abstractNumId w:val="8"/>
  </w:num>
  <w:num w:numId="2" w16cid:durableId="1165707255">
    <w:abstractNumId w:val="6"/>
  </w:num>
  <w:num w:numId="3" w16cid:durableId="1492939837">
    <w:abstractNumId w:val="5"/>
  </w:num>
  <w:num w:numId="4" w16cid:durableId="1396468767">
    <w:abstractNumId w:val="4"/>
  </w:num>
  <w:num w:numId="5" w16cid:durableId="1448699644">
    <w:abstractNumId w:val="7"/>
  </w:num>
  <w:num w:numId="6" w16cid:durableId="1297419352">
    <w:abstractNumId w:val="3"/>
  </w:num>
  <w:num w:numId="7" w16cid:durableId="1957369319">
    <w:abstractNumId w:val="2"/>
  </w:num>
  <w:num w:numId="8" w16cid:durableId="917204070">
    <w:abstractNumId w:val="1"/>
  </w:num>
  <w:num w:numId="9" w16cid:durableId="195434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76C7"/>
    <w:rsid w:val="005342DA"/>
    <w:rsid w:val="00800E7E"/>
    <w:rsid w:val="00AA1D8D"/>
    <w:rsid w:val="00B47730"/>
    <w:rsid w:val="00C618D9"/>
    <w:rsid w:val="00CB0664"/>
    <w:rsid w:val="00F43D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D8BDF1"/>
  <w14:defaultImageDpi w14:val="300"/>
  <w15:docId w15:val="{17226F8C-599D-4628-9621-EF33F1A48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337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3376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i/>
      <w:color w:val="505050"/>
      <w:sz w:val="17"/>
    </w:rPr>
  </w:style>
  <w:style w:type="paragraph" w:customStyle="1" w:styleId="Decision">
    <w:name w:val="Decision"/>
    <w:pPr>
      <w:spacing w:after="60"/>
      <w:ind w:left="216"/>
    </w:pPr>
    <w:rPr>
      <w:rFonts w:ascii="Aptos" w:hAnsi="Aptos"/>
      <w:b/>
      <w:color w:val="0061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PRT661 Dan6 Meeting 2 - 23 Aug 2026</dc:title>
  <dc:subject>PRT661 Data Science Practice - Australian Electricity Demand Forecasting</dc:subject>
  <dc:creator>Dan6 Group</dc:creator>
  <cp:keywords>PRT661, Dan6, Meeting 2, 23 Aug 2026</cp:keywords>
  <dc:description>generated by python-docx</dc:description>
  <cp:lastModifiedBy>Ashish Shrestha</cp:lastModifiedBy>
  <cp:revision>3</cp:revision>
  <dcterms:created xsi:type="dcterms:W3CDTF">2026-09-15T07:24:00Z</dcterms:created>
  <dcterms:modified xsi:type="dcterms:W3CDTF">2026-09-15T07:24:00Z</dcterms:modified>
  <cp:category/>
</cp:coreProperties>
</file>