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50A0"/>
          <w:sz w:val="56"/>
        </w:rPr>
        <w:t>LeaseFlow</w:t>
      </w:r>
    </w:p>
    <w:p>
      <w:pPr>
        <w:jc w:val="center"/>
      </w:pPr>
      <w:r>
        <w:rPr>
          <w:rFonts w:ascii="Arial" w:hAnsi="Arial"/>
          <w:b w:val="0"/>
          <w:color w:val="3C3C3C"/>
          <w:sz w:val="32"/>
        </w:rPr>
        <w:t>Architecture Analysis &amp; Sprint 1 Implementation Plan</w:t>
      </w:r>
    </w:p>
    <w:p>
      <w:pPr>
        <w:jc w:val="center"/>
      </w:pPr>
      <w:r>
        <w:rPr>
          <w:rFonts w:ascii="Arial" w:hAnsi="Arial"/>
          <w:b w:val="0"/>
          <w:color w:val="787878"/>
          <w:sz w:val="20"/>
        </w:rPr>
        <w:t>Prepared: June 06, 2026  |  Status: Pre-Development Review</w:t>
      </w:r>
    </w:p>
    <w:p>
      <w:r>
        <w:br w:type="page"/>
      </w:r>
    </w:p>
    <w:p>
      <w:pPr>
        <w:pStyle w:val="Heading1"/>
      </w:pPr>
      <w:r>
        <w:rPr>
          <w:rFonts w:ascii="Arial" w:hAnsi="Arial"/>
          <w:b/>
          <w:color w:val="1E50A0"/>
          <w:sz w:val="32"/>
        </w:rPr>
        <w:t>1. Executive Summary</w:t>
      </w:r>
    </w:p>
    <w:p>
      <w:pPr>
        <w:spacing w:after="120"/>
      </w:pPr>
      <w:r>
        <w:rPr>
          <w:rFonts w:ascii="Arial" w:hAnsi="Arial"/>
          <w:b w:val="0"/>
          <w:sz w:val="21"/>
        </w:rPr>
        <w:t>LeaseFlow is a multi-tenant SaaS platform designed to unify the residential leasing lifecycle — from prospect capture through e-signature and lease renewal — replacing the fragmented toolsets property managers use today. The design documentation is thorough and well-structured, covering domain modelling, multi-tenancy, security, API standards, and a phased roadmap. However, a review of the actual project files against the documentation surfaces several critical mismatches that must be resolved before Sprint 1 coding begins.</w:t>
      </w:r>
    </w:p>
    <w:p>
      <w:pPr>
        <w:spacing w:after="120"/>
      </w:pPr>
      <w:r>
        <w:rPr>
          <w:rFonts w:ascii="Arial" w:hAnsi="Arial"/>
          <w:b w:val="0"/>
          <w:sz w:val="21"/>
        </w:rPr>
        <w:t>This document records: (1) a summary of the proposed architecture, (2) identified risks and gaps ordered by severity, (3) concrete improvement recommendations, and (4) a detailed Sprint 1 task list covering Phase 0 (Project Foundation) and Phase 1 (Identity &amp; Access Management) from the roadmap.</w:t>
      </w:r>
    </w:p>
    <w:p>
      <w:pPr>
        <w:spacing w:after="120"/>
      </w:pPr>
    </w:p>
    <w:p>
      <w:pPr>
        <w:pStyle w:val="Heading1"/>
      </w:pPr>
      <w:r>
        <w:rPr>
          <w:rFonts w:ascii="Arial" w:hAnsi="Arial"/>
          <w:b/>
          <w:color w:val="1E50A0"/>
          <w:sz w:val="32"/>
        </w:rPr>
        <w:t>2. Architecture Summary</w:t>
      </w:r>
    </w:p>
    <w:p>
      <w:pPr>
        <w:pStyle w:val="Heading2"/>
      </w:pPr>
      <w:r>
        <w:rPr>
          <w:rFonts w:ascii="Arial" w:hAnsi="Arial"/>
          <w:b/>
          <w:color w:val="1E50A0"/>
          <w:sz w:val="26"/>
        </w:rPr>
        <w:t>2.1 Architectural Style</w:t>
      </w:r>
    </w:p>
    <w:p>
      <w:pPr>
        <w:spacing w:after="120"/>
      </w:pPr>
      <w:r>
        <w:rPr>
          <w:rFonts w:ascii="Arial" w:hAnsi="Arial"/>
          <w:b w:val="0"/>
          <w:sz w:val="21"/>
        </w:rPr>
        <w:t>Phase 1 uses a Modular Monolith: a single deployable Spring Boot application whose internal modules (auth, tenant, property, prospect, application, resident, lease, template, document, signature, notification, audit, reporting, shared) are separated by package boundaries. No module may directly access another module's repository; communication happens through service interfaces and internal domain events. This is the correct choice for early-stage delivery — it maximises development speed while keeping the domain boundaries clean enough for future microservice extraction.</w:t>
      </w:r>
    </w:p>
    <w:p>
      <w:pPr>
        <w:pStyle w:val="Heading2"/>
      </w:pPr>
      <w:r>
        <w:rPr>
          <w:rFonts w:ascii="Arial" w:hAnsi="Arial"/>
          <w:b/>
          <w:color w:val="1E50A0"/>
          <w:sz w:val="26"/>
        </w:rPr>
        <w:t>2.2 Multi-Tenancy</w:t>
      </w:r>
    </w:p>
    <w:p>
      <w:pPr>
        <w:spacing w:after="120"/>
      </w:pPr>
      <w:r>
        <w:rPr>
          <w:rFonts w:ascii="Arial" w:hAnsi="Arial"/>
          <w:b w:val="0"/>
          <w:sz w:val="21"/>
        </w:rPr>
        <w:t>Every business table carries a tenant_id column. The application security layer filters all queries by the JWT-derived tenant context. PostgreSQL Row-Level Security is deferred to the future. UUID primary keys are used throughout, which is appropriate for a multi-tenant SaaS system to prevent ID enumeration attacks.</w:t>
      </w:r>
    </w:p>
    <w:p>
      <w:pPr>
        <w:pStyle w:val="Heading2"/>
      </w:pPr>
      <w:r>
        <w:rPr>
          <w:rFonts w:ascii="Arial" w:hAnsi="Arial"/>
          <w:b/>
          <w:color w:val="1E50A0"/>
          <w:sz w:val="26"/>
        </w:rPr>
        <w:t>2.3 Security Architecture</w:t>
      </w:r>
    </w:p>
    <w:p>
      <w:pPr>
        <w:spacing w:after="120"/>
      </w:pPr>
      <w:r>
        <w:rPr>
          <w:rFonts w:ascii="Arial" w:hAnsi="Arial"/>
          <w:b w:val="0"/>
          <w:sz w:val="21"/>
        </w:rPr>
        <w:t>Authentication uses short-lived JWT access tokens paired with refresh tokens. Spring Security enforces RBAC across four roles: PLATFORM_ADMIN, PROPERTY_MANAGER, LEASING_AGENT, and RESIDENT. BCrypt is specified for password hashing. Audit logging covers all write operations on critical entities.</w:t>
      </w:r>
    </w:p>
    <w:p>
      <w:pPr>
        <w:pStyle w:val="Heading2"/>
      </w:pPr>
      <w:r>
        <w:rPr>
          <w:rFonts w:ascii="Arial" w:hAnsi="Arial"/>
          <w:b/>
          <w:color w:val="1E50A0"/>
          <w:sz w:val="26"/>
        </w:rPr>
        <w:t>2.4 Technology Stack</w:t>
      </w:r>
    </w:p>
    <w:p>
      <w:pPr>
        <w:spacing w:after="60"/>
      </w:pPr>
      <w:r>
        <w:rPr>
          <w:rFonts w:ascii="Arial" w:hAnsi="Arial"/>
          <w:b/>
          <w:sz w:val="21"/>
        </w:rPr>
        <w:t xml:space="preserve">Runtime: </w:t>
      </w:r>
      <w:r>
        <w:rPr>
          <w:rFonts w:ascii="Arial" w:hAnsi="Arial"/>
          <w:b w:val="0"/>
          <w:sz w:val="21"/>
        </w:rPr>
        <w:t>Java 21 — appropriate; virtual threads available for I/O-heavy workloads</w:t>
      </w:r>
    </w:p>
    <w:p>
      <w:pPr>
        <w:spacing w:after="60"/>
      </w:pPr>
      <w:r>
        <w:rPr>
          <w:rFonts w:ascii="Arial" w:hAnsi="Arial"/>
          <w:b/>
          <w:sz w:val="21"/>
        </w:rPr>
        <w:t xml:space="preserve">Framework: </w:t>
      </w:r>
      <w:r>
        <w:rPr>
          <w:rFonts w:ascii="Arial" w:hAnsi="Arial"/>
          <w:b w:val="0"/>
          <w:sz w:val="21"/>
        </w:rPr>
        <w:t>Spring Boot 4.0.6 (build.gradle) vs Spring Boot 3.x (ROADMAP.md) — mismatch; see Risks</w:t>
      </w:r>
    </w:p>
    <w:p>
      <w:pPr>
        <w:spacing w:after="60"/>
      </w:pPr>
      <w:r>
        <w:rPr>
          <w:rFonts w:ascii="Arial" w:hAnsi="Arial"/>
          <w:b/>
          <w:sz w:val="21"/>
        </w:rPr>
        <w:t xml:space="preserve">Database: </w:t>
      </w:r>
      <w:r>
        <w:rPr>
          <w:rFonts w:ascii="Arial" w:hAnsi="Arial"/>
          <w:b w:val="0"/>
          <w:sz w:val="21"/>
        </w:rPr>
        <w:t>PostgreSQL (all docs) vs MySQL connector (build.gradle) — critical mismatch; see Risks</w:t>
      </w:r>
    </w:p>
    <w:p>
      <w:pPr>
        <w:spacing w:after="60"/>
      </w:pPr>
      <w:r>
        <w:rPr>
          <w:rFonts w:ascii="Arial" w:hAnsi="Arial"/>
          <w:b/>
          <w:sz w:val="21"/>
        </w:rPr>
        <w:t xml:space="preserve">Migrations: </w:t>
      </w:r>
      <w:r>
        <w:rPr>
          <w:rFonts w:ascii="Arial" w:hAnsi="Arial"/>
          <w:b w:val="0"/>
          <w:sz w:val="21"/>
        </w:rPr>
        <w:t>Flyway — referenced in roadmap; not yet in build.gradle</w:t>
      </w:r>
    </w:p>
    <w:p>
      <w:pPr>
        <w:spacing w:after="60"/>
      </w:pPr>
      <w:r>
        <w:rPr>
          <w:rFonts w:ascii="Arial" w:hAnsi="Arial"/>
          <w:b/>
          <w:sz w:val="21"/>
        </w:rPr>
        <w:t xml:space="preserve">Storage: </w:t>
      </w:r>
      <w:r>
        <w:rPr>
          <w:rFonts w:ascii="Arial" w:hAnsi="Arial"/>
          <w:b w:val="0"/>
          <w:sz w:val="21"/>
        </w:rPr>
        <w:t>Local filesystem (dev) / AWS S3 (production)</w:t>
      </w:r>
    </w:p>
    <w:p>
      <w:pPr>
        <w:spacing w:after="60"/>
      </w:pPr>
      <w:r>
        <w:rPr>
          <w:rFonts w:ascii="Arial" w:hAnsi="Arial"/>
          <w:b/>
          <w:sz w:val="21"/>
        </w:rPr>
        <w:t xml:space="preserve">Build: </w:t>
      </w:r>
      <w:r>
        <w:rPr>
          <w:rFonts w:ascii="Arial" w:hAnsi="Arial"/>
          <w:b w:val="0"/>
          <w:sz w:val="21"/>
        </w:rPr>
        <w:t>Gradle — standard; correct</w:t>
      </w:r>
    </w:p>
    <w:p>
      <w:pPr>
        <w:spacing w:after="60"/>
      </w:pPr>
      <w:r>
        <w:rPr>
          <w:rFonts w:ascii="Arial" w:hAnsi="Arial"/>
          <w:b/>
          <w:sz w:val="21"/>
        </w:rPr>
        <w:t xml:space="preserve">Testing: </w:t>
      </w:r>
      <w:r>
        <w:rPr>
          <w:rFonts w:ascii="Arial" w:hAnsi="Arial"/>
          <w:b w:val="0"/>
          <w:sz w:val="21"/>
        </w:rPr>
        <w:t>JUnit 5 + Testcontainers — not yet added to build.gradle</w:t>
      </w:r>
    </w:p>
    <w:p>
      <w:pPr>
        <w:spacing w:after="60"/>
      </w:pPr>
      <w:r>
        <w:rPr>
          <w:rFonts w:ascii="Arial" w:hAnsi="Arial"/>
          <w:b/>
          <w:sz w:val="21"/>
        </w:rPr>
        <w:t xml:space="preserve">API Docs: </w:t>
      </w:r>
      <w:r>
        <w:rPr>
          <w:rFonts w:ascii="Arial" w:hAnsi="Arial"/>
          <w:b w:val="0"/>
          <w:sz w:val="21"/>
        </w:rPr>
        <w:t>Swagger / OpenAPI — not yet in build.gradle</w:t>
      </w:r>
    </w:p>
    <w:p>
      <w:pPr>
        <w:spacing w:after="120"/>
      </w:pPr>
    </w:p>
    <w:p>
      <w:pPr>
        <w:pStyle w:val="Heading1"/>
      </w:pPr>
      <w:r>
        <w:rPr>
          <w:rFonts w:ascii="Arial" w:hAnsi="Arial"/>
          <w:b/>
          <w:color w:val="1E50A0"/>
          <w:sz w:val="32"/>
        </w:rPr>
        <w:t>3. Risk &amp; Gap Register</w:t>
      </w:r>
    </w:p>
    <w:p>
      <w:pPr>
        <w:spacing w:after="120"/>
      </w:pPr>
      <w:r>
        <w:rPr>
          <w:rFonts w:ascii="Arial" w:hAnsi="Arial"/>
          <w:b w:val="0"/>
          <w:sz w:val="21"/>
        </w:rPr>
        <w:t>The following table lists every gap found between the design documents and the current project state. Items are ordered CRITICAL → HIGH → MEDIUM → LOW. Critical and High items must be resolved before Sprint 1 coding proceeds.</w:t>
      </w:r>
    </w:p>
    <w:p>
      <w:pPr>
        <w:spacing w:after="80"/>
      </w:pPr>
    </w:p>
    <w:tbl>
      <w:tblPr>
        <w:tblStyle w:val="TableGrid"/>
        <w:tblW w:type="auto" w:w="0"/>
        <w:tblLook w:firstColumn="1" w:firstRow="1" w:lastColumn="0" w:lastRow="0" w:noHBand="0" w:noVBand="1" w:val="04A0"/>
      </w:tblPr>
      <w:tblGrid>
        <w:gridCol w:w="3120"/>
        <w:gridCol w:w="3120"/>
        <w:gridCol w:w="3120"/>
      </w:tblGrid>
      <w:tr>
        <w:tc>
          <w:tcPr>
            <w:tcW w:type="dxa" w:w="1440"/>
            <w:shd w:fill="2E4F8A" w:color="FFFFFF" w:val="clear"/>
          </w:tcPr>
          <w:p>
            <w:r>
              <w:rPr>
                <w:rFonts w:ascii="Arial" w:hAnsi="Arial"/>
                <w:b/>
                <w:color w:val="FFFFFF"/>
                <w:sz w:val="20"/>
              </w:rPr>
              <w:t>Severity</w:t>
            </w:r>
          </w:p>
        </w:tc>
        <w:tc>
          <w:tcPr>
            <w:tcW w:type="dxa" w:w="2304"/>
            <w:shd w:fill="2E4F8A" w:color="FFFFFF" w:val="clear"/>
          </w:tcPr>
          <w:p>
            <w:r>
              <w:rPr>
                <w:rFonts w:ascii="Arial" w:hAnsi="Arial"/>
                <w:b/>
                <w:color w:val="FFFFFF"/>
                <w:sz w:val="20"/>
              </w:rPr>
              <w:t>Area</w:t>
            </w:r>
          </w:p>
        </w:tc>
        <w:tc>
          <w:tcPr>
            <w:tcW w:type="dxa" w:w="7200"/>
            <w:shd w:fill="2E4F8A" w:color="FFFFFF" w:val="clear"/>
          </w:tcPr>
          <w:p>
            <w:r>
              <w:rPr>
                <w:rFonts w:ascii="Arial" w:hAnsi="Arial"/>
                <w:b/>
                <w:color w:val="FFFFFF"/>
                <w:sz w:val="20"/>
              </w:rPr>
              <w:t>Finding</w:t>
            </w:r>
          </w:p>
        </w:tc>
      </w:tr>
      <w:tr>
        <w:tc>
          <w:tcPr>
            <w:tcW w:type="dxa" w:w="1440"/>
            <w:shd w:fill="FFD7D7" w:val="clear"/>
          </w:tcPr>
          <w:p>
            <w:r>
              <w:rPr>
                <w:rFonts w:ascii="Arial" w:hAnsi="Arial"/>
                <w:sz w:val="19"/>
              </w:rPr>
              <w:t>CRITICAL</w:t>
            </w:r>
          </w:p>
        </w:tc>
        <w:tc>
          <w:tcPr>
            <w:tcW w:type="dxa" w:w="2304"/>
            <w:shd w:fill="FFD7D7" w:val="clear"/>
          </w:tcPr>
          <w:p>
            <w:r>
              <w:rPr>
                <w:rFonts w:ascii="Arial" w:hAnsi="Arial"/>
                <w:sz w:val="19"/>
              </w:rPr>
              <w:t>build.gradle / DB</w:t>
            </w:r>
          </w:p>
        </w:tc>
        <w:tc>
          <w:tcPr>
            <w:tcW w:type="dxa" w:w="7200"/>
            <w:shd w:fill="FFD7D7" w:val="clear"/>
          </w:tcPr>
          <w:p>
            <w:r>
              <w:rPr>
                <w:rFonts w:ascii="Arial" w:hAnsi="Arial"/>
                <w:sz w:val="19"/>
              </w:rPr>
              <w:t>build.gradle declares com.mysql:mysql-connector-j but every design document specifies PostgreSQL. The application will fail to start against a PostgreSQL instance. Replace with org.postgresql:postgresql.</w:t>
            </w:r>
          </w:p>
        </w:tc>
      </w:tr>
      <w:tr>
        <w:tc>
          <w:tcPr>
            <w:tcW w:type="dxa" w:w="1440"/>
            <w:shd w:fill="FFD7D7" w:val="clear"/>
          </w:tcPr>
          <w:p>
            <w:r>
              <w:rPr>
                <w:rFonts w:ascii="Arial" w:hAnsi="Arial"/>
                <w:sz w:val="19"/>
              </w:rPr>
              <w:t>CRITICAL</w:t>
            </w:r>
          </w:p>
        </w:tc>
        <w:tc>
          <w:tcPr>
            <w:tcW w:type="dxa" w:w="2304"/>
            <w:shd w:fill="FFD7D7" w:val="clear"/>
          </w:tcPr>
          <w:p>
            <w:r>
              <w:rPr>
                <w:rFonts w:ascii="Arial" w:hAnsi="Arial"/>
                <w:sz w:val="19"/>
              </w:rPr>
              <w:t>build.gradle / Test deps</w:t>
            </w:r>
          </w:p>
        </w:tc>
        <w:tc>
          <w:tcPr>
            <w:tcW w:type="dxa" w:w="7200"/>
            <w:shd w:fill="FFD7D7" w:val="clear"/>
          </w:tcPr>
          <w:p>
            <w:r>
              <w:rPr>
                <w:rFonts w:ascii="Arial" w:hAnsi="Arial"/>
                <w:sz w:val="19"/>
              </w:rPr>
              <w:t>spring-boot-starter-actuator-test, spring-boot-starter-data-jpa-test, spring-boot-starter-webmvc-test, and spring-boot-starter-validation-test are not real Spring Boot starters. They will fail to resolve. Replace all with spring-boot-starter-test and spring-security-test.</w:t>
            </w:r>
          </w:p>
        </w:tc>
      </w:tr>
      <w:tr>
        <w:tc>
          <w:tcPr>
            <w:tcW w:type="dxa" w:w="1440"/>
            <w:shd w:fill="FFD7D7" w:val="clear"/>
          </w:tcPr>
          <w:p>
            <w:r>
              <w:rPr>
                <w:rFonts w:ascii="Arial" w:hAnsi="Arial"/>
                <w:sz w:val="19"/>
              </w:rPr>
              <w:t>CRITICAL</w:t>
            </w:r>
          </w:p>
        </w:tc>
        <w:tc>
          <w:tcPr>
            <w:tcW w:type="dxa" w:w="2304"/>
            <w:shd w:fill="FFD7D7" w:val="clear"/>
          </w:tcPr>
          <w:p>
            <w:r>
              <w:rPr>
                <w:rFonts w:ascii="Arial" w:hAnsi="Arial"/>
                <w:sz w:val="19"/>
              </w:rPr>
              <w:t>build.gradle / Missing deps</w:t>
            </w:r>
          </w:p>
        </w:tc>
        <w:tc>
          <w:tcPr>
            <w:tcW w:type="dxa" w:w="7200"/>
            <w:shd w:fill="FFD7D7" w:val="clear"/>
          </w:tcPr>
          <w:p>
            <w:r>
              <w:rPr>
                <w:rFonts w:ascii="Arial" w:hAnsi="Arial"/>
                <w:sz w:val="19"/>
              </w:rPr>
              <w:t>JWT library (jjwt-api, jjwt-impl, jjwt-jackson), Flyway, springdoc-openapi, and a PDF generation library are all mandated by the design but absent from build.gradle. The project cannot implement Phase 1 or Phase 8 without them.</w:t>
            </w:r>
          </w:p>
        </w:tc>
      </w:tr>
      <w:tr>
        <w:tc>
          <w:tcPr>
            <w:tcW w:type="dxa" w:w="1440"/>
            <w:shd w:fill="FFD7D7" w:val="clear"/>
          </w:tcPr>
          <w:p>
            <w:r>
              <w:rPr>
                <w:rFonts w:ascii="Arial" w:hAnsi="Arial"/>
                <w:sz w:val="19"/>
              </w:rPr>
              <w:t>CRITICAL</w:t>
            </w:r>
          </w:p>
        </w:tc>
        <w:tc>
          <w:tcPr>
            <w:tcW w:type="dxa" w:w="2304"/>
            <w:shd w:fill="FFD7D7" w:val="clear"/>
          </w:tcPr>
          <w:p>
            <w:r>
              <w:rPr>
                <w:rFonts w:ascii="Arial" w:hAnsi="Arial"/>
                <w:sz w:val="19"/>
              </w:rPr>
              <w:t>Spring Boot version</w:t>
            </w:r>
          </w:p>
        </w:tc>
        <w:tc>
          <w:tcPr>
            <w:tcW w:type="dxa" w:w="7200"/>
            <w:shd w:fill="FFD7D7" w:val="clear"/>
          </w:tcPr>
          <w:p>
            <w:r>
              <w:rPr>
                <w:rFonts w:ascii="Arial" w:hAnsi="Arial"/>
                <w:sz w:val="19"/>
              </w:rPr>
              <w:t>ROADMAP.md specifies Spring Boot 3.x; build.gradle uses 4.0.6. The team must decide on one version. If 4.x is intentional, ensure the security auto-configuration and dependency management changes introduced in 4.x are accounted for. Document the decision.</w:t>
            </w:r>
          </w:p>
        </w:tc>
      </w:tr>
      <w:tr>
        <w:tc>
          <w:tcPr>
            <w:tcW w:type="dxa" w:w="1440"/>
            <w:shd w:fill="FFE8C0" w:val="clear"/>
          </w:tcPr>
          <w:p>
            <w:r>
              <w:rPr>
                <w:rFonts w:ascii="Arial" w:hAnsi="Arial"/>
                <w:sz w:val="19"/>
              </w:rPr>
              <w:t>HIGH</w:t>
            </w:r>
          </w:p>
        </w:tc>
        <w:tc>
          <w:tcPr>
            <w:tcW w:type="dxa" w:w="2304"/>
            <w:shd w:fill="FFE8C0" w:val="clear"/>
          </w:tcPr>
          <w:p>
            <w:r>
              <w:rPr>
                <w:rFonts w:ascii="Arial" w:hAnsi="Arial"/>
                <w:sz w:val="19"/>
              </w:rPr>
              <w:t>Package name</w:t>
            </w:r>
          </w:p>
        </w:tc>
        <w:tc>
          <w:tcPr>
            <w:tcW w:type="dxa" w:w="7200"/>
            <w:shd w:fill="FFE8C0" w:val="clear"/>
          </w:tcPr>
          <w:p>
            <w:r>
              <w:rPr>
                <w:rFonts w:ascii="Arial" w:hAnsi="Arial"/>
                <w:sz w:val="19"/>
              </w:rPr>
              <w:t>All architecture docs use com.ashish.leaseflow; the actual source tree uses com.abm.leaseFlow. Mismatched casing (leaseFlow vs leaseflow) will cause issues with Spring component scanning on case-sensitive filesystems. Align to com.abm.leaseflow (all lowercase) immediately, before any significant code is written.</w:t>
            </w:r>
          </w:p>
        </w:tc>
      </w:tr>
      <w:tr>
        <w:tc>
          <w:tcPr>
            <w:tcW w:type="dxa" w:w="1440"/>
            <w:shd w:fill="FFE8C0" w:val="clear"/>
          </w:tcPr>
          <w:p>
            <w:r>
              <w:rPr>
                <w:rFonts w:ascii="Arial" w:hAnsi="Arial"/>
                <w:sz w:val="19"/>
              </w:rPr>
              <w:t>HIGH</w:t>
            </w:r>
          </w:p>
        </w:tc>
        <w:tc>
          <w:tcPr>
            <w:tcW w:type="dxa" w:w="2304"/>
            <w:shd w:fill="FFE8C0" w:val="clear"/>
          </w:tcPr>
          <w:p>
            <w:r>
              <w:rPr>
                <w:rFonts w:ascii="Arial" w:hAnsi="Arial"/>
                <w:sz w:val="19"/>
              </w:rPr>
              <w:t>DB schema: applications missing unit_id</w:t>
            </w:r>
          </w:p>
        </w:tc>
        <w:tc>
          <w:tcPr>
            <w:tcW w:type="dxa" w:w="7200"/>
            <w:shd w:fill="FFE8C0" w:val="clear"/>
          </w:tcPr>
          <w:p>
            <w:r>
              <w:rPr>
                <w:rFonts w:ascii="Arial" w:hAnsi="Arial"/>
                <w:sz w:val="19"/>
              </w:rPr>
              <w:t>The applications table has no unit_id foreign key. A rental application is always for a specific unit. Without this link, application-to-unit assignment cannot be tracked and the unit reservation workflow (AVAILABLE → RESERVED on approval) is unimplementable.</w:t>
            </w:r>
          </w:p>
        </w:tc>
      </w:tr>
      <w:tr>
        <w:tc>
          <w:tcPr>
            <w:tcW w:type="dxa" w:w="1440"/>
            <w:shd w:fill="FFE8C0" w:val="clear"/>
          </w:tcPr>
          <w:p>
            <w:r>
              <w:rPr>
                <w:rFonts w:ascii="Arial" w:hAnsi="Arial"/>
                <w:sz w:val="19"/>
              </w:rPr>
              <w:t>HIGH</w:t>
            </w:r>
          </w:p>
        </w:tc>
        <w:tc>
          <w:tcPr>
            <w:tcW w:type="dxa" w:w="2304"/>
            <w:shd w:fill="FFE8C0" w:val="clear"/>
          </w:tcPr>
          <w:p>
            <w:r>
              <w:rPr>
                <w:rFonts w:ascii="Arial" w:hAnsi="Arial"/>
                <w:sz w:val="19"/>
              </w:rPr>
              <w:t>DB schema: no lease_parties table</w:t>
            </w:r>
          </w:p>
        </w:tc>
        <w:tc>
          <w:tcPr>
            <w:tcW w:type="dxa" w:w="7200"/>
            <w:shd w:fill="FFE8C0" w:val="clear"/>
          </w:tcPr>
          <w:p>
            <w:r>
              <w:rPr>
                <w:rFonts w:ascii="Arial" w:hAnsi="Arial"/>
                <w:sz w:val="19"/>
              </w:rPr>
              <w:t>The domain model describes Lease Parties (co-tenants, co-signers, guarantors) but the leases table has a single resident_id FK. Multi-occupant leases cannot be modelled. A lease_parties join table (lease_id, resident_id, party_type) is required.</w:t>
            </w:r>
          </w:p>
        </w:tc>
      </w:tr>
      <w:tr>
        <w:tc>
          <w:tcPr>
            <w:tcW w:type="dxa" w:w="1440"/>
            <w:shd w:fill="FFE8C0" w:val="clear"/>
          </w:tcPr>
          <w:p>
            <w:r>
              <w:rPr>
                <w:rFonts w:ascii="Arial" w:hAnsi="Arial"/>
                <w:sz w:val="19"/>
              </w:rPr>
              <w:t>HIGH</w:t>
            </w:r>
          </w:p>
        </w:tc>
        <w:tc>
          <w:tcPr>
            <w:tcW w:type="dxa" w:w="2304"/>
            <w:shd w:fill="FFE8C0" w:val="clear"/>
          </w:tcPr>
          <w:p>
            <w:r>
              <w:rPr>
                <w:rFonts w:ascii="Arial" w:hAnsi="Arial"/>
                <w:sz w:val="19"/>
              </w:rPr>
              <w:t>DB schema: signature_requests missing signer info</w:t>
            </w:r>
          </w:p>
        </w:tc>
        <w:tc>
          <w:tcPr>
            <w:tcW w:type="dxa" w:w="7200"/>
            <w:shd w:fill="FFE8C0" w:val="clear"/>
          </w:tcPr>
          <w:p>
            <w:r>
              <w:rPr>
                <w:rFonts w:ascii="Arial" w:hAnsi="Arial"/>
                <w:sz w:val="19"/>
              </w:rPr>
              <w:t>signature_requests records status and timestamps but no signer_id or signed_by. The audit trail and legal certificate of completion cannot be produced without knowing who completed each signing event.</w:t>
            </w:r>
          </w:p>
        </w:tc>
      </w:tr>
      <w:tr>
        <w:tc>
          <w:tcPr>
            <w:tcW w:type="dxa" w:w="1440"/>
            <w:shd w:fill="FFE8C0" w:val="clear"/>
          </w:tcPr>
          <w:p>
            <w:r>
              <w:rPr>
                <w:rFonts w:ascii="Arial" w:hAnsi="Arial"/>
                <w:sz w:val="19"/>
              </w:rPr>
              <w:t>HIGH</w:t>
            </w:r>
          </w:p>
        </w:tc>
        <w:tc>
          <w:tcPr>
            <w:tcW w:type="dxa" w:w="2304"/>
            <w:shd w:fill="FFE8C0" w:val="clear"/>
          </w:tcPr>
          <w:p>
            <w:r>
              <w:rPr>
                <w:rFonts w:ascii="Arial" w:hAnsi="Arial"/>
                <w:sz w:val="19"/>
              </w:rPr>
              <w:t>DB schema: no application_id on leases</w:t>
            </w:r>
          </w:p>
        </w:tc>
        <w:tc>
          <w:tcPr>
            <w:tcW w:type="dxa" w:w="7200"/>
            <w:shd w:fill="FFE8C0" w:val="clear"/>
          </w:tcPr>
          <w:p>
            <w:r>
              <w:rPr>
                <w:rFonts w:ascii="Arial" w:hAnsi="Arial"/>
                <w:sz w:val="19"/>
              </w:rPr>
              <w:t>There is no FK from leases to applications. The business process Application → Approval → Lease requires this traceability link for reporting, compliance, and rollback scenarios.</w:t>
            </w:r>
          </w:p>
        </w:tc>
      </w:tr>
      <w:tr>
        <w:tc>
          <w:tcPr>
            <w:tcW w:type="dxa" w:w="1440"/>
            <w:shd w:fill="FFF7C0" w:val="clear"/>
          </w:tcPr>
          <w:p>
            <w:r>
              <w:rPr>
                <w:rFonts w:ascii="Arial" w:hAnsi="Arial"/>
                <w:sz w:val="19"/>
              </w:rPr>
              <w:t>MEDIUM</w:t>
            </w:r>
          </w:p>
        </w:tc>
        <w:tc>
          <w:tcPr>
            <w:tcW w:type="dxa" w:w="2304"/>
            <w:shd w:fill="FFF7C0" w:val="clear"/>
          </w:tcPr>
          <w:p>
            <w:r>
              <w:rPr>
                <w:rFonts w:ascii="Arial" w:hAnsi="Arial"/>
                <w:sz w:val="19"/>
              </w:rPr>
              <w:t>DB schema: status as VARCHAR</w:t>
            </w:r>
          </w:p>
        </w:tc>
        <w:tc>
          <w:tcPr>
            <w:tcW w:type="dxa" w:w="7200"/>
            <w:shd w:fill="FFF7C0" w:val="clear"/>
          </w:tcPr>
          <w:p>
            <w:r>
              <w:rPr>
                <w:rFonts w:ascii="Arial" w:hAnsi="Arial"/>
                <w:sz w:val="19"/>
              </w:rPr>
              <w:t>All status fields are VARCHAR(50) with no database-level constraint. Invalid status values can be inserted silently. Add CHECK constraints or use PostgreSQL native ENUMs to enforce the documented state machines at the database layer.</w:t>
            </w:r>
          </w:p>
        </w:tc>
      </w:tr>
      <w:tr>
        <w:tc>
          <w:tcPr>
            <w:tcW w:type="dxa" w:w="1440"/>
            <w:shd w:fill="FFF7C0" w:val="clear"/>
          </w:tcPr>
          <w:p>
            <w:r>
              <w:rPr>
                <w:rFonts w:ascii="Arial" w:hAnsi="Arial"/>
                <w:sz w:val="19"/>
              </w:rPr>
              <w:t>MEDIUM</w:t>
            </w:r>
          </w:p>
        </w:tc>
        <w:tc>
          <w:tcPr>
            <w:tcW w:type="dxa" w:w="2304"/>
            <w:shd w:fill="FFF7C0" w:val="clear"/>
          </w:tcPr>
          <w:p>
            <w:r>
              <w:rPr>
                <w:rFonts w:ascii="Arial" w:hAnsi="Arial"/>
                <w:sz w:val="19"/>
              </w:rPr>
              <w:t>DB schema: no indexes defined</w:t>
            </w:r>
          </w:p>
        </w:tc>
        <w:tc>
          <w:tcPr>
            <w:tcW w:type="dxa" w:w="7200"/>
            <w:shd w:fill="FFF7C0" w:val="clear"/>
          </w:tcPr>
          <w:p>
            <w:r>
              <w:rPr>
                <w:rFonts w:ascii="Arial" w:hAnsi="Arial"/>
                <w:sz w:val="19"/>
              </w:rPr>
              <w:t>No indexes are specified anywhere in DATABASE_DESIGN.md. At minimum, tenant_id, status, and all FK columns on high-volume tables (leases, applications, prospects) need indexes. Without them the application will not scale past a few hundred rows per tenant.</w:t>
            </w:r>
          </w:p>
        </w:tc>
      </w:tr>
      <w:tr>
        <w:tc>
          <w:tcPr>
            <w:tcW w:type="dxa" w:w="1440"/>
            <w:shd w:fill="FFF7C0" w:val="clear"/>
          </w:tcPr>
          <w:p>
            <w:r>
              <w:rPr>
                <w:rFonts w:ascii="Arial" w:hAnsi="Arial"/>
                <w:sz w:val="19"/>
              </w:rPr>
              <w:t>MEDIUM</w:t>
            </w:r>
          </w:p>
        </w:tc>
        <w:tc>
          <w:tcPr>
            <w:tcW w:type="dxa" w:w="2304"/>
            <w:shd w:fill="FFF7C0" w:val="clear"/>
          </w:tcPr>
          <w:p>
            <w:r>
              <w:rPr>
                <w:rFonts w:ascii="Arial" w:hAnsi="Arial"/>
                <w:sz w:val="19"/>
              </w:rPr>
              <w:t>DB schema: units missing tenant_id</w:t>
            </w:r>
          </w:p>
        </w:tc>
        <w:tc>
          <w:tcPr>
            <w:tcW w:type="dxa" w:w="7200"/>
            <w:shd w:fill="FFF7C0" w:val="clear"/>
          </w:tcPr>
          <w:p>
            <w:r>
              <w:rPr>
                <w:rFonts w:ascii="Arial" w:hAnsi="Arial"/>
                <w:sz w:val="19"/>
              </w:rPr>
              <w:t>units inherits tenant context via property_id → properties.tenant_id. This implicit path makes it impossible to enforce RLS at the units level directly and requires a JOIN for every tenant-scoped unit query. Add tenant_id directly to units.</w:t>
            </w:r>
          </w:p>
        </w:tc>
      </w:tr>
      <w:tr>
        <w:tc>
          <w:tcPr>
            <w:tcW w:type="dxa" w:w="1440"/>
            <w:shd w:fill="FFF7C0" w:val="clear"/>
          </w:tcPr>
          <w:p>
            <w:r>
              <w:rPr>
                <w:rFonts w:ascii="Arial" w:hAnsi="Arial"/>
                <w:sz w:val="19"/>
              </w:rPr>
              <w:t>MEDIUM</w:t>
            </w:r>
          </w:p>
        </w:tc>
        <w:tc>
          <w:tcPr>
            <w:tcW w:type="dxa" w:w="2304"/>
            <w:shd w:fill="FFF7C0" w:val="clear"/>
          </w:tcPr>
          <w:p>
            <w:r>
              <w:rPr>
                <w:rFonts w:ascii="Arial" w:hAnsi="Arial"/>
                <w:sz w:val="19"/>
              </w:rPr>
              <w:t>DB schema: notifications missing body column</w:t>
            </w:r>
          </w:p>
        </w:tc>
        <w:tc>
          <w:tcPr>
            <w:tcW w:type="dxa" w:w="7200"/>
            <w:shd w:fill="FFF7C0" w:val="clear"/>
          </w:tcPr>
          <w:p>
            <w:r>
              <w:rPr>
                <w:rFonts w:ascii="Arial" w:hAnsi="Arial"/>
                <w:sz w:val="19"/>
              </w:rPr>
              <w:t>The notifications table has subject and status but no body / content column. Without message content the notification service cannot store or replay messages.</w:t>
            </w:r>
          </w:p>
        </w:tc>
      </w:tr>
      <w:tr>
        <w:tc>
          <w:tcPr>
            <w:tcW w:type="dxa" w:w="1440"/>
            <w:shd w:fill="FFF7C0" w:val="clear"/>
          </w:tcPr>
          <w:p>
            <w:r>
              <w:rPr>
                <w:rFonts w:ascii="Arial" w:hAnsi="Arial"/>
                <w:sz w:val="19"/>
              </w:rPr>
              <w:t>MEDIUM</w:t>
            </w:r>
          </w:p>
        </w:tc>
        <w:tc>
          <w:tcPr>
            <w:tcW w:type="dxa" w:w="2304"/>
            <w:shd w:fill="FFF7C0" w:val="clear"/>
          </w:tcPr>
          <w:p>
            <w:r>
              <w:rPr>
                <w:rFonts w:ascii="Arial" w:hAnsi="Arial"/>
                <w:sz w:val="19"/>
              </w:rPr>
              <w:t>No soft-delete strategy</w:t>
            </w:r>
          </w:p>
        </w:tc>
        <w:tc>
          <w:tcPr>
            <w:tcW w:type="dxa" w:w="7200"/>
            <w:shd w:fill="FFF7C0" w:val="clear"/>
          </w:tcPr>
          <w:p>
            <w:r>
              <w:rPr>
                <w:rFonts w:ascii="Arial" w:hAnsi="Arial"/>
                <w:sz w:val="19"/>
              </w:rPr>
              <w:t>The design documents do not define how records are logically deleted. Leases, applications, and residents must be retainable for audit/legal purposes. Define and implement deleted_at TIMESTAMPTZ columns for all business entities before any DELETE endpoints are built.</w:t>
            </w:r>
          </w:p>
        </w:tc>
      </w:tr>
      <w:tr>
        <w:tc>
          <w:tcPr>
            <w:tcW w:type="dxa" w:w="1440"/>
            <w:shd w:fill="FFF7C0" w:val="clear"/>
          </w:tcPr>
          <w:p>
            <w:r>
              <w:rPr>
                <w:rFonts w:ascii="Arial" w:hAnsi="Arial"/>
                <w:sz w:val="19"/>
              </w:rPr>
              <w:t>MEDIUM</w:t>
            </w:r>
          </w:p>
        </w:tc>
        <w:tc>
          <w:tcPr>
            <w:tcW w:type="dxa" w:w="2304"/>
            <w:shd w:fill="FFF7C0" w:val="clear"/>
          </w:tcPr>
          <w:p>
            <w:r>
              <w:rPr>
                <w:rFonts w:ascii="Arial" w:hAnsi="Arial"/>
                <w:sz w:val="19"/>
              </w:rPr>
              <w:t>No rate limiting</w:t>
            </w:r>
          </w:p>
        </w:tc>
        <w:tc>
          <w:tcPr>
            <w:tcW w:type="dxa" w:w="7200"/>
            <w:shd w:fill="FFF7C0" w:val="clear"/>
          </w:tcPr>
          <w:p>
            <w:r>
              <w:rPr>
                <w:rFonts w:ascii="Arial" w:hAnsi="Arial"/>
                <w:sz w:val="19"/>
              </w:rPr>
              <w:t>No rate limiting or throttling is mentioned. The login endpoint, document generation, and signature send APIs are obvious abuse targets. Add rate limiting (e.g., Bucket4j or Spring Cloud Gateway) before the platform is externally accessible.</w:t>
            </w:r>
          </w:p>
        </w:tc>
      </w:tr>
      <w:tr>
        <w:tc>
          <w:tcPr>
            <w:tcW w:type="dxa" w:w="1440"/>
            <w:shd w:fill="E8F4E8" w:val="clear"/>
          </w:tcPr>
          <w:p>
            <w:r>
              <w:rPr>
                <w:rFonts w:ascii="Arial" w:hAnsi="Arial"/>
                <w:sz w:val="19"/>
              </w:rPr>
              <w:t>LOW</w:t>
            </w:r>
          </w:p>
        </w:tc>
        <w:tc>
          <w:tcPr>
            <w:tcW w:type="dxa" w:w="2304"/>
            <w:shd w:fill="E8F4E8" w:val="clear"/>
          </w:tcPr>
          <w:p>
            <w:r>
              <w:rPr>
                <w:rFonts w:ascii="Arial" w:hAnsi="Arial"/>
                <w:sz w:val="19"/>
              </w:rPr>
              <w:t>lease_documents.file_path as VARCHAR(500)</w:t>
            </w:r>
          </w:p>
        </w:tc>
        <w:tc>
          <w:tcPr>
            <w:tcW w:type="dxa" w:w="7200"/>
            <w:shd w:fill="E8F4E8" w:val="clear"/>
          </w:tcPr>
          <w:p>
            <w:r>
              <w:rPr>
                <w:rFonts w:ascii="Arial" w:hAnsi="Arial"/>
                <w:sz w:val="19"/>
              </w:rPr>
              <w:t>file_path implies a local filesystem path. In production, documents are stored in S3. Rename to storage_key and use it to hold the S3 object key, keeping the storage abstraction clean.</w:t>
            </w:r>
          </w:p>
        </w:tc>
      </w:tr>
      <w:tr>
        <w:tc>
          <w:tcPr>
            <w:tcW w:type="dxa" w:w="1440"/>
            <w:shd w:fill="E8F4E8" w:val="clear"/>
          </w:tcPr>
          <w:p>
            <w:r>
              <w:rPr>
                <w:rFonts w:ascii="Arial" w:hAnsi="Arial"/>
                <w:sz w:val="19"/>
              </w:rPr>
              <w:t>LOW</w:t>
            </w:r>
          </w:p>
        </w:tc>
        <w:tc>
          <w:tcPr>
            <w:tcW w:type="dxa" w:w="2304"/>
            <w:shd w:fill="E8F4E8" w:val="clear"/>
          </w:tcPr>
          <w:p>
            <w:r>
              <w:rPr>
                <w:rFonts w:ascii="Arial" w:hAnsi="Arial"/>
                <w:sz w:val="19"/>
              </w:rPr>
              <w:t>No idempotency key table</w:t>
            </w:r>
          </w:p>
        </w:tc>
        <w:tc>
          <w:tcPr>
            <w:tcW w:type="dxa" w:w="7200"/>
            <w:shd w:fill="E8F4E8" w:val="clear"/>
          </w:tcPr>
          <w:p>
            <w:r>
              <w:rPr>
                <w:rFonts w:ascii="Arial" w:hAnsi="Arial"/>
                <w:sz w:val="19"/>
              </w:rPr>
              <w:t>API_STANDARDS.md specifies an Idempotency-Key header for payment, signature, and document generation endpoints. There is no corresponding database table to track processed keys. Add an idempotency_keys table (key, endpoint, response_hash, expires_at) in Flyway.</w:t>
            </w:r>
          </w:p>
        </w:tc>
      </w:tr>
      <w:tr>
        <w:tc>
          <w:tcPr>
            <w:tcW w:type="dxa" w:w="1440"/>
            <w:shd w:fill="E8F4E8" w:val="clear"/>
          </w:tcPr>
          <w:p>
            <w:r>
              <w:rPr>
                <w:rFonts w:ascii="Arial" w:hAnsi="Arial"/>
                <w:sz w:val="19"/>
              </w:rPr>
              <w:t>LOW</w:t>
            </w:r>
          </w:p>
        </w:tc>
        <w:tc>
          <w:tcPr>
            <w:tcW w:type="dxa" w:w="2304"/>
            <w:shd w:fill="E8F4E8" w:val="clear"/>
          </w:tcPr>
          <w:p>
            <w:r>
              <w:rPr>
                <w:rFonts w:ascii="Arial" w:hAnsi="Arial"/>
                <w:sz w:val="19"/>
              </w:rPr>
              <w:t>lease_templates.content as TEXT</w:t>
            </w:r>
          </w:p>
        </w:tc>
        <w:tc>
          <w:tcPr>
            <w:tcW w:type="dxa" w:w="7200"/>
            <w:shd w:fill="E8F4E8" w:val="clear"/>
          </w:tcPr>
          <w:p>
            <w:r>
              <w:rPr>
                <w:rFonts w:ascii="Arial" w:hAnsi="Arial"/>
                <w:sz w:val="19"/>
              </w:rPr>
              <w:t>Large HTML/DOCX lease templates stored as TEXT in PostgreSQL will cause memory pressure during bulk operations. For templates over ~50 KB, prefer storing in S3 and keeping only a storage_key in the DB. Design the abstraction early even if not immediately needed.</w:t>
            </w:r>
          </w:p>
        </w:tc>
      </w:tr>
    </w:tbl>
    <w:p/>
    <w:p>
      <w:pPr>
        <w:pStyle w:val="Heading1"/>
      </w:pPr>
      <w:r>
        <w:rPr>
          <w:rFonts w:ascii="Arial" w:hAnsi="Arial"/>
          <w:b/>
          <w:color w:val="1E50A0"/>
          <w:sz w:val="32"/>
        </w:rPr>
        <w:t>4. Improvement Recommendations</w:t>
      </w:r>
    </w:p>
    <w:p>
      <w:pPr>
        <w:pStyle w:val="Heading2"/>
      </w:pPr>
      <w:r>
        <w:rPr>
          <w:rFonts w:ascii="Arial" w:hAnsi="Arial"/>
          <w:b/>
          <w:color w:val="1E50A0"/>
          <w:sz w:val="26"/>
        </w:rPr>
        <w:t>4.1 Immediate (Before Sprint 1 Coding)</w:t>
      </w:r>
    </w:p>
    <w:p>
      <w:pPr>
        <w:pStyle w:val="ListBullet"/>
        <w:spacing w:after="60"/>
      </w:pPr>
      <w:r>
        <w:rPr>
          <w:rFonts w:ascii="Arial" w:hAnsi="Arial"/>
          <w:b/>
          <w:sz w:val="21"/>
        </w:rPr>
        <w:t xml:space="preserve">Fix build.gradle </w:t>
      </w:r>
      <w:r>
        <w:rPr>
          <w:rFonts w:ascii="Arial" w:hAnsi="Arial"/>
          <w:b w:val="0"/>
          <w:sz w:val="21"/>
        </w:rPr>
        <w:t>Replace MySQL connector with PostgreSQL driver. Remove all non-existent *-test starters and replace with spring-boot-starter-test. Add: jjwt-api 0.12.x, Flyway Core, springdoc-openapi-starter-webmvc-ui, and Testcontainers BOM.</w:t>
      </w:r>
    </w:p>
    <w:p>
      <w:pPr>
        <w:pStyle w:val="ListBullet"/>
        <w:spacing w:after="60"/>
      </w:pPr>
      <w:r>
        <w:rPr>
          <w:rFonts w:ascii="Arial" w:hAnsi="Arial"/>
          <w:b/>
          <w:sz w:val="21"/>
        </w:rPr>
        <w:t xml:space="preserve">Align Spring Boot version </w:t>
      </w:r>
      <w:r>
        <w:rPr>
          <w:rFonts w:ascii="Arial" w:hAnsi="Arial"/>
          <w:b w:val="0"/>
          <w:sz w:val="21"/>
        </w:rPr>
        <w:t>Confirm whether the team intends to use 3.x (stable, widely documented) or 4.0.x (bleeding edge, fewer community resources). Update both the build.gradle and ROADMAP.md to match. Prefer 3.3.x LTS unless there is a specific reason for 4.x.</w:t>
      </w:r>
    </w:p>
    <w:p>
      <w:pPr>
        <w:pStyle w:val="ListBullet"/>
        <w:spacing w:after="60"/>
      </w:pPr>
      <w:r>
        <w:rPr>
          <w:rFonts w:ascii="Arial" w:hAnsi="Arial"/>
          <w:b/>
          <w:sz w:val="21"/>
        </w:rPr>
        <w:t xml:space="preserve">Standardise package name </w:t>
      </w:r>
      <w:r>
        <w:rPr>
          <w:rFonts w:ascii="Arial" w:hAnsi="Arial"/>
          <w:b w:val="0"/>
          <w:sz w:val="21"/>
        </w:rPr>
        <w:t>Rename source root to com.abm.leaseflow (all lowercase). Update LeaseFlowApplication.java accordingly.</w:t>
      </w:r>
    </w:p>
    <w:p>
      <w:pPr>
        <w:pStyle w:val="ListBullet"/>
        <w:spacing w:after="60"/>
      </w:pPr>
      <w:r>
        <w:rPr>
          <w:rFonts w:ascii="Arial" w:hAnsi="Arial"/>
          <w:b/>
          <w:sz w:val="21"/>
        </w:rPr>
        <w:t xml:space="preserve">Add missing DB columns </w:t>
      </w:r>
      <w:r>
        <w:rPr>
          <w:rFonts w:ascii="Arial" w:hAnsi="Arial"/>
          <w:b w:val="0"/>
          <w:sz w:val="21"/>
        </w:rPr>
        <w:t>applications.unit_id FK, leases.application_id FK, units.tenant_id, notifications.body TEXT, signature_requests.signer_id FK, deleted_at TIMESTAMPTZ on all business tables.</w:t>
      </w:r>
    </w:p>
    <w:p>
      <w:pPr>
        <w:pStyle w:val="ListBullet"/>
        <w:spacing w:after="60"/>
      </w:pPr>
      <w:r>
        <w:rPr>
          <w:rFonts w:ascii="Arial" w:hAnsi="Arial"/>
          <w:b/>
          <w:sz w:val="21"/>
        </w:rPr>
        <w:t xml:space="preserve">Add lease_parties table </w:t>
      </w:r>
      <w:r>
        <w:rPr>
          <w:rFonts w:ascii="Arial" w:hAnsi="Arial"/>
          <w:b w:val="0"/>
          <w:sz w:val="21"/>
        </w:rPr>
        <w:t>CREATE TABLE lease_parties (id UUID PK, lease_id UUID FK, resident_id UUID FK, party_type VARCHAR(50) CHECK (...), created_at TIMESTAMPTZ).</w:t>
      </w:r>
    </w:p>
    <w:p>
      <w:pPr>
        <w:pStyle w:val="ListBullet"/>
        <w:spacing w:after="60"/>
      </w:pPr>
      <w:r>
        <w:rPr>
          <w:rFonts w:ascii="Arial" w:hAnsi="Arial"/>
          <w:b/>
          <w:sz w:val="21"/>
        </w:rPr>
        <w:t xml:space="preserve">Add DB indexes </w:t>
      </w:r>
      <w:r>
        <w:rPr>
          <w:rFonts w:ascii="Arial" w:hAnsi="Arial"/>
          <w:b w:val="0"/>
          <w:sz w:val="21"/>
        </w:rPr>
        <w:t>Index tenant_id on every business table. Index (tenant_id, status) on leases, applications, prospects. Index (property_id) on units.</w:t>
      </w:r>
    </w:p>
    <w:p>
      <w:pPr>
        <w:pStyle w:val="Heading2"/>
      </w:pPr>
      <w:r>
        <w:rPr>
          <w:rFonts w:ascii="Arial" w:hAnsi="Arial"/>
          <w:b/>
          <w:color w:val="1E50A0"/>
          <w:sz w:val="26"/>
        </w:rPr>
        <w:t>4.2 Architecture Improvements</w:t>
      </w:r>
    </w:p>
    <w:p>
      <w:pPr>
        <w:pStyle w:val="ListBullet"/>
        <w:spacing w:after="60"/>
      </w:pPr>
      <w:r>
        <w:rPr>
          <w:rFonts w:ascii="Arial" w:hAnsi="Arial"/>
          <w:b/>
          <w:sz w:val="21"/>
        </w:rPr>
        <w:t xml:space="preserve">Add a BaseEntity superclass </w:t>
      </w:r>
      <w:r>
        <w:rPr>
          <w:rFonts w:ascii="Arial" w:hAnsi="Arial"/>
          <w:b w:val="0"/>
          <w:sz w:val="21"/>
        </w:rPr>
        <w:t>Put id (UUID), tenant_id (UUID), created_at, updated_at, and deleted_at into an @MappedSuperclass. Every entity extends it. This enforces consistency and simplifies the audit layer.</w:t>
      </w:r>
    </w:p>
    <w:p>
      <w:pPr>
        <w:pStyle w:val="ListBullet"/>
        <w:spacing w:after="60"/>
      </w:pPr>
      <w:r>
        <w:rPr>
          <w:rFonts w:ascii="Arial" w:hAnsi="Arial"/>
          <w:b/>
          <w:sz w:val="21"/>
        </w:rPr>
        <w:t xml:space="preserve">Add a TenantContext holder </w:t>
      </w:r>
      <w:r>
        <w:rPr>
          <w:rFonts w:ascii="Arial" w:hAnsi="Arial"/>
          <w:b w:val="0"/>
          <w:sz w:val="21"/>
        </w:rPr>
        <w:t>Implement a ThreadLocal-backed TenantContextHolder populated by a OncePerRequestFilter from the JWT claims. Every repository method pulls tenant_id from the context rather than requiring callers to pass it explicitly. This prevents tenant-context bugs.</w:t>
      </w:r>
    </w:p>
    <w:p>
      <w:pPr>
        <w:pStyle w:val="ListBullet"/>
        <w:spacing w:after="60"/>
      </w:pPr>
      <w:r>
        <w:rPr>
          <w:rFonts w:ascii="Arial" w:hAnsi="Arial"/>
          <w:b/>
          <w:sz w:val="21"/>
        </w:rPr>
        <w:t xml:space="preserve">Introduce a DomainEvent base class </w:t>
      </w:r>
      <w:r>
        <w:rPr>
          <w:rFonts w:ascii="Arial" w:hAnsi="Arial"/>
          <w:b w:val="0"/>
          <w:sz w:val="21"/>
        </w:rPr>
        <w:t>Define an abstract DomainEvent with occurredAt and tenantId. All events (ApplicationApprovedEvent, LeaseGeneratedEvent, etc.) extend it. Spring's ApplicationEventPublisher dispatches them internally; the notification and audit modules listen. This keeps modules decoupled without Kafka in Phase 1.</w:t>
      </w:r>
    </w:p>
    <w:p>
      <w:pPr>
        <w:pStyle w:val="ListBullet"/>
        <w:spacing w:after="60"/>
      </w:pPr>
      <w:r>
        <w:rPr>
          <w:rFonts w:ascii="Arial" w:hAnsi="Arial"/>
          <w:b/>
          <w:sz w:val="21"/>
        </w:rPr>
        <w:t xml:space="preserve">Status-machine guard in service layer </w:t>
      </w:r>
      <w:r>
        <w:rPr>
          <w:rFonts w:ascii="Arial" w:hAnsi="Arial"/>
          <w:b w:val="0"/>
          <w:sz w:val="21"/>
        </w:rPr>
        <w:t>For each entity with a state machine (Lease, Application, Prospect), enforce allowed transitions explicitly in the service layer (e.g., a Lease can only move to SENT from GENERATED). Throw a domain exception on invalid transitions — do not rely on callers to get it right.</w:t>
      </w:r>
    </w:p>
    <w:p>
      <w:pPr>
        <w:pStyle w:val="ListBullet"/>
        <w:spacing w:after="60"/>
      </w:pPr>
      <w:r>
        <w:rPr>
          <w:rFonts w:ascii="Arial" w:hAnsi="Arial"/>
          <w:b/>
          <w:sz w:val="21"/>
        </w:rPr>
        <w:t xml:space="preserve">PostgreSQL RLS — plan early </w:t>
      </w:r>
      <w:r>
        <w:rPr>
          <w:rFonts w:ascii="Arial" w:hAnsi="Arial"/>
          <w:b w:val="0"/>
          <w:sz w:val="21"/>
        </w:rPr>
        <w:t>Even if not implemented in Sprint 1, define the RLS policy SQL now and add it to a migration that is commented out. This makes the eventual enablement a one-line change rather than a large security retrofit.</w:t>
      </w:r>
    </w:p>
    <w:p>
      <w:pPr>
        <w:pStyle w:val="ListBullet"/>
        <w:spacing w:after="60"/>
      </w:pPr>
      <w:r>
        <w:rPr>
          <w:rFonts w:ascii="Arial" w:hAnsi="Arial"/>
          <w:b/>
          <w:sz w:val="21"/>
        </w:rPr>
        <w:t xml:space="preserve">Separate application.properties per environment </w:t>
      </w:r>
      <w:r>
        <w:rPr>
          <w:rFonts w:ascii="Arial" w:hAnsi="Arial"/>
          <w:b w:val="0"/>
          <w:sz w:val="21"/>
        </w:rPr>
        <w:t>Use application.properties, application-dev.properties, application-prod.properties with Spring profiles. The current single application.properties has no datasource configuration at all, which means the application will fail to start.</w:t>
      </w:r>
    </w:p>
    <w:p>
      <w:pPr>
        <w:pStyle w:val="Heading2"/>
      </w:pPr>
      <w:r>
        <w:rPr>
          <w:rFonts w:ascii="Arial" w:hAnsi="Arial"/>
          <w:b/>
          <w:color w:val="1E50A0"/>
          <w:sz w:val="26"/>
        </w:rPr>
        <w:t>4.3 Testing Strategy</w:t>
      </w:r>
    </w:p>
    <w:p>
      <w:pPr>
        <w:spacing w:after="120"/>
      </w:pPr>
      <w:r>
        <w:rPr>
          <w:rFonts w:ascii="Arial" w:hAnsi="Arial"/>
          <w:b w:val="0"/>
          <w:sz w:val="21"/>
        </w:rPr>
        <w:t>The target of 80% service-layer coverage is achievable but only if tests are written in parallel with implementation, not as a trailing activity. Adopt the following pattern for every module: (1) unit-test the service class with Mockito-mocked repositories; (2) write a @DataJpaTest for each repository with Testcontainers PostgreSQL; (3) write a @SpringBootTest slice test for each controller verifying HTTP contract, security, and validation. Do not skip integration tests for auth — JWT token flows must be verified end-to-end.</w:t>
      </w:r>
    </w:p>
    <w:p>
      <w:pPr>
        <w:spacing w:after="120"/>
      </w:pPr>
    </w:p>
    <w:p>
      <w:pPr>
        <w:pStyle w:val="Heading1"/>
      </w:pPr>
      <w:r>
        <w:rPr>
          <w:rFonts w:ascii="Arial" w:hAnsi="Arial"/>
          <w:b/>
          <w:color w:val="1E50A0"/>
          <w:sz w:val="32"/>
        </w:rPr>
        <w:t>5. Sprint 1 Implementation Plan</w:t>
      </w:r>
    </w:p>
    <w:p>
      <w:pPr>
        <w:spacing w:after="120"/>
      </w:pPr>
      <w:r>
        <w:rPr>
          <w:rFonts w:ascii="Arial" w:hAnsi="Arial"/>
          <w:b w:val="0"/>
          <w:sz w:val="21"/>
        </w:rPr>
        <w:t>Sprint 1 combines Phase 0 (Project Foundation) and Phase 1 (Identity &amp; Access Management) from the roadmap. Duration: 2 weeks. By the end of Sprint 1, the following success criteria must be met:</w:t>
      </w:r>
    </w:p>
    <w:p>
      <w:pPr>
        <w:pStyle w:val="ListBullet"/>
        <w:spacing w:after="60"/>
      </w:pPr>
      <w:r>
        <w:rPr>
          <w:rFonts w:ascii="Arial" w:hAnsi="Arial"/>
          <w:b w:val="0"/>
          <w:sz w:val="21"/>
        </w:rPr>
        <w:t>Application starts cleanly with a PostgreSQL datasource (Docker Compose).</w:t>
      </w:r>
    </w:p>
    <w:p>
      <w:pPr>
        <w:pStyle w:val="ListBullet"/>
        <w:spacing w:after="60"/>
      </w:pPr>
      <w:r>
        <w:rPr>
          <w:rFonts w:ascii="Arial" w:hAnsi="Arial"/>
          <w:b w:val="0"/>
          <w:sz w:val="21"/>
        </w:rPr>
        <w:t>Flyway runs all migrations automatically on startup.</w:t>
      </w:r>
    </w:p>
    <w:p>
      <w:pPr>
        <w:pStyle w:val="ListBullet"/>
        <w:spacing w:after="60"/>
      </w:pPr>
      <w:r>
        <w:rPr>
          <w:rFonts w:ascii="Arial" w:hAnsi="Arial"/>
          <w:b w:val="0"/>
          <w:sz w:val="21"/>
        </w:rPr>
        <w:t>Swagger UI is accessible at /swagger-ui.html.</w:t>
      </w:r>
    </w:p>
    <w:p>
      <w:pPr>
        <w:pStyle w:val="ListBullet"/>
        <w:spacing w:after="60"/>
      </w:pPr>
      <w:r>
        <w:rPr>
          <w:rFonts w:ascii="Arial" w:hAnsi="Arial"/>
          <w:b w:val="0"/>
          <w:sz w:val="21"/>
        </w:rPr>
        <w:t>Health endpoint returns UP at /actuator/health.</w:t>
      </w:r>
    </w:p>
    <w:p>
      <w:pPr>
        <w:pStyle w:val="ListBullet"/>
        <w:spacing w:after="60"/>
      </w:pPr>
      <w:r>
        <w:rPr>
          <w:rFonts w:ascii="Arial" w:hAnsi="Arial"/>
          <w:b w:val="0"/>
          <w:sz w:val="21"/>
        </w:rPr>
        <w:t>A tenant can be registered via POST /api/v1/auth/register/tenant.</w:t>
      </w:r>
    </w:p>
    <w:p>
      <w:pPr>
        <w:pStyle w:val="ListBullet"/>
        <w:spacing w:after="60"/>
      </w:pPr>
      <w:r>
        <w:rPr>
          <w:rFonts w:ascii="Arial" w:hAnsi="Arial"/>
          <w:b w:val="0"/>
          <w:sz w:val="21"/>
        </w:rPr>
        <w:t>A user can register, log in, and receive a JWT access token + refresh token.</w:t>
      </w:r>
    </w:p>
    <w:p>
      <w:pPr>
        <w:pStyle w:val="ListBullet"/>
        <w:spacing w:after="60"/>
      </w:pPr>
      <w:r>
        <w:rPr>
          <w:rFonts w:ascii="Arial" w:hAnsi="Arial"/>
          <w:b w:val="0"/>
          <w:sz w:val="21"/>
        </w:rPr>
        <w:t>Token refresh and logout (token revocation) work correctly.</w:t>
      </w:r>
    </w:p>
    <w:p>
      <w:pPr>
        <w:pStyle w:val="ListBullet"/>
        <w:spacing w:after="60"/>
      </w:pPr>
      <w:r>
        <w:rPr>
          <w:rFonts w:ascii="Arial" w:hAnsi="Arial"/>
          <w:b w:val="0"/>
          <w:sz w:val="21"/>
        </w:rPr>
        <w:t>All four roles are enforced: endpoints reject requests with insufficient role.</w:t>
      </w:r>
    </w:p>
    <w:p>
      <w:pPr>
        <w:pStyle w:val="ListBullet"/>
        <w:spacing w:after="60"/>
      </w:pPr>
      <w:r>
        <w:rPr>
          <w:rFonts w:ascii="Arial" w:hAnsi="Arial"/>
          <w:b w:val="0"/>
          <w:sz w:val="21"/>
        </w:rPr>
        <w:t>Auth events (login, logout, failed login) appear in audit_logs.</w:t>
      </w:r>
    </w:p>
    <w:p>
      <w:pPr>
        <w:pStyle w:val="ListBullet"/>
        <w:spacing w:after="60"/>
      </w:pPr>
      <w:r>
        <w:rPr>
          <w:rFonts w:ascii="Arial" w:hAnsi="Arial"/>
          <w:b w:val="0"/>
          <w:sz w:val="21"/>
        </w:rPr>
        <w:t>Unit tests cover &gt;= 80% of all service classes delivered in this sprint.</w:t>
      </w:r>
    </w:p>
    <w:p>
      <w:pPr>
        <w:pStyle w:val="ListBullet"/>
        <w:spacing w:after="60"/>
      </w:pPr>
      <w:r>
        <w:rPr>
          <w:rFonts w:ascii="Arial" w:hAnsi="Arial"/>
          <w:b w:val="0"/>
          <w:sz w:val="21"/>
        </w:rPr>
        <w:t>Integration tests for all auth endpoints pass against a Testcontainers PostgreSQL instance.</w:t>
      </w:r>
    </w:p>
    <w:p>
      <w:pPr>
        <w:spacing w:after="160"/>
      </w:pPr>
    </w:p>
    <w:p>
      <w:pPr>
        <w:pStyle w:val="Heading2"/>
      </w:pPr>
      <w:r>
        <w:rPr>
          <w:rFonts w:ascii="Arial" w:hAnsi="Arial"/>
          <w:b/>
          <w:color w:val="1E50A0"/>
          <w:sz w:val="26"/>
        </w:rPr>
        <w:t>Week 1 — Project Foundation (Phase 0)</w:t>
      </w:r>
    </w:p>
    <w:p>
      <w:pPr>
        <w:spacing w:after="80"/>
      </w:pPr>
      <w:r>
        <w:rPr>
          <w:rFonts w:ascii="Arial" w:hAnsi="Arial"/>
          <w:b/>
          <w:color w:val="1E50A0"/>
          <w:sz w:val="21"/>
        </w:rPr>
        <w:t>Task S1-01: Fix build.gradle</w:t>
      </w:r>
    </w:p>
    <w:p>
      <w:pPr>
        <w:spacing w:after="40"/>
        <w:ind w:left="360"/>
      </w:pPr>
      <w:r>
        <w:rPr>
          <w:rFonts w:ascii="Arial" w:hAnsi="Arial"/>
          <w:b w:val="0"/>
          <w:sz w:val="20"/>
        </w:rPr>
        <w:t>Replace MySQL driver with PostgreSQL. Remove non-existent test starters; add spring-boot-starter-test and spring-security-test. Add dependencies: io.jsonwebtoken:jjwt-api:0.12.6, jjwt-impl, jjwt-jackson (runtimeOnly), org.flywaydb:flyway-core, org.springdoc:springdoc-openapi-starter-webmvc-ui:2.x, org.testcontainers:junit-jupiter + postgresql (testImplementation). Verify build compiles.</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S1-02: Rename package and configure application properties</w:t>
      </w:r>
    </w:p>
    <w:p>
      <w:pPr>
        <w:spacing w:after="40"/>
        <w:ind w:left="360"/>
      </w:pPr>
      <w:r>
        <w:rPr>
          <w:rFonts w:ascii="Arial" w:hAnsi="Arial"/>
          <w:b w:val="0"/>
          <w:sz w:val="20"/>
        </w:rPr>
        <w:t>Rename source root from com.abm.leaseFlow to com.abm.leaseflow. Create application-dev.properties with spring.datasource.url=jdbc:postgresql://localhost:5432/leaseflow, username, password, spring.jpa.hibernate.ddl-auto=validate, spring.flyway.enabled=true. Create application-prod.properties stub referencing environment variables for all secrets.</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S1-03: Docker Compose setup</w:t>
      </w:r>
    </w:p>
    <w:p>
      <w:pPr>
        <w:spacing w:after="40"/>
        <w:ind w:left="360"/>
      </w:pPr>
      <w:r>
        <w:rPr>
          <w:rFonts w:ascii="Arial" w:hAnsi="Arial"/>
          <w:b w:val="0"/>
          <w:sz w:val="20"/>
        </w:rPr>
        <w:t>Create docker-compose.yml with services: postgres (image: postgres:16-alpine, volume for data persistence, healthcheck), and app (build: ., depends_on: postgres, env_file: .env). Create .env.example with all required variables. Add .env to .gitignore. Verify: 'docker compose up' starts both services and the app connects to the DB.</w:t>
      </w:r>
    </w:p>
    <w:p>
      <w:pPr>
        <w:spacing w:after="160"/>
        <w:ind w:left="360"/>
      </w:pPr>
      <w:r>
        <w:rPr>
          <w:rFonts w:ascii="Arial" w:hAnsi="Arial"/>
          <w:b w:val="0"/>
          <w:color w:val="646464"/>
          <w:sz w:val="19"/>
        </w:rPr>
        <w:t>Owner: Backend Dev / DevOps   |   Estimate: 0.5 day</w:t>
      </w:r>
    </w:p>
    <w:p>
      <w:pPr>
        <w:spacing w:after="80"/>
      </w:pPr>
      <w:r>
        <w:rPr>
          <w:rFonts w:ascii="Arial" w:hAnsi="Arial"/>
          <w:b/>
          <w:color w:val="1E50A0"/>
          <w:sz w:val="21"/>
        </w:rPr>
        <w:t>Task S1-04: Flyway: V1 — Core schema migration</w:t>
      </w:r>
    </w:p>
    <w:p>
      <w:pPr>
        <w:spacing w:after="40"/>
        <w:ind w:left="360"/>
      </w:pPr>
      <w:r>
        <w:rPr>
          <w:rFonts w:ascii="Arial" w:hAnsi="Arial"/>
          <w:b w:val="0"/>
          <w:sz w:val="20"/>
        </w:rPr>
        <w:t>Create src/main/resources/db/migration/V1__create_core_schema.sql. Include: tenants, users, roles, user_roles tables with UUID PKs, constraints, and indexes. Add tenant_id index on users. Add CHECK constraint on users.status IN ('ACTIVE','INACTIVE','SUSPENDED'). Verify migration runs cleanly on a fresh PostgreSQL instance.</w:t>
      </w:r>
    </w:p>
    <w:p>
      <w:pPr>
        <w:spacing w:after="160"/>
        <w:ind w:left="360"/>
      </w:pPr>
      <w:r>
        <w:rPr>
          <w:rFonts w:ascii="Arial" w:hAnsi="Arial"/>
          <w:b w:val="0"/>
          <w:color w:val="646464"/>
          <w:sz w:val="19"/>
        </w:rPr>
        <w:t>Owner: Backend Dev   |   Estimate: 1 day</w:t>
      </w:r>
    </w:p>
    <w:p>
      <w:pPr>
        <w:spacing w:after="80"/>
      </w:pPr>
      <w:r>
        <w:rPr>
          <w:rFonts w:ascii="Arial" w:hAnsi="Arial"/>
          <w:b/>
          <w:color w:val="1E50A0"/>
          <w:sz w:val="21"/>
        </w:rPr>
        <w:t>Task S1-05: Flyway: V2 — Business entity schema</w:t>
      </w:r>
    </w:p>
    <w:p>
      <w:pPr>
        <w:spacing w:after="40"/>
        <w:ind w:left="360"/>
      </w:pPr>
      <w:r>
        <w:rPr>
          <w:rFonts w:ascii="Arial" w:hAnsi="Arial"/>
          <w:b w:val="0"/>
          <w:sz w:val="20"/>
        </w:rPr>
        <w:t>Create V2__create_business_schema.sql. Include: properties (with tenant_id index), units (add tenant_id column, FK to properties, composite index on tenant_id+status), prospects, applications (with unit_id FK), residents, leases, lease_parties, lease_templates, lease_documents (storage_key not file_path), signature_requests (with signer_id), notifications (with body column), audit_logs, idempotency_keys. Add deleted_at to all business tables. Add all recommended indexes.</w:t>
      </w:r>
    </w:p>
    <w:p>
      <w:pPr>
        <w:spacing w:after="160"/>
        <w:ind w:left="360"/>
      </w:pPr>
      <w:r>
        <w:rPr>
          <w:rFonts w:ascii="Arial" w:hAnsi="Arial"/>
          <w:b w:val="0"/>
          <w:color w:val="646464"/>
          <w:sz w:val="19"/>
        </w:rPr>
        <w:t>Owner: Backend Dev   |   Estimate: 1 day</w:t>
      </w:r>
    </w:p>
    <w:p>
      <w:pPr>
        <w:spacing w:after="80"/>
      </w:pPr>
      <w:r>
        <w:rPr>
          <w:rFonts w:ascii="Arial" w:hAnsi="Arial"/>
          <w:b/>
          <w:color w:val="1E50A0"/>
          <w:sz w:val="21"/>
        </w:rPr>
        <w:t>Task S1-06: BaseEntity and project structure</w:t>
      </w:r>
    </w:p>
    <w:p>
      <w:pPr>
        <w:spacing w:after="40"/>
        <w:ind w:left="360"/>
      </w:pPr>
      <w:r>
        <w:rPr>
          <w:rFonts w:ascii="Arial" w:hAnsi="Arial"/>
          <w:b w:val="0"/>
          <w:sz w:val="20"/>
        </w:rPr>
        <w:t>Create com.abm.leaseflow.common.entity.BaseEntity (@MappedSuperclass) with: id (UUID, @GeneratedValue STRATEGY=UUID), tenantId (UUID), createdAt (Instant, @CreatedDate), updatedAt (Instant, @LastModifiedDate), deletedAt (Instant, nullable). Enable @EnableJpaAuditing. Create the full package structure for all modules (auth, tenant, property, etc.) with placeholder files to lock the architecture.</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S1-07: Global exception handler and error response DTO</w:t>
      </w:r>
    </w:p>
    <w:p>
      <w:pPr>
        <w:spacing w:after="40"/>
        <w:ind w:left="360"/>
      </w:pPr>
      <w:r>
        <w:rPr>
          <w:rFonts w:ascii="Arial" w:hAnsi="Arial"/>
          <w:b w:val="0"/>
          <w:sz w:val="20"/>
        </w:rPr>
        <w:t>Create ApiErrorResponse record: {boolean success, ErrorDetail error, String timestamp, String path}. Create @RestControllerAdvice GlobalExceptionHandler handling: MethodArgumentNotValidException (400), EntityNotFoundException (404), DataIntegrityViolationException (409), AccessDeniedException (403), AuthenticationException (401), and Exception (500). Ensure no stack traces leak to clients. Write unit tests covering each branch.</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S1-08: Structured logging and correlation ID filter</w:t>
      </w:r>
    </w:p>
    <w:p>
      <w:pPr>
        <w:spacing w:after="40"/>
        <w:ind w:left="360"/>
      </w:pPr>
      <w:r>
        <w:rPr>
          <w:rFonts w:ascii="Arial" w:hAnsi="Arial"/>
          <w:b w:val="0"/>
          <w:sz w:val="20"/>
        </w:rPr>
        <w:t>Add logback-spring.xml with JSON encoder (logstash-logback-encoder). Create CorrelationIdFilter (@Component, OncePerRequestFilter) that reads X-Correlation-ID from the request header, generates a UUID if absent, stores it in MDC as correlationId, adds it to the response header, and clears MDC on exit. Add tenantId and userId to MDC in the JWT filter (Task S1-11). Verify logs are JSON-formatted in dev profile.</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S1-09: Actuator and Swagger configuration</w:t>
      </w:r>
    </w:p>
    <w:p>
      <w:pPr>
        <w:spacing w:after="40"/>
        <w:ind w:left="360"/>
      </w:pPr>
      <w:r>
        <w:rPr>
          <w:rFonts w:ascii="Arial" w:hAnsi="Arial"/>
          <w:b w:val="0"/>
          <w:sz w:val="20"/>
        </w:rPr>
        <w:t>Expose /actuator/health and /actuator/info only (disable all other endpoints for security). Configure springdoc: api-docs path /api-docs, swagger-ui path /swagger-ui.html, title 'LeaseFlow API', version 1.0. Add @OpenAPIDefinition with server URLs and security scheme (BearerAuth). Permit /swagger-ui/**, /api-docs/** in Spring Security (dev profile only). Verify Swagger UI loads and shows no endpoints yet (normal at this stage).</w:t>
      </w:r>
    </w:p>
    <w:p>
      <w:pPr>
        <w:spacing w:after="160"/>
        <w:ind w:left="360"/>
      </w:pPr>
      <w:r>
        <w:rPr>
          <w:rFonts w:ascii="Arial" w:hAnsi="Arial"/>
          <w:b w:val="0"/>
          <w:color w:val="646464"/>
          <w:sz w:val="19"/>
        </w:rPr>
        <w:t>Owner: Backend Dev   |   Estimate: 0.5 day</w:t>
      </w:r>
    </w:p>
    <w:p>
      <w:pPr>
        <w:pStyle w:val="Heading2"/>
      </w:pPr>
      <w:r>
        <w:rPr>
          <w:rFonts w:ascii="Arial" w:hAnsi="Arial"/>
          <w:b/>
          <w:color w:val="1E50A0"/>
          <w:sz w:val="26"/>
        </w:rPr>
        <w:t>Week 2 — Identity &amp; Access Management (Phase 1)</w:t>
      </w:r>
    </w:p>
    <w:p>
      <w:pPr>
        <w:spacing w:after="80"/>
      </w:pPr>
      <w:r>
        <w:rPr>
          <w:rFonts w:ascii="Arial" w:hAnsi="Arial"/>
          <w:b/>
          <w:color w:val="1E50A0"/>
          <w:sz w:val="21"/>
        </w:rPr>
        <w:t>Task S1-10: Tenant and User entities + repositories</w:t>
      </w:r>
    </w:p>
    <w:p>
      <w:pPr>
        <w:spacing w:after="40"/>
        <w:ind w:left="360"/>
      </w:pPr>
      <w:r>
        <w:rPr>
          <w:rFonts w:ascii="Arial" w:hAnsi="Arial"/>
          <w:b w:val="0"/>
          <w:sz w:val="20"/>
        </w:rPr>
        <w:t>Create Tenant entity (extends BaseEntity, name, subscriptionPlan, status enum). Create User entity (extends BaseEntity, email unique, passwordHash, enabled, roles Set&lt;Role&gt;). Create Role entity (id UUID, name RoleEnum). Create TenantRepository, UserRepository (findByEmailAndDeletedAtIsNull, existsByEmailAndTenantId), RoleRepository. Write @DataJpaTest repository tests with Testcontainers PostgreSQL.</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S1-11: JWT infrastructure</w:t>
      </w:r>
    </w:p>
    <w:p>
      <w:pPr>
        <w:spacing w:after="40"/>
        <w:ind w:left="360"/>
      </w:pPr>
      <w:r>
        <w:rPr>
          <w:rFonts w:ascii="Arial" w:hAnsi="Arial"/>
          <w:b w:val="0"/>
          <w:sz w:val="20"/>
        </w:rPr>
        <w:t>Add JwtProperties (@ConfigurationProperties prefix=jwt): secret (base64 HS256 key min 256 bits), accessTokenExpiryMs (default 15 min), refreshTokenExpiryMs (default 7 days). Create JwtTokenProvider: generateAccessToken(UserDetails, tenantId), generateRefreshToken(userId), validateToken(token), extractClaims. Claims must include: sub (userId), tenantId, roles, jti. Create JwtAuthenticationFilter (OncePerRequestFilter): extract Bearer token, validate, set SecurityContext, populate MDC with userId and tenantId. Write unit tests for all JWT operations.</w:t>
      </w:r>
    </w:p>
    <w:p>
      <w:pPr>
        <w:spacing w:after="160"/>
        <w:ind w:left="360"/>
      </w:pPr>
      <w:r>
        <w:rPr>
          <w:rFonts w:ascii="Arial" w:hAnsi="Arial"/>
          <w:b w:val="0"/>
          <w:color w:val="646464"/>
          <w:sz w:val="19"/>
        </w:rPr>
        <w:t>Owner: Backend Dev   |   Estimate: 1 day</w:t>
      </w:r>
    </w:p>
    <w:p>
      <w:pPr>
        <w:spacing w:after="80"/>
      </w:pPr>
      <w:r>
        <w:rPr>
          <w:rFonts w:ascii="Arial" w:hAnsi="Arial"/>
          <w:b/>
          <w:color w:val="1E50A0"/>
          <w:sz w:val="21"/>
        </w:rPr>
        <w:t>Task S1-12: TenantContext and security configuration</w:t>
      </w:r>
    </w:p>
    <w:p>
      <w:pPr>
        <w:spacing w:after="40"/>
        <w:ind w:left="360"/>
      </w:pPr>
      <w:r>
        <w:rPr>
          <w:rFonts w:ascii="Arial" w:hAnsi="Arial"/>
          <w:b w:val="0"/>
          <w:sz w:val="20"/>
        </w:rPr>
        <w:t>Create TenantContextHolder (InheritableThreadLocal&lt;UUID&gt;) with set/get/clear. Populate it in JwtAuthenticationFilter after token validation. Create SecurityConfig (@Configuration, @EnableWebSecurity, @EnableMethodSecurity): stateless session, disable CSRF for API, permit /api/v1/auth/**, /actuator/health, /swagger-ui/**, deny all others. Add PasswordEncoder bean (BCrypt strength 12).</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S1-13: Tenant registration API</w:t>
      </w:r>
    </w:p>
    <w:p>
      <w:pPr>
        <w:spacing w:after="40"/>
        <w:ind w:left="360"/>
      </w:pPr>
      <w:r>
        <w:rPr>
          <w:rFonts w:ascii="Arial" w:hAnsi="Arial"/>
          <w:b w:val="0"/>
          <w:sz w:val="20"/>
        </w:rPr>
        <w:t>Create POST /api/v1/auth/register/tenant (public). Request DTO: tenantName (NotBlank), adminEmail (Email, NotBlank), adminPassword (Size min 8, pattern). Service: validate uniqueness of adminEmail globally, create Tenant (ACTIVE), create User with PLATFORM_ADMIN role, encode password. Response: TenantRegistrationResponse {tenantId, adminUserId, email}. Audit event: TENANT_REGISTERED. Write unit + integration tests.</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S1-14: User registration API</w:t>
      </w:r>
    </w:p>
    <w:p>
      <w:pPr>
        <w:spacing w:after="40"/>
        <w:ind w:left="360"/>
      </w:pPr>
      <w:r>
        <w:rPr>
          <w:rFonts w:ascii="Arial" w:hAnsi="Arial"/>
          <w:b w:val="0"/>
          <w:sz w:val="20"/>
        </w:rPr>
        <w:t>Create POST /api/v1/auth/register/user (requires PLATFORM_ADMIN or PROPERTY_MANAGER role). Request DTO: email, password, firstName, lastName, role (RoleEnum). Service: validate email unique within tenant (from TenantContext), create User with specified role. Response: UserResponse {userId, email, role, createdAt}. Audit event: USER_CREATED. Write unit + integration tests including role-enforcement tests.</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S1-15: Login and token issuance API</w:t>
      </w:r>
    </w:p>
    <w:p>
      <w:pPr>
        <w:spacing w:after="40"/>
        <w:ind w:left="360"/>
      </w:pPr>
      <w:r>
        <w:rPr>
          <w:rFonts w:ascii="Arial" w:hAnsi="Arial"/>
          <w:b w:val="0"/>
          <w:sz w:val="20"/>
        </w:rPr>
        <w:t>Create POST /api/v1/auth/login (public). Request DTO: email, password. Service: load user by email and tenantId (via email domain lookup or explicit tenantId in request), verify password via PasswordEncoder.matches, generate accessToken and refreshToken, persist refresh token hash to a refresh_tokens table (userId, tokenHash, expiresAt, revoked). Response: AuthResponse {accessToken, refreshToken, expiresIn, tokenType='Bearer'}. Audit: LOGIN_SUCCESS or LOGIN_FAILED. Write integration test: valid login → 200 with tokens; wrong password → 401.</w:t>
      </w:r>
    </w:p>
    <w:p>
      <w:pPr>
        <w:spacing w:after="160"/>
        <w:ind w:left="360"/>
      </w:pPr>
      <w:r>
        <w:rPr>
          <w:rFonts w:ascii="Arial" w:hAnsi="Arial"/>
          <w:b w:val="0"/>
          <w:color w:val="646464"/>
          <w:sz w:val="19"/>
        </w:rPr>
        <w:t>Owner: Backend Dev   |   Estimate: 1 day</w:t>
      </w:r>
    </w:p>
    <w:p>
      <w:pPr>
        <w:spacing w:after="80"/>
      </w:pPr>
      <w:r>
        <w:rPr>
          <w:rFonts w:ascii="Arial" w:hAnsi="Arial"/>
          <w:b/>
          <w:color w:val="1E50A0"/>
          <w:sz w:val="21"/>
        </w:rPr>
        <w:t>Task S1-16: Refresh token and logout APIs</w:t>
      </w:r>
    </w:p>
    <w:p>
      <w:pPr>
        <w:spacing w:after="40"/>
        <w:ind w:left="360"/>
      </w:pPr>
      <w:r>
        <w:rPr>
          <w:rFonts w:ascii="Arial" w:hAnsi="Arial"/>
          <w:b w:val="0"/>
          <w:sz w:val="20"/>
        </w:rPr>
        <w:t>POST /api/v1/auth/refresh: validate refreshToken (not revoked, not expired), revoke old token, issue new access + refresh token pair (rotation). POST /api/v1/auth/logout (authenticated): revoke the current refresh token for this user. Both must be idempotent. Add refresh_tokens Flyway migration if not already in V1. Write integration tests: refresh with valid token → 200; refresh with revoked token → 401; double-logout → 200 (idempotent).</w:t>
      </w:r>
    </w:p>
    <w:p>
      <w:pPr>
        <w:spacing w:after="160"/>
        <w:ind w:left="360"/>
      </w:pPr>
      <w:r>
        <w:rPr>
          <w:rFonts w:ascii="Arial" w:hAnsi="Arial"/>
          <w:b w:val="0"/>
          <w:color w:val="646464"/>
          <w:sz w:val="19"/>
        </w:rPr>
        <w:t>Owner: Backend Dev   |   Estimate: 1 day</w:t>
      </w:r>
    </w:p>
    <w:p>
      <w:pPr>
        <w:spacing w:after="80"/>
      </w:pPr>
      <w:r>
        <w:rPr>
          <w:rFonts w:ascii="Arial" w:hAnsi="Arial"/>
          <w:b/>
          <w:color w:val="1E50A0"/>
          <w:sz w:val="21"/>
        </w:rPr>
        <w:t>Task S1-17: Audit logging service</w:t>
      </w:r>
    </w:p>
    <w:p>
      <w:pPr>
        <w:spacing w:after="40"/>
        <w:ind w:left="360"/>
      </w:pPr>
      <w:r>
        <w:rPr>
          <w:rFonts w:ascii="Arial" w:hAnsi="Arial"/>
          <w:b w:val="0"/>
          <w:sz w:val="20"/>
        </w:rPr>
        <w:t>Create AuditService.log(entityType, entityId, action, details). Implement as a @TransactionalEventListener on DomainEvents so audit writes never block the main transaction. Audit records must capture: tenantId (from TenantContextHolder), performedBy (from SecurityContext), performedAt (Instant.now()), details (JSONB — use ObjectMapper). Cover: LOGIN_SUCCESS, LOGIN_FAILED, LOGOUT, TENANT_REGISTERED, USER_CREATED in this sprint. Write integration test verifying audit records appear for each auth event.</w:t>
      </w:r>
    </w:p>
    <w:p>
      <w:pPr>
        <w:spacing w:after="160"/>
        <w:ind w:left="360"/>
      </w:pPr>
      <w:r>
        <w:rPr>
          <w:rFonts w:ascii="Arial" w:hAnsi="Arial"/>
          <w:b w:val="0"/>
          <w:color w:val="646464"/>
          <w:sz w:val="19"/>
        </w:rPr>
        <w:t>Owner: Backend Dev   |   Estimate: 0.5 day</w:t>
      </w:r>
    </w:p>
    <w:p>
      <w:pPr>
        <w:spacing w:after="80"/>
      </w:pPr>
      <w:r>
        <w:rPr>
          <w:rFonts w:ascii="Arial" w:hAnsi="Arial"/>
          <w:b/>
          <w:color w:val="1E50A0"/>
          <w:sz w:val="21"/>
        </w:rPr>
        <w:t>Task S1-18: Integration test suite — auth module</w:t>
      </w:r>
    </w:p>
    <w:p>
      <w:pPr>
        <w:spacing w:after="40"/>
        <w:ind w:left="360"/>
      </w:pPr>
      <w:r>
        <w:rPr>
          <w:rFonts w:ascii="Arial" w:hAnsi="Arial"/>
          <w:b w:val="0"/>
          <w:sz w:val="20"/>
        </w:rPr>
        <w:t>Write @SpringBootTest + Testcontainers PostgreSQL tests for the full auth flow: (1) register tenant + admin, (2) login → receive tokens, (3) call a protected endpoint with access token, (4) refresh tokens, (5) logout, (6) verify revoked token rejected. Test RBAC: RESIDENT cannot call POST /api/v1/auth/register/user → 403. Test validation: missing email → 400 with structured error body. Achieve &gt;= 80% line coverage on AuthService, UserService, TenantService.</w:t>
      </w:r>
    </w:p>
    <w:p>
      <w:pPr>
        <w:spacing w:after="160"/>
        <w:ind w:left="360"/>
      </w:pPr>
      <w:r>
        <w:rPr>
          <w:rFonts w:ascii="Arial" w:hAnsi="Arial"/>
          <w:b w:val="0"/>
          <w:color w:val="646464"/>
          <w:sz w:val="19"/>
        </w:rPr>
        <w:t>Owner: Backend Dev   |   Estimate: 1 day</w:t>
      </w:r>
    </w:p>
    <w:p>
      <w:pPr>
        <w:spacing w:after="80"/>
      </w:pPr>
      <w:r>
        <w:rPr>
          <w:rFonts w:ascii="Arial" w:hAnsi="Arial"/>
          <w:b/>
          <w:color w:val="1E50A0"/>
          <w:sz w:val="21"/>
        </w:rPr>
        <w:t>Task S1-19: CI pipeline — GitHub Actions</w:t>
      </w:r>
    </w:p>
    <w:p>
      <w:pPr>
        <w:spacing w:after="40"/>
        <w:ind w:left="360"/>
      </w:pPr>
      <w:r>
        <w:rPr>
          <w:rFonts w:ascii="Arial" w:hAnsi="Arial"/>
          <w:b w:val="0"/>
          <w:sz w:val="20"/>
        </w:rPr>
        <w:t>Create .github/workflows/ci.yml: trigger on push to main and pull_request. Steps: checkout, setup Java 21, Gradle cache, ./gradlew build (runs unit tests), ./gradlew integrationTest (runs Testcontainers tests — requires Docker in runner), upload test reports as artifacts. Set POSTGRES_* env vars for the integration test step. Verify pipeline passes end-to-end on a feature branch before merging.</w:t>
      </w:r>
    </w:p>
    <w:p>
      <w:pPr>
        <w:spacing w:after="160"/>
        <w:ind w:left="360"/>
      </w:pPr>
      <w:r>
        <w:rPr>
          <w:rFonts w:ascii="Arial" w:hAnsi="Arial"/>
          <w:b w:val="0"/>
          <w:color w:val="646464"/>
          <w:sz w:val="19"/>
        </w:rPr>
        <w:t>Owner: Backend Dev / DevOps   |   Estimate: 0.5 day</w:t>
      </w:r>
    </w:p>
    <w:p>
      <w:pPr>
        <w:pStyle w:val="Heading1"/>
      </w:pPr>
      <w:r>
        <w:rPr>
          <w:rFonts w:ascii="Arial" w:hAnsi="Arial"/>
          <w:b/>
          <w:color w:val="1E50A0"/>
          <w:sz w:val="32"/>
        </w:rPr>
        <w:t>6. Sprint 1 Task Summary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fill="2E4F8A" w:val="clear"/>
          </w:tcPr>
          <w:p>
            <w:r>
              <w:rPr>
                <w:rFonts w:ascii="Arial" w:hAnsi="Arial"/>
                <w:b/>
                <w:color w:val="FFFFFF"/>
                <w:sz w:val="20"/>
              </w:rPr>
              <w:t>Task ID</w:t>
            </w:r>
          </w:p>
        </w:tc>
        <w:tc>
          <w:tcPr>
            <w:tcW w:type="dxa" w:w="7488"/>
            <w:shd w:fill="2E4F8A" w:val="clear"/>
          </w:tcPr>
          <w:p>
            <w:r>
              <w:rPr>
                <w:rFonts w:ascii="Arial" w:hAnsi="Arial"/>
                <w:b/>
                <w:color w:val="FFFFFF"/>
                <w:sz w:val="20"/>
              </w:rPr>
              <w:t>Title</w:t>
            </w:r>
          </w:p>
        </w:tc>
        <w:tc>
          <w:tcPr>
            <w:tcW w:type="dxa" w:w="1008"/>
            <w:shd w:fill="2E4F8A" w:val="clear"/>
          </w:tcPr>
          <w:p>
            <w:r>
              <w:rPr>
                <w:rFonts w:ascii="Arial" w:hAnsi="Arial"/>
                <w:b/>
                <w:color w:val="FFFFFF"/>
                <w:sz w:val="20"/>
              </w:rPr>
              <w:t>Week</w:t>
            </w:r>
          </w:p>
        </w:tc>
        <w:tc>
          <w:tcPr>
            <w:tcW w:type="dxa" w:w="1152"/>
            <w:shd w:fill="2E4F8A" w:val="clear"/>
          </w:tcPr>
          <w:p>
            <w:r>
              <w:rPr>
                <w:rFonts w:ascii="Arial" w:hAnsi="Arial"/>
                <w:b/>
                <w:color w:val="FFFFFF"/>
                <w:sz w:val="20"/>
              </w:rPr>
              <w:t>Estimate</w:t>
            </w:r>
          </w:p>
        </w:tc>
      </w:tr>
      <w:tr>
        <w:tc>
          <w:tcPr>
            <w:tcW w:type="dxa" w:w="1152"/>
            <w:shd w:fill="EEF3FA" w:val="clear"/>
          </w:tcPr>
          <w:p>
            <w:r>
              <w:rPr>
                <w:rFonts w:ascii="Arial" w:hAnsi="Arial"/>
                <w:sz w:val="19"/>
              </w:rPr>
              <w:t>S1-01</w:t>
            </w:r>
          </w:p>
        </w:tc>
        <w:tc>
          <w:tcPr>
            <w:tcW w:type="dxa" w:w="7488"/>
            <w:shd w:fill="EEF3FA" w:val="clear"/>
          </w:tcPr>
          <w:p>
            <w:r>
              <w:rPr>
                <w:rFonts w:ascii="Arial" w:hAnsi="Arial"/>
                <w:sz w:val="19"/>
              </w:rPr>
              <w:t>Fix build.gradle</w:t>
            </w:r>
          </w:p>
        </w:tc>
        <w:tc>
          <w:tcPr>
            <w:tcW w:type="dxa" w:w="1008"/>
            <w:shd w:fill="EEF3FA" w:val="clear"/>
          </w:tcPr>
          <w:p>
            <w:r>
              <w:rPr>
                <w:rFonts w:ascii="Arial" w:hAnsi="Arial"/>
                <w:sz w:val="19"/>
              </w:rPr>
              <w:t>1</w:t>
            </w:r>
          </w:p>
        </w:tc>
        <w:tc>
          <w:tcPr>
            <w:tcW w:type="dxa" w:w="1152"/>
            <w:shd w:fill="EEF3FA" w:val="clear"/>
          </w:tcPr>
          <w:p>
            <w:r>
              <w:rPr>
                <w:rFonts w:ascii="Arial" w:hAnsi="Arial"/>
                <w:sz w:val="19"/>
              </w:rPr>
              <w:t>0.5 d</w:t>
            </w:r>
          </w:p>
        </w:tc>
      </w:tr>
      <w:tr>
        <w:tc>
          <w:tcPr>
            <w:tcW w:type="dxa" w:w="1152"/>
            <w:shd w:fill="EEF3FA" w:val="clear"/>
          </w:tcPr>
          <w:p>
            <w:r>
              <w:rPr>
                <w:rFonts w:ascii="Arial" w:hAnsi="Arial"/>
                <w:sz w:val="19"/>
              </w:rPr>
              <w:t>S1-02</w:t>
            </w:r>
          </w:p>
        </w:tc>
        <w:tc>
          <w:tcPr>
            <w:tcW w:type="dxa" w:w="7488"/>
            <w:shd w:fill="EEF3FA" w:val="clear"/>
          </w:tcPr>
          <w:p>
            <w:r>
              <w:rPr>
                <w:rFonts w:ascii="Arial" w:hAnsi="Arial"/>
                <w:sz w:val="19"/>
              </w:rPr>
              <w:t>Rename package + application properties</w:t>
            </w:r>
          </w:p>
        </w:tc>
        <w:tc>
          <w:tcPr>
            <w:tcW w:type="dxa" w:w="1008"/>
            <w:shd w:fill="EEF3FA" w:val="clear"/>
          </w:tcPr>
          <w:p>
            <w:r>
              <w:rPr>
                <w:rFonts w:ascii="Arial" w:hAnsi="Arial"/>
                <w:sz w:val="19"/>
              </w:rPr>
              <w:t>1</w:t>
            </w:r>
          </w:p>
        </w:tc>
        <w:tc>
          <w:tcPr>
            <w:tcW w:type="dxa" w:w="1152"/>
            <w:shd w:fill="EEF3FA" w:val="clear"/>
          </w:tcPr>
          <w:p>
            <w:r>
              <w:rPr>
                <w:rFonts w:ascii="Arial" w:hAnsi="Arial"/>
                <w:sz w:val="19"/>
              </w:rPr>
              <w:t>0.5 d</w:t>
            </w:r>
          </w:p>
        </w:tc>
      </w:tr>
      <w:tr>
        <w:tc>
          <w:tcPr>
            <w:tcW w:type="dxa" w:w="1152"/>
            <w:shd w:fill="EEF3FA" w:val="clear"/>
          </w:tcPr>
          <w:p>
            <w:r>
              <w:rPr>
                <w:rFonts w:ascii="Arial" w:hAnsi="Arial"/>
                <w:sz w:val="19"/>
              </w:rPr>
              <w:t>S1-03</w:t>
            </w:r>
          </w:p>
        </w:tc>
        <w:tc>
          <w:tcPr>
            <w:tcW w:type="dxa" w:w="7488"/>
            <w:shd w:fill="EEF3FA" w:val="clear"/>
          </w:tcPr>
          <w:p>
            <w:r>
              <w:rPr>
                <w:rFonts w:ascii="Arial" w:hAnsi="Arial"/>
                <w:sz w:val="19"/>
              </w:rPr>
              <w:t>Docker Compose setup</w:t>
            </w:r>
          </w:p>
        </w:tc>
        <w:tc>
          <w:tcPr>
            <w:tcW w:type="dxa" w:w="1008"/>
            <w:shd w:fill="EEF3FA" w:val="clear"/>
          </w:tcPr>
          <w:p>
            <w:r>
              <w:rPr>
                <w:rFonts w:ascii="Arial" w:hAnsi="Arial"/>
                <w:sz w:val="19"/>
              </w:rPr>
              <w:t>1</w:t>
            </w:r>
          </w:p>
        </w:tc>
        <w:tc>
          <w:tcPr>
            <w:tcW w:type="dxa" w:w="1152"/>
            <w:shd w:fill="EEF3FA" w:val="clear"/>
          </w:tcPr>
          <w:p>
            <w:r>
              <w:rPr>
                <w:rFonts w:ascii="Arial" w:hAnsi="Arial"/>
                <w:sz w:val="19"/>
              </w:rPr>
              <w:t>0.5 d</w:t>
            </w:r>
          </w:p>
        </w:tc>
      </w:tr>
      <w:tr>
        <w:tc>
          <w:tcPr>
            <w:tcW w:type="dxa" w:w="1152"/>
            <w:shd w:fill="EEF3FA" w:val="clear"/>
          </w:tcPr>
          <w:p>
            <w:r>
              <w:rPr>
                <w:rFonts w:ascii="Arial" w:hAnsi="Arial"/>
                <w:sz w:val="19"/>
              </w:rPr>
              <w:t>S1-04</w:t>
            </w:r>
          </w:p>
        </w:tc>
        <w:tc>
          <w:tcPr>
            <w:tcW w:type="dxa" w:w="7488"/>
            <w:shd w:fill="EEF3FA" w:val="clear"/>
          </w:tcPr>
          <w:p>
            <w:r>
              <w:rPr>
                <w:rFonts w:ascii="Arial" w:hAnsi="Arial"/>
                <w:sz w:val="19"/>
              </w:rPr>
              <w:t>Flyway V1 — Core schema</w:t>
            </w:r>
          </w:p>
        </w:tc>
        <w:tc>
          <w:tcPr>
            <w:tcW w:type="dxa" w:w="1008"/>
            <w:shd w:fill="EEF3FA" w:val="clear"/>
          </w:tcPr>
          <w:p>
            <w:r>
              <w:rPr>
                <w:rFonts w:ascii="Arial" w:hAnsi="Arial"/>
                <w:sz w:val="19"/>
              </w:rPr>
              <w:t>1</w:t>
            </w:r>
          </w:p>
        </w:tc>
        <w:tc>
          <w:tcPr>
            <w:tcW w:type="dxa" w:w="1152"/>
            <w:shd w:fill="EEF3FA" w:val="clear"/>
          </w:tcPr>
          <w:p>
            <w:r>
              <w:rPr>
                <w:rFonts w:ascii="Arial" w:hAnsi="Arial"/>
                <w:sz w:val="19"/>
              </w:rPr>
              <w:t>1.0 d</w:t>
            </w:r>
          </w:p>
        </w:tc>
      </w:tr>
      <w:tr>
        <w:tc>
          <w:tcPr>
            <w:tcW w:type="dxa" w:w="1152"/>
            <w:shd w:fill="EEF3FA" w:val="clear"/>
          </w:tcPr>
          <w:p>
            <w:r>
              <w:rPr>
                <w:rFonts w:ascii="Arial" w:hAnsi="Arial"/>
                <w:sz w:val="19"/>
              </w:rPr>
              <w:t>S1-05</w:t>
            </w:r>
          </w:p>
        </w:tc>
        <w:tc>
          <w:tcPr>
            <w:tcW w:type="dxa" w:w="7488"/>
            <w:shd w:fill="EEF3FA" w:val="clear"/>
          </w:tcPr>
          <w:p>
            <w:r>
              <w:rPr>
                <w:rFonts w:ascii="Arial" w:hAnsi="Arial"/>
                <w:sz w:val="19"/>
              </w:rPr>
              <w:t>Flyway V2 — Business entity schema</w:t>
            </w:r>
          </w:p>
        </w:tc>
        <w:tc>
          <w:tcPr>
            <w:tcW w:type="dxa" w:w="1008"/>
            <w:shd w:fill="EEF3FA" w:val="clear"/>
          </w:tcPr>
          <w:p>
            <w:r>
              <w:rPr>
                <w:rFonts w:ascii="Arial" w:hAnsi="Arial"/>
                <w:sz w:val="19"/>
              </w:rPr>
              <w:t>1</w:t>
            </w:r>
          </w:p>
        </w:tc>
        <w:tc>
          <w:tcPr>
            <w:tcW w:type="dxa" w:w="1152"/>
            <w:shd w:fill="EEF3FA" w:val="clear"/>
          </w:tcPr>
          <w:p>
            <w:r>
              <w:rPr>
                <w:rFonts w:ascii="Arial" w:hAnsi="Arial"/>
                <w:sz w:val="19"/>
              </w:rPr>
              <w:t>1.0 d</w:t>
            </w:r>
          </w:p>
        </w:tc>
      </w:tr>
      <w:tr>
        <w:tc>
          <w:tcPr>
            <w:tcW w:type="dxa" w:w="1152"/>
            <w:shd w:fill="EEF3FA" w:val="clear"/>
          </w:tcPr>
          <w:p>
            <w:r>
              <w:rPr>
                <w:rFonts w:ascii="Arial" w:hAnsi="Arial"/>
                <w:sz w:val="19"/>
              </w:rPr>
              <w:t>S1-06</w:t>
            </w:r>
          </w:p>
        </w:tc>
        <w:tc>
          <w:tcPr>
            <w:tcW w:type="dxa" w:w="7488"/>
            <w:shd w:fill="EEF3FA" w:val="clear"/>
          </w:tcPr>
          <w:p>
            <w:r>
              <w:rPr>
                <w:rFonts w:ascii="Arial" w:hAnsi="Arial"/>
                <w:sz w:val="19"/>
              </w:rPr>
              <w:t>BaseEntity + package structure</w:t>
            </w:r>
          </w:p>
        </w:tc>
        <w:tc>
          <w:tcPr>
            <w:tcW w:type="dxa" w:w="1008"/>
            <w:shd w:fill="EEF3FA" w:val="clear"/>
          </w:tcPr>
          <w:p>
            <w:r>
              <w:rPr>
                <w:rFonts w:ascii="Arial" w:hAnsi="Arial"/>
                <w:sz w:val="19"/>
              </w:rPr>
              <w:t>1</w:t>
            </w:r>
          </w:p>
        </w:tc>
        <w:tc>
          <w:tcPr>
            <w:tcW w:type="dxa" w:w="1152"/>
            <w:shd w:fill="EEF3FA" w:val="clear"/>
          </w:tcPr>
          <w:p>
            <w:r>
              <w:rPr>
                <w:rFonts w:ascii="Arial" w:hAnsi="Arial"/>
                <w:sz w:val="19"/>
              </w:rPr>
              <w:t>0.5 d</w:t>
            </w:r>
          </w:p>
        </w:tc>
      </w:tr>
      <w:tr>
        <w:tc>
          <w:tcPr>
            <w:tcW w:type="dxa" w:w="1152"/>
            <w:shd w:fill="EEF3FA" w:val="clear"/>
          </w:tcPr>
          <w:p>
            <w:r>
              <w:rPr>
                <w:rFonts w:ascii="Arial" w:hAnsi="Arial"/>
                <w:sz w:val="19"/>
              </w:rPr>
              <w:t>S1-07</w:t>
            </w:r>
          </w:p>
        </w:tc>
        <w:tc>
          <w:tcPr>
            <w:tcW w:type="dxa" w:w="7488"/>
            <w:shd w:fill="EEF3FA" w:val="clear"/>
          </w:tcPr>
          <w:p>
            <w:r>
              <w:rPr>
                <w:rFonts w:ascii="Arial" w:hAnsi="Arial"/>
                <w:sz w:val="19"/>
              </w:rPr>
              <w:t>Global exception handler</w:t>
            </w:r>
          </w:p>
        </w:tc>
        <w:tc>
          <w:tcPr>
            <w:tcW w:type="dxa" w:w="1008"/>
            <w:shd w:fill="EEF3FA" w:val="clear"/>
          </w:tcPr>
          <w:p>
            <w:r>
              <w:rPr>
                <w:rFonts w:ascii="Arial" w:hAnsi="Arial"/>
                <w:sz w:val="19"/>
              </w:rPr>
              <w:t>1</w:t>
            </w:r>
          </w:p>
        </w:tc>
        <w:tc>
          <w:tcPr>
            <w:tcW w:type="dxa" w:w="1152"/>
            <w:shd w:fill="EEF3FA" w:val="clear"/>
          </w:tcPr>
          <w:p>
            <w:r>
              <w:rPr>
                <w:rFonts w:ascii="Arial" w:hAnsi="Arial"/>
                <w:sz w:val="19"/>
              </w:rPr>
              <w:t>0.5 d</w:t>
            </w:r>
          </w:p>
        </w:tc>
      </w:tr>
      <w:tr>
        <w:tc>
          <w:tcPr>
            <w:tcW w:type="dxa" w:w="1152"/>
            <w:shd w:fill="EEF3FA" w:val="clear"/>
          </w:tcPr>
          <w:p>
            <w:r>
              <w:rPr>
                <w:rFonts w:ascii="Arial" w:hAnsi="Arial"/>
                <w:sz w:val="19"/>
              </w:rPr>
              <w:t>S1-08</w:t>
            </w:r>
          </w:p>
        </w:tc>
        <w:tc>
          <w:tcPr>
            <w:tcW w:type="dxa" w:w="7488"/>
            <w:shd w:fill="EEF3FA" w:val="clear"/>
          </w:tcPr>
          <w:p>
            <w:r>
              <w:rPr>
                <w:rFonts w:ascii="Arial" w:hAnsi="Arial"/>
                <w:sz w:val="19"/>
              </w:rPr>
              <w:t>Structured logging + Correlation ID filter</w:t>
            </w:r>
          </w:p>
        </w:tc>
        <w:tc>
          <w:tcPr>
            <w:tcW w:type="dxa" w:w="1008"/>
            <w:shd w:fill="EEF3FA" w:val="clear"/>
          </w:tcPr>
          <w:p>
            <w:r>
              <w:rPr>
                <w:rFonts w:ascii="Arial" w:hAnsi="Arial"/>
                <w:sz w:val="19"/>
              </w:rPr>
              <w:t>1</w:t>
            </w:r>
          </w:p>
        </w:tc>
        <w:tc>
          <w:tcPr>
            <w:tcW w:type="dxa" w:w="1152"/>
            <w:shd w:fill="EEF3FA" w:val="clear"/>
          </w:tcPr>
          <w:p>
            <w:r>
              <w:rPr>
                <w:rFonts w:ascii="Arial" w:hAnsi="Arial"/>
                <w:sz w:val="19"/>
              </w:rPr>
              <w:t>0.5 d</w:t>
            </w:r>
          </w:p>
        </w:tc>
      </w:tr>
      <w:tr>
        <w:tc>
          <w:tcPr>
            <w:tcW w:type="dxa" w:w="1152"/>
            <w:shd w:fill="EEF3FA" w:val="clear"/>
          </w:tcPr>
          <w:p>
            <w:r>
              <w:rPr>
                <w:rFonts w:ascii="Arial" w:hAnsi="Arial"/>
                <w:sz w:val="19"/>
              </w:rPr>
              <w:t>S1-09</w:t>
            </w:r>
          </w:p>
        </w:tc>
        <w:tc>
          <w:tcPr>
            <w:tcW w:type="dxa" w:w="7488"/>
            <w:shd w:fill="EEF3FA" w:val="clear"/>
          </w:tcPr>
          <w:p>
            <w:r>
              <w:rPr>
                <w:rFonts w:ascii="Arial" w:hAnsi="Arial"/>
                <w:sz w:val="19"/>
              </w:rPr>
              <w:t>Actuator + Swagger configuration</w:t>
            </w:r>
          </w:p>
        </w:tc>
        <w:tc>
          <w:tcPr>
            <w:tcW w:type="dxa" w:w="1008"/>
            <w:shd w:fill="EEF3FA" w:val="clear"/>
          </w:tcPr>
          <w:p>
            <w:r>
              <w:rPr>
                <w:rFonts w:ascii="Arial" w:hAnsi="Arial"/>
                <w:sz w:val="19"/>
              </w:rPr>
              <w:t>1</w:t>
            </w:r>
          </w:p>
        </w:tc>
        <w:tc>
          <w:tcPr>
            <w:tcW w:type="dxa" w:w="1152"/>
            <w:shd w:fill="EEF3FA" w:val="clear"/>
          </w:tcPr>
          <w:p>
            <w:r>
              <w:rPr>
                <w:rFonts w:ascii="Arial" w:hAnsi="Arial"/>
                <w:sz w:val="19"/>
              </w:rPr>
              <w:t>0.5 d</w:t>
            </w:r>
          </w:p>
        </w:tc>
      </w:tr>
      <w:tr>
        <w:tc>
          <w:tcPr>
            <w:tcW w:type="dxa" w:w="1152"/>
            <w:shd w:fill="F5F0FA" w:val="clear"/>
          </w:tcPr>
          <w:p>
            <w:r>
              <w:rPr>
                <w:rFonts w:ascii="Arial" w:hAnsi="Arial"/>
                <w:sz w:val="19"/>
              </w:rPr>
              <w:t>S1-10</w:t>
            </w:r>
          </w:p>
        </w:tc>
        <w:tc>
          <w:tcPr>
            <w:tcW w:type="dxa" w:w="7488"/>
            <w:shd w:fill="F5F0FA" w:val="clear"/>
          </w:tcPr>
          <w:p>
            <w:r>
              <w:rPr>
                <w:rFonts w:ascii="Arial" w:hAnsi="Arial"/>
                <w:sz w:val="19"/>
              </w:rPr>
              <w:t>Tenant &amp; User entities + repositories</w:t>
            </w:r>
          </w:p>
        </w:tc>
        <w:tc>
          <w:tcPr>
            <w:tcW w:type="dxa" w:w="1008"/>
            <w:shd w:fill="F5F0FA" w:val="clear"/>
          </w:tcPr>
          <w:p>
            <w:r>
              <w:rPr>
                <w:rFonts w:ascii="Arial" w:hAnsi="Arial"/>
                <w:sz w:val="19"/>
              </w:rPr>
              <w:t>2</w:t>
            </w:r>
          </w:p>
        </w:tc>
        <w:tc>
          <w:tcPr>
            <w:tcW w:type="dxa" w:w="1152"/>
            <w:shd w:fill="F5F0FA" w:val="clear"/>
          </w:tcPr>
          <w:p>
            <w:r>
              <w:rPr>
                <w:rFonts w:ascii="Arial" w:hAnsi="Arial"/>
                <w:sz w:val="19"/>
              </w:rPr>
              <w:t>0.5 d</w:t>
            </w:r>
          </w:p>
        </w:tc>
      </w:tr>
      <w:tr>
        <w:tc>
          <w:tcPr>
            <w:tcW w:type="dxa" w:w="1152"/>
            <w:shd w:fill="F5F0FA" w:val="clear"/>
          </w:tcPr>
          <w:p>
            <w:r>
              <w:rPr>
                <w:rFonts w:ascii="Arial" w:hAnsi="Arial"/>
                <w:sz w:val="19"/>
              </w:rPr>
              <w:t>S1-11</w:t>
            </w:r>
          </w:p>
        </w:tc>
        <w:tc>
          <w:tcPr>
            <w:tcW w:type="dxa" w:w="7488"/>
            <w:shd w:fill="F5F0FA" w:val="clear"/>
          </w:tcPr>
          <w:p>
            <w:r>
              <w:rPr>
                <w:rFonts w:ascii="Arial" w:hAnsi="Arial"/>
                <w:sz w:val="19"/>
              </w:rPr>
              <w:t>JWT infrastructure</w:t>
            </w:r>
          </w:p>
        </w:tc>
        <w:tc>
          <w:tcPr>
            <w:tcW w:type="dxa" w:w="1008"/>
            <w:shd w:fill="F5F0FA" w:val="clear"/>
          </w:tcPr>
          <w:p>
            <w:r>
              <w:rPr>
                <w:rFonts w:ascii="Arial" w:hAnsi="Arial"/>
                <w:sz w:val="19"/>
              </w:rPr>
              <w:t>2</w:t>
            </w:r>
          </w:p>
        </w:tc>
        <w:tc>
          <w:tcPr>
            <w:tcW w:type="dxa" w:w="1152"/>
            <w:shd w:fill="F5F0FA" w:val="clear"/>
          </w:tcPr>
          <w:p>
            <w:r>
              <w:rPr>
                <w:rFonts w:ascii="Arial" w:hAnsi="Arial"/>
                <w:sz w:val="19"/>
              </w:rPr>
              <w:t>1.0 d</w:t>
            </w:r>
          </w:p>
        </w:tc>
      </w:tr>
      <w:tr>
        <w:tc>
          <w:tcPr>
            <w:tcW w:type="dxa" w:w="1152"/>
            <w:shd w:fill="F5F0FA" w:val="clear"/>
          </w:tcPr>
          <w:p>
            <w:r>
              <w:rPr>
                <w:rFonts w:ascii="Arial" w:hAnsi="Arial"/>
                <w:sz w:val="19"/>
              </w:rPr>
              <w:t>S1-12</w:t>
            </w:r>
          </w:p>
        </w:tc>
        <w:tc>
          <w:tcPr>
            <w:tcW w:type="dxa" w:w="7488"/>
            <w:shd w:fill="F5F0FA" w:val="clear"/>
          </w:tcPr>
          <w:p>
            <w:r>
              <w:rPr>
                <w:rFonts w:ascii="Arial" w:hAnsi="Arial"/>
                <w:sz w:val="19"/>
              </w:rPr>
              <w:t>TenantContext + Security configuration</w:t>
            </w:r>
          </w:p>
        </w:tc>
        <w:tc>
          <w:tcPr>
            <w:tcW w:type="dxa" w:w="1008"/>
            <w:shd w:fill="F5F0FA" w:val="clear"/>
          </w:tcPr>
          <w:p>
            <w:r>
              <w:rPr>
                <w:rFonts w:ascii="Arial" w:hAnsi="Arial"/>
                <w:sz w:val="19"/>
              </w:rPr>
              <w:t>2</w:t>
            </w:r>
          </w:p>
        </w:tc>
        <w:tc>
          <w:tcPr>
            <w:tcW w:type="dxa" w:w="1152"/>
            <w:shd w:fill="F5F0FA" w:val="clear"/>
          </w:tcPr>
          <w:p>
            <w:r>
              <w:rPr>
                <w:rFonts w:ascii="Arial" w:hAnsi="Arial"/>
                <w:sz w:val="19"/>
              </w:rPr>
              <w:t>0.5 d</w:t>
            </w:r>
          </w:p>
        </w:tc>
      </w:tr>
      <w:tr>
        <w:tc>
          <w:tcPr>
            <w:tcW w:type="dxa" w:w="1152"/>
            <w:shd w:fill="F5F0FA" w:val="clear"/>
          </w:tcPr>
          <w:p>
            <w:r>
              <w:rPr>
                <w:rFonts w:ascii="Arial" w:hAnsi="Arial"/>
                <w:sz w:val="19"/>
              </w:rPr>
              <w:t>S1-13</w:t>
            </w:r>
          </w:p>
        </w:tc>
        <w:tc>
          <w:tcPr>
            <w:tcW w:type="dxa" w:w="7488"/>
            <w:shd w:fill="F5F0FA" w:val="clear"/>
          </w:tcPr>
          <w:p>
            <w:r>
              <w:rPr>
                <w:rFonts w:ascii="Arial" w:hAnsi="Arial"/>
                <w:sz w:val="19"/>
              </w:rPr>
              <w:t>Tenant registration API</w:t>
            </w:r>
          </w:p>
        </w:tc>
        <w:tc>
          <w:tcPr>
            <w:tcW w:type="dxa" w:w="1008"/>
            <w:shd w:fill="F5F0FA" w:val="clear"/>
          </w:tcPr>
          <w:p>
            <w:r>
              <w:rPr>
                <w:rFonts w:ascii="Arial" w:hAnsi="Arial"/>
                <w:sz w:val="19"/>
              </w:rPr>
              <w:t>2</w:t>
            </w:r>
          </w:p>
        </w:tc>
        <w:tc>
          <w:tcPr>
            <w:tcW w:type="dxa" w:w="1152"/>
            <w:shd w:fill="F5F0FA" w:val="clear"/>
          </w:tcPr>
          <w:p>
            <w:r>
              <w:rPr>
                <w:rFonts w:ascii="Arial" w:hAnsi="Arial"/>
                <w:sz w:val="19"/>
              </w:rPr>
              <w:t>0.5 d</w:t>
            </w:r>
          </w:p>
        </w:tc>
      </w:tr>
      <w:tr>
        <w:tc>
          <w:tcPr>
            <w:tcW w:type="dxa" w:w="1152"/>
            <w:shd w:fill="F5F0FA" w:val="clear"/>
          </w:tcPr>
          <w:p>
            <w:r>
              <w:rPr>
                <w:rFonts w:ascii="Arial" w:hAnsi="Arial"/>
                <w:sz w:val="19"/>
              </w:rPr>
              <w:t>S1-14</w:t>
            </w:r>
          </w:p>
        </w:tc>
        <w:tc>
          <w:tcPr>
            <w:tcW w:type="dxa" w:w="7488"/>
            <w:shd w:fill="F5F0FA" w:val="clear"/>
          </w:tcPr>
          <w:p>
            <w:r>
              <w:rPr>
                <w:rFonts w:ascii="Arial" w:hAnsi="Arial"/>
                <w:sz w:val="19"/>
              </w:rPr>
              <w:t>User registration API</w:t>
            </w:r>
          </w:p>
        </w:tc>
        <w:tc>
          <w:tcPr>
            <w:tcW w:type="dxa" w:w="1008"/>
            <w:shd w:fill="F5F0FA" w:val="clear"/>
          </w:tcPr>
          <w:p>
            <w:r>
              <w:rPr>
                <w:rFonts w:ascii="Arial" w:hAnsi="Arial"/>
                <w:sz w:val="19"/>
              </w:rPr>
              <w:t>2</w:t>
            </w:r>
          </w:p>
        </w:tc>
        <w:tc>
          <w:tcPr>
            <w:tcW w:type="dxa" w:w="1152"/>
            <w:shd w:fill="F5F0FA" w:val="clear"/>
          </w:tcPr>
          <w:p>
            <w:r>
              <w:rPr>
                <w:rFonts w:ascii="Arial" w:hAnsi="Arial"/>
                <w:sz w:val="19"/>
              </w:rPr>
              <w:t>0.5 d</w:t>
            </w:r>
          </w:p>
        </w:tc>
      </w:tr>
      <w:tr>
        <w:tc>
          <w:tcPr>
            <w:tcW w:type="dxa" w:w="1152"/>
            <w:shd w:fill="F5F0FA" w:val="clear"/>
          </w:tcPr>
          <w:p>
            <w:r>
              <w:rPr>
                <w:rFonts w:ascii="Arial" w:hAnsi="Arial"/>
                <w:sz w:val="19"/>
              </w:rPr>
              <w:t>S1-15</w:t>
            </w:r>
          </w:p>
        </w:tc>
        <w:tc>
          <w:tcPr>
            <w:tcW w:type="dxa" w:w="7488"/>
            <w:shd w:fill="F5F0FA" w:val="clear"/>
          </w:tcPr>
          <w:p>
            <w:r>
              <w:rPr>
                <w:rFonts w:ascii="Arial" w:hAnsi="Arial"/>
                <w:sz w:val="19"/>
              </w:rPr>
              <w:t>Login + token issuance API</w:t>
            </w:r>
          </w:p>
        </w:tc>
        <w:tc>
          <w:tcPr>
            <w:tcW w:type="dxa" w:w="1008"/>
            <w:shd w:fill="F5F0FA" w:val="clear"/>
          </w:tcPr>
          <w:p>
            <w:r>
              <w:rPr>
                <w:rFonts w:ascii="Arial" w:hAnsi="Arial"/>
                <w:sz w:val="19"/>
              </w:rPr>
              <w:t>2</w:t>
            </w:r>
          </w:p>
        </w:tc>
        <w:tc>
          <w:tcPr>
            <w:tcW w:type="dxa" w:w="1152"/>
            <w:shd w:fill="F5F0FA" w:val="clear"/>
          </w:tcPr>
          <w:p>
            <w:r>
              <w:rPr>
                <w:rFonts w:ascii="Arial" w:hAnsi="Arial"/>
                <w:sz w:val="19"/>
              </w:rPr>
              <w:t>1.0 d</w:t>
            </w:r>
          </w:p>
        </w:tc>
      </w:tr>
      <w:tr>
        <w:tc>
          <w:tcPr>
            <w:tcW w:type="dxa" w:w="1152"/>
            <w:shd w:fill="F5F0FA" w:val="clear"/>
          </w:tcPr>
          <w:p>
            <w:r>
              <w:rPr>
                <w:rFonts w:ascii="Arial" w:hAnsi="Arial"/>
                <w:sz w:val="19"/>
              </w:rPr>
              <w:t>S1-16</w:t>
            </w:r>
          </w:p>
        </w:tc>
        <w:tc>
          <w:tcPr>
            <w:tcW w:type="dxa" w:w="7488"/>
            <w:shd w:fill="F5F0FA" w:val="clear"/>
          </w:tcPr>
          <w:p>
            <w:r>
              <w:rPr>
                <w:rFonts w:ascii="Arial" w:hAnsi="Arial"/>
                <w:sz w:val="19"/>
              </w:rPr>
              <w:t>Refresh token + logout APIs</w:t>
            </w:r>
          </w:p>
        </w:tc>
        <w:tc>
          <w:tcPr>
            <w:tcW w:type="dxa" w:w="1008"/>
            <w:shd w:fill="F5F0FA" w:val="clear"/>
          </w:tcPr>
          <w:p>
            <w:r>
              <w:rPr>
                <w:rFonts w:ascii="Arial" w:hAnsi="Arial"/>
                <w:sz w:val="19"/>
              </w:rPr>
              <w:t>2</w:t>
            </w:r>
          </w:p>
        </w:tc>
        <w:tc>
          <w:tcPr>
            <w:tcW w:type="dxa" w:w="1152"/>
            <w:shd w:fill="F5F0FA" w:val="clear"/>
          </w:tcPr>
          <w:p>
            <w:r>
              <w:rPr>
                <w:rFonts w:ascii="Arial" w:hAnsi="Arial"/>
                <w:sz w:val="19"/>
              </w:rPr>
              <w:t>1.0 d</w:t>
            </w:r>
          </w:p>
        </w:tc>
      </w:tr>
      <w:tr>
        <w:tc>
          <w:tcPr>
            <w:tcW w:type="dxa" w:w="1152"/>
            <w:shd w:fill="F5F0FA" w:val="clear"/>
          </w:tcPr>
          <w:p>
            <w:r>
              <w:rPr>
                <w:rFonts w:ascii="Arial" w:hAnsi="Arial"/>
                <w:sz w:val="19"/>
              </w:rPr>
              <w:t>S1-17</w:t>
            </w:r>
          </w:p>
        </w:tc>
        <w:tc>
          <w:tcPr>
            <w:tcW w:type="dxa" w:w="7488"/>
            <w:shd w:fill="F5F0FA" w:val="clear"/>
          </w:tcPr>
          <w:p>
            <w:r>
              <w:rPr>
                <w:rFonts w:ascii="Arial" w:hAnsi="Arial"/>
                <w:sz w:val="19"/>
              </w:rPr>
              <w:t>Audit logging service</w:t>
            </w:r>
          </w:p>
        </w:tc>
        <w:tc>
          <w:tcPr>
            <w:tcW w:type="dxa" w:w="1008"/>
            <w:shd w:fill="F5F0FA" w:val="clear"/>
          </w:tcPr>
          <w:p>
            <w:r>
              <w:rPr>
                <w:rFonts w:ascii="Arial" w:hAnsi="Arial"/>
                <w:sz w:val="19"/>
              </w:rPr>
              <w:t>2</w:t>
            </w:r>
          </w:p>
        </w:tc>
        <w:tc>
          <w:tcPr>
            <w:tcW w:type="dxa" w:w="1152"/>
            <w:shd w:fill="F5F0FA" w:val="clear"/>
          </w:tcPr>
          <w:p>
            <w:r>
              <w:rPr>
                <w:rFonts w:ascii="Arial" w:hAnsi="Arial"/>
                <w:sz w:val="19"/>
              </w:rPr>
              <w:t>0.5 d</w:t>
            </w:r>
          </w:p>
        </w:tc>
      </w:tr>
      <w:tr>
        <w:tc>
          <w:tcPr>
            <w:tcW w:type="dxa" w:w="1152"/>
            <w:shd w:fill="F5F0FA" w:val="clear"/>
          </w:tcPr>
          <w:p>
            <w:r>
              <w:rPr>
                <w:rFonts w:ascii="Arial" w:hAnsi="Arial"/>
                <w:sz w:val="19"/>
              </w:rPr>
              <w:t>S1-18</w:t>
            </w:r>
          </w:p>
        </w:tc>
        <w:tc>
          <w:tcPr>
            <w:tcW w:type="dxa" w:w="7488"/>
            <w:shd w:fill="F5F0FA" w:val="clear"/>
          </w:tcPr>
          <w:p>
            <w:r>
              <w:rPr>
                <w:rFonts w:ascii="Arial" w:hAnsi="Arial"/>
                <w:sz w:val="19"/>
              </w:rPr>
              <w:t>Integration test suite — auth</w:t>
            </w:r>
          </w:p>
        </w:tc>
        <w:tc>
          <w:tcPr>
            <w:tcW w:type="dxa" w:w="1008"/>
            <w:shd w:fill="F5F0FA" w:val="clear"/>
          </w:tcPr>
          <w:p>
            <w:r>
              <w:rPr>
                <w:rFonts w:ascii="Arial" w:hAnsi="Arial"/>
                <w:sz w:val="19"/>
              </w:rPr>
              <w:t>2</w:t>
            </w:r>
          </w:p>
        </w:tc>
        <w:tc>
          <w:tcPr>
            <w:tcW w:type="dxa" w:w="1152"/>
            <w:shd w:fill="F5F0FA" w:val="clear"/>
          </w:tcPr>
          <w:p>
            <w:r>
              <w:rPr>
                <w:rFonts w:ascii="Arial" w:hAnsi="Arial"/>
                <w:sz w:val="19"/>
              </w:rPr>
              <w:t>1.0 d</w:t>
            </w:r>
          </w:p>
        </w:tc>
      </w:tr>
      <w:tr>
        <w:tc>
          <w:tcPr>
            <w:tcW w:type="dxa" w:w="1152"/>
            <w:shd w:fill="F5F0FA" w:val="clear"/>
          </w:tcPr>
          <w:p>
            <w:r>
              <w:rPr>
                <w:rFonts w:ascii="Arial" w:hAnsi="Arial"/>
                <w:sz w:val="19"/>
              </w:rPr>
              <w:t>S1-19</w:t>
            </w:r>
          </w:p>
        </w:tc>
        <w:tc>
          <w:tcPr>
            <w:tcW w:type="dxa" w:w="7488"/>
            <w:shd w:fill="F5F0FA" w:val="clear"/>
          </w:tcPr>
          <w:p>
            <w:r>
              <w:rPr>
                <w:rFonts w:ascii="Arial" w:hAnsi="Arial"/>
                <w:sz w:val="19"/>
              </w:rPr>
              <w:t>CI pipeline — GitHub Actions</w:t>
            </w:r>
          </w:p>
        </w:tc>
        <w:tc>
          <w:tcPr>
            <w:tcW w:type="dxa" w:w="1008"/>
            <w:shd w:fill="F5F0FA" w:val="clear"/>
          </w:tcPr>
          <w:p>
            <w:r>
              <w:rPr>
                <w:rFonts w:ascii="Arial" w:hAnsi="Arial"/>
                <w:sz w:val="19"/>
              </w:rPr>
              <w:t>2</w:t>
            </w:r>
          </w:p>
        </w:tc>
        <w:tc>
          <w:tcPr>
            <w:tcW w:type="dxa" w:w="1152"/>
            <w:shd w:fill="F5F0FA" w:val="clear"/>
          </w:tcPr>
          <w:p>
            <w:r>
              <w:rPr>
                <w:rFonts w:ascii="Arial" w:hAnsi="Arial"/>
                <w:sz w:val="19"/>
              </w:rPr>
              <w:t>0.5 d</w:t>
            </w:r>
          </w:p>
        </w:tc>
      </w:tr>
    </w:tbl>
    <w:p>
      <w:pPr>
        <w:spacing w:after="160"/>
      </w:pPr>
    </w:p>
    <w:p>
      <w:pPr>
        <w:spacing w:after="120"/>
      </w:pPr>
      <w:r>
        <w:rPr>
          <w:rFonts w:ascii="Arial" w:hAnsi="Arial"/>
          <w:b w:val="0"/>
          <w:sz w:val="21"/>
        </w:rPr>
        <w:t>Total estimated effort: approximately 12.5 developer-days across two weeks. This assumes one backend developer. If two developers share the sprint, Week 1 foundation tasks and Week 2 IAM tasks can be parallelised on separate branches (foundation must merge before IAM begins).</w:t>
      </w:r>
    </w:p>
    <w:p>
      <w:pPr>
        <w:spacing w:after="120"/>
      </w:pPr>
    </w:p>
    <w:p>
      <w:pPr>
        <w:pStyle w:val="Heading1"/>
      </w:pPr>
      <w:r>
        <w:rPr>
          <w:rFonts w:ascii="Arial" w:hAnsi="Arial"/>
          <w:b/>
          <w:color w:val="1E50A0"/>
          <w:sz w:val="32"/>
        </w:rPr>
        <w:t>7. Definition of Done — Sprint 1</w:t>
      </w:r>
    </w:p>
    <w:p>
      <w:pPr>
        <w:pStyle w:val="ListNumber"/>
        <w:spacing w:after="60"/>
      </w:pPr>
      <w:r>
        <w:rPr>
          <w:rFonts w:ascii="Arial" w:hAnsi="Arial"/>
          <w:b w:val="0"/>
          <w:sz w:val="21"/>
        </w:rPr>
        <w:t>All Flyway migrations execute cleanly on a fresh PostgreSQL 16 database.</w:t>
      </w:r>
    </w:p>
    <w:p>
      <w:pPr>
        <w:pStyle w:val="ListNumber"/>
        <w:spacing w:after="60"/>
      </w:pPr>
      <w:r>
        <w:rPr>
          <w:rFonts w:ascii="Arial" w:hAnsi="Arial"/>
          <w:b w:val="0"/>
          <w:sz w:val="21"/>
        </w:rPr>
        <w:t>Application starts on 'dev' profile via Docker Compose with zero errors.</w:t>
      </w:r>
    </w:p>
    <w:p>
      <w:pPr>
        <w:pStyle w:val="ListNumber"/>
        <w:spacing w:after="60"/>
      </w:pPr>
      <w:r>
        <w:rPr>
          <w:rFonts w:ascii="Arial" w:hAnsi="Arial"/>
          <w:b w:val="0"/>
          <w:sz w:val="21"/>
        </w:rPr>
        <w:t>All 19 sprint tasks have corresponding code merged to main.</w:t>
      </w:r>
    </w:p>
    <w:p>
      <w:pPr>
        <w:pStyle w:val="ListNumber"/>
        <w:spacing w:after="60"/>
      </w:pPr>
      <w:r>
        <w:rPr>
          <w:rFonts w:ascii="Arial" w:hAnsi="Arial"/>
          <w:b w:val="0"/>
          <w:sz w:val="21"/>
        </w:rPr>
        <w:t>CI pipeline passes: build, unit tests, integration tests.</w:t>
      </w:r>
    </w:p>
    <w:p>
      <w:pPr>
        <w:pStyle w:val="ListNumber"/>
        <w:spacing w:after="60"/>
      </w:pPr>
      <w:r>
        <w:rPr>
          <w:rFonts w:ascii="Arial" w:hAnsi="Arial"/>
          <w:b w:val="0"/>
          <w:sz w:val="21"/>
        </w:rPr>
        <w:t>Unit test coverage &gt;= 80% on AuthService, UserService, TenantService (Jacoco report).</w:t>
      </w:r>
    </w:p>
    <w:p>
      <w:pPr>
        <w:pStyle w:val="ListNumber"/>
        <w:spacing w:after="60"/>
      </w:pPr>
      <w:r>
        <w:rPr>
          <w:rFonts w:ascii="Arial" w:hAnsi="Arial"/>
          <w:b w:val="0"/>
          <w:sz w:val="21"/>
        </w:rPr>
        <w:t>All auth integration tests pass against Testcontainers PostgreSQL.</w:t>
      </w:r>
    </w:p>
    <w:p>
      <w:pPr>
        <w:pStyle w:val="ListNumber"/>
        <w:spacing w:after="60"/>
      </w:pPr>
      <w:r>
        <w:rPr>
          <w:rFonts w:ascii="Arial" w:hAnsi="Arial"/>
          <w:b w:val="0"/>
          <w:sz w:val="21"/>
        </w:rPr>
        <w:t>Swagger UI accessible and documents all 5 auth endpoints.</w:t>
      </w:r>
    </w:p>
    <w:p>
      <w:pPr>
        <w:pStyle w:val="ListNumber"/>
        <w:spacing w:after="60"/>
      </w:pPr>
      <w:r>
        <w:rPr>
          <w:rFonts w:ascii="Arial" w:hAnsi="Arial"/>
          <w:b w:val="0"/>
          <w:sz w:val="21"/>
        </w:rPr>
        <w:t>No sensitive data (passwords, raw JWT secrets) appears in structured logs.</w:t>
      </w:r>
    </w:p>
    <w:p>
      <w:pPr>
        <w:pStyle w:val="ListNumber"/>
        <w:spacing w:after="60"/>
      </w:pPr>
      <w:r>
        <w:rPr>
          <w:rFonts w:ascii="Arial" w:hAnsi="Arial"/>
          <w:b w:val="0"/>
          <w:sz w:val="21"/>
        </w:rPr>
        <w:t>Audit log records created for: TENANT_REGISTERED, USER_CREATED, LOGIN_SUCCESS, LOGIN_FAILED, LOGOUT.</w:t>
      </w:r>
    </w:p>
    <w:p>
      <w:pPr>
        <w:pStyle w:val="ListNumber"/>
        <w:spacing w:after="60"/>
      </w:pPr>
      <w:r>
        <w:rPr>
          <w:rFonts w:ascii="Arial" w:hAnsi="Arial"/>
          <w:b w:val="0"/>
          <w:sz w:val="21"/>
        </w:rPr>
        <w:t>Code review completed and approved for all PRs.</w:t>
      </w:r>
    </w:p>
    <w:p>
      <w:pPr>
        <w:pStyle w:val="ListNumber"/>
        <w:spacing w:after="60"/>
      </w:pPr>
      <w:r>
        <w:rPr>
          <w:rFonts w:ascii="Arial" w:hAnsi="Arial"/>
          <w:b w:val="0"/>
          <w:sz w:val="21"/>
        </w:rPr>
        <w:t>ROADMAP.md updated to mark Phase 0 and Phase 1 as COMPLETE.</w:t>
      </w:r>
    </w:p>
    <w:p>
      <w:pPr>
        <w:spacing w:after="120"/>
      </w:pPr>
    </w:p>
    <w:p>
      <w:pPr>
        <w:spacing w:before="480"/>
        <w:jc w:val="center"/>
      </w:pPr>
      <w:r>
        <w:rPr>
          <w:rFonts w:ascii="Arial" w:hAnsi="Arial"/>
          <w:b w:val="0"/>
          <w:color w:val="828282"/>
          <w:sz w:val="18"/>
        </w:rPr>
        <w:t>This document was generated from a review of the five /claude markdown files: PROJECT_OVERVIEW.md, PROJECT_ARCHITECTURE.md, DATABASE_DESIGN.md, API_STANDARDS.md, and ROADMAP.md, cross-referenced with build.gradle and the current source tree.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