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Acme Technologies Pvt. Ltd. - Employee Policy Handbook</w:t>
      </w:r>
    </w:p>
    <w:p>
      <w:pPr>
        <w:spacing w:after="120"/>
      </w:pPr>
      <w:r>
        <w:t xml:space="preserve">Version 3.2 | Effective Date: 1 April 2026 | Owner: Human Resources Department</w:t>
      </w:r>
    </w:p>
    <w:p>
      <w:pPr>
        <w:pStyle w:val="Heading1"/>
      </w:pPr>
      <w:r>
        <w:t xml:space="preserve">1. Introduction</w:t>
      </w:r>
    </w:p>
    <w:p>
      <w:pPr>
        <w:spacing w:after="120"/>
      </w:pPr>
      <w:r>
        <w:t xml:space="preserve">This handbook describes the policies that apply to all full-time employees of Acme Technologies Pvt. Ltd. ("Acme" or "the Company"). It is intended to provide clarity on working hours, leave, remote work, expenses, and conduct. Employees are expected to read this document carefully and raise any questions with their HR Business Partner.</w:t>
      </w:r>
    </w:p>
    <w:p>
      <w:pPr>
        <w:spacing w:after="120"/>
      </w:pPr>
      <w:r>
        <w:t xml:space="preserve">The Company reserves the right to amend these policies at any time. Any changes will be communicated by email at least 15 days before they take effect. In case of conflict between this handbook and an individual employment contract, the employment contract prevails.</w:t>
      </w:r>
    </w:p>
    <w:p>
      <w:pPr>
        <w:pStyle w:val="Heading1"/>
      </w:pPr>
      <w:r>
        <w:t xml:space="preserve">2. Working Hours and Attendance</w:t>
      </w:r>
    </w:p>
    <w:p>
      <w:pPr>
        <w:pStyle w:val="Heading2"/>
      </w:pPr>
      <w:r>
        <w:t xml:space="preserve">2.1 Standard Working Hours</w:t>
      </w:r>
    </w:p>
    <w:p>
      <w:pPr>
        <w:spacing w:after="120"/>
      </w:pPr>
      <w:r>
        <w:t xml:space="preserve">The standard working week is Monday to Friday. Core working hours are 10:00 AM to 4:00 PM IST, during which all employees must be available for meetings and collaboration. Employees may schedule the remaining hours flexibly, provided they complete a minimum of 8 working hours per day, including a 45-minute lunch break.</w:t>
      </w:r>
    </w:p>
    <w:p>
      <w:pPr>
        <w:pStyle w:val="Heading2"/>
      </w:pPr>
      <w:r>
        <w:t xml:space="preserve">2.2 Attendance Recording</w:t>
      </w:r>
    </w:p>
    <w:p>
      <w:pPr>
        <w:spacing w:after="120"/>
      </w:pPr>
      <w:r>
        <w:t xml:space="preserve">Attendance is recorded through the Acme People portal. Employees working from the office must badge in at the entrance, while remote employees must mark attendance in the portal by 10:30 AM. Three late marks in a calendar month are treated as one day of casual leave.</w:t>
      </w:r>
    </w:p>
    <w:p>
      <w:pPr>
        <w:pStyle w:val="Heading2"/>
      </w:pPr>
      <w:r>
        <w:t xml:space="preserve">2.3 Overtime</w:t>
      </w:r>
    </w:p>
    <w:p>
      <w:pPr>
        <w:spacing w:after="120"/>
      </w:pPr>
      <w:r>
        <w:t xml:space="preserve">Overtime is not paid for salaried employees in grades L1 to L6. However, employees who are required to work on a public holiday or weekend by their manager are entitled to compensatory time off, which must be availed within 60 days.</w:t>
      </w:r>
    </w:p>
    <w:p>
      <w:pPr>
        <w:pStyle w:val="Heading1"/>
      </w:pPr>
      <w:r>
        <w:t xml:space="preserve">3. Leave Policy</w:t>
      </w:r>
    </w:p>
    <w:p>
      <w:pPr>
        <w:pStyle w:val="Heading2"/>
      </w:pPr>
      <w:r>
        <w:t xml:space="preserve">3.1 Types of Leave</w:t>
      </w:r>
    </w:p>
    <w:p>
      <w:pPr>
        <w:spacing w:after="120"/>
      </w:pPr>
      <w:r>
        <w:t xml:space="preserve">Acme offers the following types of leave to all confirmed employees. Employees on probation are entitled to casual and sick leave only, pro-rated from the date of joining.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Leave Type</w:t>
            </w:r>
          </w:p>
        </w:tc>
        <w:tc>
          <w:tcPr>
            <w:tcW w:type="dxa" w:w="30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Annual Entitlement</w:t>
            </w:r>
          </w:p>
        </w:tc>
        <w:tc>
          <w:tcPr>
            <w:tcW w:type="dxa" w:w="33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rPr>
              <w:t xml:space="preserve">Notice Required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Casual Leave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12 days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 day in advance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Sick Leave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10 days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Same day notification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Earned (Privilege) Leave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18 days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7 days in advance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Maternity Leave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26 weeks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30 days in advance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Paternity Leave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 weeks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15 days in advance</w:t>
            </w:r>
          </w:p>
        </w:tc>
      </w:tr>
    </w:tbl>
    <w:p>
      <w:pPr>
        <w:spacing w:after="120"/>
      </w:pPr>
    </w:p>
    <w:p>
      <w:pPr>
        <w:pStyle w:val="Heading2"/>
      </w:pPr>
      <w:r>
        <w:t xml:space="preserve">3.2 Applying for Leave</w:t>
      </w:r>
    </w:p>
    <w:p>
      <w:pPr>
        <w:spacing w:after="120"/>
      </w:pPr>
      <w:r>
        <w:t xml:space="preserve">All leave requests must be submitted through the Acme People portal and approved by the reporting manager. Leave of more than five consecutive working days requires approval from the department head as well. Unapproved absence for more than three consecutive days may be treated as abandonment of employment.</w:t>
      </w:r>
    </w:p>
    <w:p>
      <w:pPr>
        <w:pStyle w:val="Heading2"/>
      </w:pPr>
      <w:r>
        <w:t xml:space="preserve">3.3 Carry Forward and Encashment</w:t>
      </w:r>
    </w:p>
    <w:p>
      <w:pPr>
        <w:spacing w:after="120"/>
      </w:pPr>
      <w:r>
        <w:t xml:space="preserve">Up to 30 days of earned leave can be carried forward to the next calendar year. Any balance above 30 days lapses on 31 December. Employees may encash up to 10 days of earned leave per year at the basic daily rate. Casual and sick leave cannot be carried forward or encashed.</w:t>
      </w:r>
    </w:p>
    <w:p>
      <w:pPr>
        <w:pStyle w:val="Heading1"/>
      </w:pPr>
      <w:r>
        <w:t xml:space="preserve">4. Remote and Hybrid Work Policy</w:t>
      </w:r>
    </w:p>
    <w:p>
      <w:pPr>
        <w:pStyle w:val="Heading2"/>
      </w:pPr>
      <w:r>
        <w:t xml:space="preserve">4.1 Eligibility</w:t>
      </w:r>
    </w:p>
    <w:p>
      <w:pPr>
        <w:spacing w:after="120"/>
      </w:pPr>
      <w:r>
        <w:t xml:space="preserve">Employees who have completed six months of service and have a satisfactory performance rating are eligible for hybrid work. Roles that require physical presence, such as facilities, security, and hardware labs, are not eligible for remote work.</w:t>
      </w:r>
    </w:p>
    <w:p>
      <w:pPr>
        <w:pStyle w:val="Heading2"/>
      </w:pPr>
      <w:r>
        <w:t xml:space="preserve">4.2 Hybrid Schedule</w:t>
      </w:r>
    </w:p>
    <w:p>
      <w:pPr>
        <w:spacing w:after="120"/>
      </w:pPr>
      <w:r>
        <w:t xml:space="preserve">Under the hybrid model, employees are expected to work from the office at least three days per week. Teams should coordinate to ensure that Tuesday and Thursday are common in-office days. Fully remote arrangements require written approval from the Vice President of the respective function.</w:t>
      </w:r>
    </w:p>
    <w:p>
      <w:pPr>
        <w:pStyle w:val="Heading2"/>
      </w:pPr>
      <w:r>
        <w:t xml:space="preserve">4.3 Equipment and Internet Allowance</w:t>
      </w:r>
    </w:p>
    <w:p>
      <w:pPr>
        <w:spacing w:after="120"/>
      </w:pPr>
      <w:r>
        <w:t xml:space="preserve">The Company provides a laptop, monitor, and headset to each eligible remote employee. In addition, a monthly internet allowance of INR 1,500 is paid with the salary. Employees are responsible for the safe keeping of Company equipment and must report loss or damage within 24 hours.</w:t>
      </w:r>
    </w:p>
    <w:p>
      <w:pPr>
        <w:pStyle w:val="Heading2"/>
      </w:pPr>
      <w:r>
        <w:t xml:space="preserve">4.4 Security Requirements</w:t>
      </w:r>
    </w:p>
    <w:p>
      <w:pPr>
        <w:spacing w:after="120"/>
      </w:pPr>
      <w:r>
        <w:t xml:space="preserve">Employees working remotely must follow these security requirements at all times:</w:t>
      </w:r>
    </w:p>
    <w:p>
      <w:pPr>
        <w:pStyle w:val="ListParagraph"/>
        <w:numPr>
          <w:ilvl w:val="0"/>
          <w:numId w:val="2"/>
        </w:numPr>
      </w:pPr>
      <w:r>
        <w:t xml:space="preserve">Connect to the corporate VPN before accessing any internal system.</w:t>
      </w:r>
    </w:p>
    <w:p>
      <w:pPr>
        <w:pStyle w:val="ListParagraph"/>
        <w:numPr>
          <w:ilvl w:val="0"/>
          <w:numId w:val="2"/>
        </w:numPr>
      </w:pPr>
      <w:r>
        <w:t xml:space="preserve">Use only Company-issued devices for work; personal devices are not permitted.</w:t>
      </w:r>
    </w:p>
    <w:p>
      <w:pPr>
        <w:pStyle w:val="ListParagraph"/>
        <w:numPr>
          <w:ilvl w:val="0"/>
          <w:numId w:val="2"/>
        </w:numPr>
      </w:pPr>
      <w:r>
        <w:t xml:space="preserve">Enable full-disk encryption and automatic screen lock after 5 minutes.</w:t>
      </w:r>
    </w:p>
    <w:p>
      <w:pPr>
        <w:pStyle w:val="ListParagraph"/>
        <w:numPr>
          <w:ilvl w:val="0"/>
          <w:numId w:val="2"/>
        </w:numPr>
      </w:pPr>
      <w:r>
        <w:t xml:space="preserve">Never share credentials or leave devices unattended in public places.</w:t>
      </w:r>
    </w:p>
    <w:p>
      <w:pPr>
        <w:pStyle w:val="ListParagraph"/>
        <w:numPr>
          <w:ilvl w:val="0"/>
          <w:numId w:val="2"/>
        </w:numPr>
      </w:pPr>
      <w:r>
        <w:t xml:space="preserve">Report any suspected security incident to security@acme.example within one hour.</w:t>
      </w:r>
    </w:p>
    <w:p>
      <w:pPr>
        <w:pStyle w:val="Heading1"/>
      </w:pPr>
      <w:r>
        <w:t xml:space="preserve">5. Travel and Expense Reimbursement</w:t>
      </w:r>
    </w:p>
    <w:p>
      <w:pPr>
        <w:pStyle w:val="Heading2"/>
      </w:pPr>
      <w:r>
        <w:t xml:space="preserve">5.1 Business Travel</w:t>
      </w:r>
    </w:p>
    <w:p>
      <w:pPr>
        <w:spacing w:after="120"/>
      </w:pPr>
      <w:r>
        <w:t xml:space="preserve">Business travel must be approved in advance by the reporting manager. Domestic flights should be booked in economy class at least 7 days before travel. International travel requires approval from the department head and the Finance team.</w:t>
      </w:r>
    </w:p>
    <w:p>
      <w:pPr>
        <w:pStyle w:val="Heading2"/>
      </w:pPr>
      <w:r>
        <w:t xml:space="preserve">5.2 Daily Allowance</w:t>
      </w:r>
    </w:p>
    <w:p>
      <w:pPr>
        <w:spacing w:after="120"/>
      </w:pPr>
      <w:r>
        <w:t xml:space="preserve">Employees travelling on business are entitled to a daily meal allowance of INR 1,200 for domestic travel and USD 60 for international travel. Hotel stays are reimbursed up to INR 6,000 per night in metro cities and INR 4,000 per night in other cities.</w:t>
      </w:r>
    </w:p>
    <w:p>
      <w:pPr>
        <w:pStyle w:val="Heading2"/>
      </w:pPr>
      <w:r>
        <w:t xml:space="preserve">5.3 Claim Submission</w:t>
      </w:r>
    </w:p>
    <w:p>
      <w:pPr>
        <w:spacing w:after="120"/>
      </w:pPr>
      <w:r>
        <w:t xml:space="preserve">Expense claims must be submitted within 30 days of the expense date, along with original receipts, through the Expense module. Claims submitted after 30 days will be rejected unless approved by the Finance Controller. Reimbursements are processed within 10 working days of approval.</w:t>
      </w:r>
    </w:p>
    <w:p>
      <w:pPr>
        <w:pStyle w:val="Heading1"/>
      </w:pPr>
      <w:r>
        <w:t xml:space="preserve">6. Code of Conduct</w:t>
      </w:r>
    </w:p>
    <w:p>
      <w:pPr>
        <w:spacing w:after="120"/>
      </w:pPr>
      <w:r>
        <w:t xml:space="preserve">All employees are expected to act with integrity, treat colleagues with respect, and comply with applicable laws. Harassment, discrimination, and retaliation of any kind are strictly prohibited. Complaints of sexual harassment are handled by the Internal Complaints Committee in accordance with the POSH Act, 2013.</w:t>
      </w:r>
    </w:p>
    <w:p>
      <w:pPr>
        <w:spacing w:after="120"/>
      </w:pPr>
      <w:r>
        <w:t xml:space="preserve">Employees must avoid conflicts of interest and must disclose any outside business activity to HR. Accepting gifts valued above INR 5,000 from vendors or clients is not permitted without written approval from the Compliance Officer.</w:t>
      </w:r>
    </w:p>
    <w:p>
      <w:pPr>
        <w:pStyle w:val="Heading1"/>
      </w:pPr>
      <w:r>
        <w:t xml:space="preserve">7. Contact Information</w:t>
      </w:r>
    </w:p>
    <w:p>
      <w:pPr>
        <w:spacing w:after="120"/>
      </w:pPr>
      <w:r>
        <w:t xml:space="preserve">For questions about this handbook, contact the HR helpdesk at hr@acme.example or call extension 4400 between 9:30 AM and 6:00 PM IST on working days.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1F3864"/>
      <w:sz w:val="40"/>
      <w:szCs w:val="40"/>
    </w:rPr>
  </w:style>
  <w:style w:type="paragraph" w:styleId="Heading1">
    <w:name w:val="Heading 1"/>
    <w:basedOn w:val="Normal"/>
    <w:next w:val="Normal"/>
    <w:qFormat/>
    <w:pPr>
      <w:spacing w:after="120" w:before="280"/>
      <w:outlineLvl w:val="0"/>
    </w:pPr>
    <w:rPr>
      <w:b/>
      <w:bCs/>
      <w:color w:val="1F3864"/>
      <w:sz w:val="30"/>
      <w:szCs w:val="30"/>
    </w:rPr>
  </w:style>
  <w:style w:type="paragraph" w:styleId="Heading2">
    <w:name w:val="Heading 2"/>
    <w:basedOn w:val="Normal"/>
    <w:next w:val="Normal"/>
    <w:qFormat/>
    <w:pPr>
      <w:spacing w:after="80" w:before="200"/>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2026-10-08T18:51:18.830Z</dcterms:created>
  <dcterms:modified xsi:type="dcterms:W3CDTF">2026-10-08T18:51:18.839Z</dcterms:modified>
</cp:coreProperties>
</file>

<file path=docProps/custom.xml><?xml version="1.0" encoding="utf-8"?>
<Properties xmlns="http://schemas.openxmlformats.org/officeDocument/2006/custom-properties" xmlns:vt="http://schemas.openxmlformats.org/officeDocument/2006/docPropsVTypes"/>
</file>