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11827"/>
          <w:sz w:val="40"/>
          <w:szCs w:val="40"/>
        </w:rPr>
        <w:t xml:space="preserve">Trader Performance &amp; Bitcoin Market Sentiment</w:t>
      </w:r>
    </w:p>
    <w:p>
      <w:pPr>
        <w:spacing w:after="40"/>
        <w:jc w:val="center"/>
      </w:pPr>
      <w:r>
        <w:rPr>
          <w:i/>
          <w:iCs/>
          <w:color w:val="4B5563"/>
          <w:sz w:val="24"/>
          <w:szCs w:val="24"/>
        </w:rPr>
        <w:t xml:space="preserve">An Analysis of Hyperliquid Trading Behavior Across Fear &amp; Greed Regimes</w:t>
      </w:r>
    </w:p>
    <w:p>
      <w:pPr>
        <w:spacing w:after="20"/>
        <w:jc w:val="center"/>
      </w:pPr>
      <w:r>
        <w:rPr>
          <w:color w:val="6B7280"/>
          <w:sz w:val="20"/>
          <w:szCs w:val="20"/>
        </w:rPr>
        <w:t xml:space="preserve">Prepared for: Primetrade.ai — Data Science Hiring Assignment</w:t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Dataset window: Jan 19, 2024 – May 1, 2025  |  34,589 trade fills  |  8 accounts  |  127 traded assets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This report examines how trader profitability, activity, and risk-taking on Hyperliquid vary with Bitcoin market sentiment, measured by the Fear &amp; Greed Index. Daily sentiment classifications were merged with 34,589 individual trade fills from 8 accounts spanning January 2024 through May 2025, yielding 17,371 closed trades with non-zero realized PnL.</w:t>
      </w:r>
    </w:p>
    <w:p>
      <w:pPr>
        <w:spacing w:after="150"/>
      </w:pPr>
      <w:r>
        <w:t xml:space="preserve">Three findings stand out: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Fear pays more per trade, but less often. Win rates climb steadily from Extreme Fear (71.8%) to Neutral/Greed (~94-95%), yet the average profit per trade in Fear and Extreme Fear regimes is 2-6x larger than in Greed or Extreme Greed. Traders take fewer, larger, higher-conviction bets when the market is scared — and those bets pay off disproportionately when they land.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Shorting fear is the single most profitable pattern in the dataset. Short positions closed during Fear generated $1.29M in PnL from just 1,839 trades (avg. $701/trade) — more than any other sentiment/direction combination, including all of Extreme Greed combined.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Activity itself is contrarian. Traders execute far more trades per active day during Fear (135/day) than during Greed (71/day) or Extreme Greed (76/day), despite Fear covering fewer calendar days in the sample. Total trading volume is also highest during Fear ($275M) and lowest during Extreme Fear ($15.8M), suggesting extreme panic freezes activity while moderate fear invites it.</w:t>
      </w:r>
    </w:p>
    <w:p>
      <w:pPr>
        <w:pStyle w:val="Heading1"/>
        <w:spacing w:after="150" w:before="300"/>
      </w:pPr>
      <w:r>
        <w:t xml:space="preserve">2. Data &amp; Methodology</w:t>
      </w:r>
    </w:p>
    <w:p>
      <w:pPr>
        <w:pStyle w:val="Heading2"/>
        <w:spacing w:after="120" w:before="250"/>
      </w:pPr>
      <w:r>
        <w:t xml:space="preserve">2.1 Datasets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Bitcoin Market Sentiment Dataset — daily Fear &amp; Greed Index classification and numeric score (Extreme Fear, Fear, Neutral, Greed, Extreme Greed), Feb 2018 – May 2025.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Hyperliquid Historical Trader Data — 34,589 trade-level fills across 8 accounts and 127 coins, including execution price, size, side, direction (open/close, long/short), realized PnL, fees, and timestamps.</w:t>
      </w:r>
    </w:p>
    <w:p>
      <w:pPr>
        <w:pStyle w:val="Heading2"/>
        <w:spacing w:after="120" w:before="250"/>
      </w:pPr>
      <w:r>
        <w:t xml:space="preserve">2.2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 timestamps were converted to calendar dates (IST) and left-joined to the daily sentiment classification. Only 6 of 34,589 rows (0.02%) had no matching sentiment date and were excluded from sentiment-based aggregates.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"Closed trades" are the 17,371 fills with a non-zero Closed PnL value; fills with zero PnL are typically position-opening trades and are used only for volume/activity metrics, not profitability metrics.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Trades are tagged Long or Short based on the Direction field ("Open Long"/"Close Long" → Long; "Open Short"/"Close Short" → Short). Closed trades with a "Sell" or "Auto-Deleveraging" direction (1,048 rows, 6.0% of closed trades) are spot-style fills without an explicit long/short tag and are excluded from the Section 4 long/short split. These are heavily concentrated in the Neutral sentiment period (898 of the 1,048, representing 31% of Neutral's closed trades and about $203K — roughly a third — of Neutral's total PnL), so the Neutral long/short figures in Section 4 should be read as directional trades only, not Neutral's full profit picture.</w:t>
      </w:r>
    </w:p>
    <w:p>
      <w:pPr>
        <w:pStyle w:val="Heading1"/>
        <w:spacing w:after="150" w:before="300"/>
      </w:pPr>
      <w:r>
        <w:t xml:space="preserve">3. Profitability by Market Sentiment</w:t>
      </w:r>
    </w:p>
    <w:p>
      <w:pPr>
        <w:spacing w:after="20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Fear produced the largest aggregate profit pool by a wide margin: $1.62M in total closed PnL, more than the next two sentiment regimes (Greed and Neutral) combined. Extreme Fear, despite far lower trading volume, still generated $323K — a strong return relative to the capital deployed.</w:t>
      </w:r>
    </w:p>
    <w:p>
      <w:pPr>
        <w:spacing w:after="20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Average profit per closed trade tells a sharper story: Extreme Fear trades average $565 in profit, more than five times the $95-$217 average seen in Greed, Neutral, and Extreme Greed. This is consistent with fear-driven markets producing fewer but higher-conviction, higher-payoff trades — likely a mix of contrarian entries and volatility-driven price swings that reward correctly-timed positions handsomely.</w:t>
      </w:r>
    </w:p>
    <w:p>
      <w:pPr>
        <w:spacing w:after="20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Win rate moves in the opposite direction of average payoff. Extreme Fear has the lowest win rate (71.8%) of any regime, while Neutral (94.8%) and Greed (94.1%) traders win most of the time but for smaller amounts. This is a classic asymmetric payoff pattern: fear-regime trades resemble higher-variance, higher-expected-value bets, while greed/neutral-regime trades resemble lower-variance, consistent singles.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Long vs. Short Positioning</w:t>
      </w:r>
    </w:p>
    <w:p>
      <w:pPr>
        <w:spacing w:after="200"/>
        <w:jc w:val="center"/>
      </w:pPr>
      <w:r>
        <w:drawing>
          <wp:inline distT="0" distB="0" distL="0" distR="0">
            <wp:extent cx="5524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Splitting closed PnL by position direction reveals where the Fear-regime profit is coming from: short positions closed during Fear alone accumulated $1.29M in profit from 1,839 trades (avg. $701/trade, 84.2% win rate) — the single largest PnL contribution of any sentiment/direction pair in the dataset, exceeding the combined total of all Extreme Greed trading. Short positions in Extreme Fear were similarly lucrative on a per-trade basis ($1,184 avg.), though on much lower volume.</w:t>
      </w:r>
    </w:p>
    <w:p>
      <w:pPr>
        <w:spacing w:after="150"/>
      </w:pPr>
      <w:r>
        <w:t xml:space="preserve">By contrast, Long positions dominate volume and win-rate during Greed and Neutral periods but contribute comparatively modest average payoffs ($165-$176/trade). Taken together, this suggests the highest-value trading pattern in this dataset is opening or holding short exposure into and through Fear conditions, then closing as sentiment stabilizes — while long exposure during calmer, more optimistic markets remains reliable but lower-margin.</w:t>
      </w:r>
    </w:p>
    <w:p>
      <w:pPr>
        <w:spacing w:after="150"/>
      </w:pPr>
      <w:r>
        <w:rPr>
          <w:i/>
          <w:iCs/>
          <w:color w:val="6B7280"/>
          <w:sz w:val="20"/>
          <w:szCs w:val="20"/>
        </w:rPr>
        <w:t xml:space="preserve">Note: Neutral's Long ($267,664) and Short ($148,783) figures above sum to $416,446, not Neutral's full $619,966 in closed PnL — the remaining ~$203K comes from spot-style "Sell" fills that carry no long/short tag (see Section 2.2) and is omitted from this chart by construction.</w:t>
      </w:r>
    </w:p>
    <w:p>
      <w:pPr>
        <w:pStyle w:val="Heading1"/>
        <w:spacing w:after="150" w:before="300"/>
      </w:pPr>
      <w:r>
        <w:t xml:space="preserve">5. Trading Activity &amp; Volume</w:t>
      </w:r>
    </w:p>
    <w:p>
      <w:pPr>
        <w:spacing w:after="20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Total trading volume is highest during Fear ($275M) and Greed ($181M), and lowest during Extreme Fear ($15.8M) and Extreme Greed ($71.6M). Combined with the trades-per-active-day figures below, this indicates traders in this dataset are most active during moderate sentiment swings and pull back sharply during the most extreme fear readings — consistent with risk-off behavior once panic peaks, even though the trades that do get placed during Extreme Fear are the most profitable per trade.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26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Sentiment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Trades / Active Day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Volume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PnL Std. Dev (risk)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Extreme Fear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103.8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$15.8M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$5,524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134.9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$275.1M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$3,079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100.9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$106.3M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$1,077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$180.8M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$2,582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Extreme Greed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75.8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$71.6M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$932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Risk (measured as the standard deviation of per-trade PnL) is highest in Extreme Fear and Fear, more than 3-5x the risk level seen in Neutral or Extreme Greed conditions. Higher average payoff in fear regimes comes paired with proportionally higher variance — the "fear pays more" pattern is a higher-risk, higher-reward one, not a free lunch.</w:t>
      </w:r>
    </w:p>
    <w:p>
      <w:pPr>
        <w:pStyle w:val="Heading1"/>
        <w:spacing w:after="150" w:before="300"/>
      </w:pPr>
      <w:r>
        <w:t xml:space="preserve">6. Trading Activity Over Time</w:t>
      </w:r>
    </w:p>
    <w:p>
      <w:pPr>
        <w:spacing w:after="20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Daily closed PnL (bars) plotted against the Fear &amp; Greed Index value (red line) shows profit spikes cluster during periods when the index is low or falling, and the largest single win in the dataset — a $135,329 ETH trade — occurred on April 12, 2025, during a Fear reading. The weak negative correlation between the daily sentiment score and daily PnL (r ≈ -0.14) is consistent with the pattern above: lower sentiment scores are modestly associated with higher trading profits, though the relationship is noisy day-to-day and sentiment alone does not reliably predict any single day's outcome.</w:t>
      </w:r>
    </w:p>
    <w:p>
      <w:pPr>
        <w:pStyle w:val="Heading1"/>
        <w:spacing w:after="150" w:before="300"/>
      </w:pPr>
      <w:r>
        <w:t xml:space="preserve">7. Account &amp; Asset Concentration</w:t>
      </w:r>
    </w:p>
    <w:p>
      <w:pPr>
        <w:pStyle w:val="Heading2"/>
        <w:spacing w:after="120" w:before="250"/>
      </w:pPr>
      <w:r>
        <w:t xml:space="preserve">7.1 Accounts</w:t>
      </w:r>
    </w:p>
    <w:p>
      <w:pPr>
        <w:spacing w:after="150"/>
      </w:pPr>
      <w:r>
        <w:t xml:space="preserve">Trading activity and profit are highly concentrated: of 8 accounts in the dataset, two accounts (ending ...9012 and ...c4ff1) account for the majority of both trade count and total realized profit ($1.60M and $0.84M respectively), while win rates across accounts range from 77.7% to a perfect 100% (on accounts with far fewer trades, where a small sample makes a 100% win rate less statistically meaningful).</w:t>
      </w:r>
    </w:p>
    <w:p>
      <w:pPr>
        <w:pStyle w:val="Heading2"/>
        <w:spacing w:after="120" w:before="250"/>
      </w:pPr>
      <w:r>
        <w:t xml:space="preserve">7.2 Assets</w:t>
      </w:r>
    </w:p>
    <w:p>
      <w:pPr>
        <w:spacing w:after="150"/>
      </w:pPr>
      <w:r>
        <w:t xml:space="preserve">BTC, ETH, and SOL dominate volume, together accounting for roughly 95% of total dollar volume traded and the large majority of total closed PnL ($823K, $810K, and $969K respectively). No coin in the dataset shows net negative aggregate PnL across the full period, though this reflects the specific accounts sampled rather than a market-wide pattern.</w:t>
      </w:r>
    </w:p>
    <w:p>
      <w:pPr>
        <w:pStyle w:val="Heading1"/>
        <w:spacing w:after="150" w:before="300"/>
      </w:pPr>
      <w:r>
        <w:t xml:space="preserve">8. Actionable Insights for Trading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Fear as a signal to increase conviction, not exposure size indiscriminately. The data supports selectively sizing up short positions specifically during Fear regimes, where the historical win rate (84%) and average payoff ($701/trade) combination is the strongest in the dataset — but position sizing should still account for the 3-5x higher PnL variance observed in these regimes.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 cautious about scaling activity down in Extreme Fear. Trade volume drops sharply in Extreme Fear even though per-trade profitability is highest — this looks like traders under-participating exactly when the historical edge is largest, a bias worth deliberately correcting for rather than reinforcing.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mistake high win rate for high value. Greed and Neutral regimes have the best win rates but the lowest average payoff — appropriate for capital preservation or high-frequency strategies, but a poor regime for concentrating risk capital expecting outsized returns.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Concentration risk is real. With profit and volume concentrated in 2 of 8 accounts and 3 of 127 assets, any strategy derived from this dataset should be validated on a larger, more diversified account sample before being treated as generalizable across the broader trader population.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Fear &amp; Greed Index as one input among several. The correlation between daily sentiment score and daily PnL is real but weak (r ≈ -0.14) — useful for tilting risk appetite, not for timing individual trades in isolation.</w:t>
      </w:r>
    </w:p>
    <w:p>
      <w:pPr>
        <w:pStyle w:val="Heading1"/>
        <w:spacing w:after="150" w:before="300"/>
      </w:pPr>
      <w:r>
        <w:t xml:space="preserve">9.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covers only 8 accounts, which may not represent the broader Hyperliquid trader population or generalize to other venues.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Sentiment is measured once daily at the BTC market level and applied uniformly to all trades that day, regardless of intraday sentiment swings or asset-specific sentiment (e.g., altcoin-specific news).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Realized PnL reflects trades that were actually closed within the sample window; open positions at the end of the period are not captured, which can understate or overstate regime-level profitability depending on unrealized gains/losses.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f4b0b94efab3b2936a27a2456d197ffafed281.png"/><Relationship Id="rId8" Type="http://schemas.openxmlformats.org/officeDocument/2006/relationships/image" Target="media/eb2ff24917f5db5abfee91d7d6a8e76cd15e3f9b.png"/><Relationship Id="rId9" Type="http://schemas.openxmlformats.org/officeDocument/2006/relationships/image" Target="media/fe02719d2ca547f9d458245dc3884a9a460784c0.png"/><Relationship Id="rId10" Type="http://schemas.openxmlformats.org/officeDocument/2006/relationships/image" Target="media/7b48d47cb8a3b8b4a5d6bc06ca548cb6f82dd6b8.png"/><Relationship Id="rId11" Type="http://schemas.openxmlformats.org/officeDocument/2006/relationships/image" Target="media/8fc9544764f251b3fcba0b156dd05fdf93986ba1.png"/><Relationship Id="rId12" Type="http://schemas.openxmlformats.org/officeDocument/2006/relationships/image" Target="media/e58ff787da8f4a144455d5b3b392b22220d2397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2026-07-15T04:36:47.687Z</dcterms:created>
  <dcterms:modified xsi:type="dcterms:W3CDTF">2026-07-15T04:36:47.699Z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