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2332" w:val="clear"/>
            <w:tcMar>
              <w:top w:type="dxa" w:w="1440"/>
              <w:left w:type="dxa" w:w="1440"/>
              <w:bottom w:type="dxa" w:w="800"/>
              <w:right w:type="dxa" w:w="1440"/>
            </w:tcMar>
          </w:tcPr>
          <w:p>
            <w:pPr>
              <w:spacing w:after="120" w:before="0"/>
            </w:pPr>
            <w:r>
              <w:rPr>
                <w:rFonts w:ascii="Arial" w:cs="Arial" w:eastAsia="Arial" w:hAnsi="Arial"/>
                <w:b/>
                <w:bCs/>
                <w:color w:val="FFFFFF"/>
                <w:sz w:val="72"/>
                <w:szCs w:val="72"/>
              </w:rPr>
              <w:t xml:space="preserve">ANAAJ AI</w:t>
            </w:r>
          </w:p>
          <w:p>
            <w:pPr>
              <w:spacing w:after="80" w:before="0"/>
            </w:pPr>
            <w:r>
              <w:rPr>
                <w:rFonts w:ascii="Arial" w:cs="Arial" w:eastAsia="Arial" w:hAnsi="Arial"/>
                <w:color w:val="A8D5B8"/>
                <w:sz w:val="30"/>
                <w:szCs w:val="30"/>
              </w:rPr>
              <w:t xml:space="preserve">AI-Powered Admin Dashboard &amp; Farmer Intelligence CRM</w:t>
            </w:r>
          </w:p>
          <w:p>
            <w:pPr>
              <w:spacing w:after="0" w:before="160"/>
            </w:pPr>
            <w:r>
              <w:rPr>
                <w:rFonts w:ascii="Arial" w:cs="Arial" w:eastAsia="Arial" w:hAnsi="Arial"/>
                <w:i/>
                <w:iCs/>
                <w:color w:val="D4A017"/>
                <w:sz w:val="22"/>
                <w:szCs w:val="22"/>
              </w:rPr>
              <w:t xml:space="preserve">The Future Operating System for Agricultural Intelligence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6B3A" w:val="clear"/>
            <w:tcMar>
              <w:top w:type="dxa" w:w="80"/>
              <w:left w:type="dxa" w:w="1440"/>
              <w:bottom w:type="dxa" w:w="80"/>
              <w:right w:type="dxa" w:w="1440"/>
            </w:tcMar>
          </w:tcPr>
          <w:p>
            <w:r>
              <w:rPr>
                <w:rFonts w:ascii="Arial" w:cs="Arial" w:eastAsia="Arial" w:hAnsi="Arial"/>
                <w:color w:val="FFFFFF"/>
                <w:sz w:val="20"/>
                <w:szCs w:val="20"/>
              </w:rPr>
              <w:t xml:space="preserve">  </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4F7F9" w:val="clear"/>
            <w:tcMar>
              <w:top w:type="dxa" w:w="800"/>
              <w:left w:type="dxa" w:w="1440"/>
              <w:bottom w:type="dxa" w:w="800"/>
              <w:right w:type="dxa" w:w="1440"/>
            </w:tcMar>
          </w:tcPr>
          <w:p>
            <w:pPr>
              <w:spacing w:after="600" w:before="0"/>
            </w:pPr>
            <w:r>
              <w:rPr>
                <w:rFonts w:ascii="Arial" w:cs="Arial" w:eastAsia="Arial" w:hAnsi="Arial"/>
                <w:b/>
                <w:bCs/>
                <w:color w:val="5A6B7A"/>
                <w:spacing w:val="80"/>
                <w:sz w:val="20"/>
                <w:szCs w:val="20"/>
              </w:rPr>
              <w:t xml:space="preserve">ENTERPRISE PRODUCT STRATEGY &amp; BUSINESS PROPOSAL</w:t>
            </w:r>
          </w:p>
          <w:p>
            <w:pPr>
              <w:spacing w:after="200" w:before="0"/>
            </w:pPr>
            <w:r>
              <w:rPr>
                <w:rFonts w:ascii="Arial" w:cs="Arial" w:eastAsia="Arial" w:hAnsi="Arial"/>
                <w:color w:val="5A6B7A"/>
                <w:sz w:val="22"/>
                <w:szCs w:val="22"/>
              </w:rPr>
              <w:t xml:space="preserve">Prepared for:</w:t>
            </w:r>
          </w:p>
          <w:p>
            <w:pPr>
              <w:spacing w:after="80" w:before="0"/>
            </w:pPr>
            <w:r>
              <w:rPr>
                <w:rFonts w:ascii="Arial" w:cs="Arial" w:eastAsia="Arial" w:hAnsi="Arial"/>
                <w:b/>
                <w:bCs/>
                <w:color w:val="1A2332"/>
                <w:sz w:val="26"/>
                <w:szCs w:val="26"/>
              </w:rPr>
              <w:t xml:space="preserve">Anaaj AI — Agricultural Intelligence Platform</w:t>
            </w:r>
          </w:p>
          <w:p>
            <w:pPr>
              <w:spacing w:after="400" w:before="0"/>
            </w:pPr>
          </w:p>
          <w:p>
            <w:pPr>
              <w:spacing w:after="200" w:before="0"/>
            </w:pPr>
            <w:r>
              <w:rPr>
                <w:rFonts w:ascii="Arial" w:cs="Arial" w:eastAsia="Arial" w:hAnsi="Arial"/>
                <w:color w:val="5A6B7A"/>
                <w:sz w:val="22"/>
                <w:szCs w:val="22"/>
              </w:rPr>
              <w:t xml:space="preserve">Prepared by:</w:t>
            </w:r>
          </w:p>
          <w:p>
            <w:pPr>
              <w:spacing w:after="80" w:before="0"/>
            </w:pPr>
            <w:r>
              <w:rPr>
                <w:rFonts w:ascii="Arial" w:cs="Arial" w:eastAsia="Arial" w:hAnsi="Arial"/>
                <w:b/>
                <w:bCs/>
                <w:color w:val="1A2332"/>
                <w:sz w:val="26"/>
                <w:szCs w:val="26"/>
              </w:rPr>
              <w:t xml:space="preserve">Product Strategy &amp; Engineering Division</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6B3A"/>
                      <w:sz w:val="17"/>
                      <w:szCs w:val="17"/>
                    </w:rPr>
                    <w:t xml:space="preserve">Document Type</w:t>
                  </w:r>
                </w:p>
                <w:p>
                  <w:r>
                    <w:rPr>
                      <w:rFonts w:ascii="Arial" w:cs="Arial" w:eastAsia="Arial" w:hAnsi="Arial"/>
                      <w:color w:val="1A2332"/>
                      <w:sz w:val="19"/>
                      <w:szCs w:val="19"/>
                    </w:rPr>
                    <w:t xml:space="preserve">Business Proposal</w:t>
                  </w:r>
                </w:p>
              </w:tc>
              <w:tc>
                <w:tcPr>
                  <w:tcW w:type="dxa" w:w="312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6B3A"/>
                      <w:sz w:val="17"/>
                      <w:szCs w:val="17"/>
                    </w:rPr>
                    <w:t xml:space="preserve">Version</w:t>
                  </w:r>
                </w:p>
                <w:p>
                  <w:r>
                    <w:rPr>
                      <w:rFonts w:ascii="Arial" w:cs="Arial" w:eastAsia="Arial" w:hAnsi="Arial"/>
                      <w:color w:val="1A2332"/>
                      <w:sz w:val="19"/>
                      <w:szCs w:val="19"/>
                    </w:rPr>
                    <w:t xml:space="preserve">1.0 — Strategic Release</w:t>
                  </w:r>
                </w:p>
              </w:tc>
              <w:tc>
                <w:tcPr>
                  <w:tcW w:type="dxa" w:w="312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6B3A"/>
                      <w:sz w:val="17"/>
                      <w:szCs w:val="17"/>
                    </w:rPr>
                    <w:t xml:space="preserve">Classification</w:t>
                  </w:r>
                </w:p>
                <w:p>
                  <w:r>
                    <w:rPr>
                      <w:rFonts w:ascii="Arial" w:cs="Arial" w:eastAsia="Arial" w:hAnsi="Arial"/>
                      <w:color w:val="1A2332"/>
                      <w:sz w:val="19"/>
                      <w:szCs w:val="19"/>
                    </w:rPr>
                    <w:t xml:space="preserve">Confidential</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2332" w:val="clear"/>
            <w:tcMar>
              <w:top w:type="dxa" w:w="240"/>
              <w:left w:type="dxa" w:w="1440"/>
              <w:bottom w:type="dxa" w:w="240"/>
              <w:right w:type="dxa" w:w="1440"/>
            </w:tcMar>
          </w:tcPr>
          <w:p>
            <w:r>
              <w:rPr>
                <w:rFonts w:ascii="Arial" w:cs="Arial" w:eastAsia="Arial" w:hAnsi="Arial"/>
                <w:color w:val="888888"/>
                <w:sz w:val="17"/>
                <w:szCs w:val="17"/>
              </w:rPr>
              <w:t xml:space="preserve">Anaaj AI  |  Transforming Agriculture Through Artificial Intelligence  |  2025</w:t>
            </w:r>
          </w:p>
        </w:tc>
      </w:tr>
    </w:tbl>
    <w:p>
      <w:pPr>
        <w:sectPr>
          <w:pgSz w:w="12240" w:h="15840" w:orient="portrait"/>
          <w:pgMar w:top="0" w:right="0" w:bottom="0" w:left="0" w:header="708" w:footer="708" w:gutter="0"/>
          <w:pgNumType/>
          <w:docGrid w:linePitch="360"/>
        </w:sectPr>
      </w:pPr>
    </w:p>
    <w:p>
      <w:r>
        <w:br w:type="page"/>
      </w:r>
    </w:p>
    <w:p>
      <w:pPr>
        <w:pStyle w:val="Heading1"/>
        <w:pBdr>
          <w:bottom w:val="single" w:color="1A6B3A" w:sz="4" w:space="6"/>
        </w:pBdr>
        <w:spacing w:after="160" w:before="400"/>
      </w:pPr>
      <w:r>
        <w:rPr>
          <w:rFonts w:ascii="Arial" w:cs="Arial" w:eastAsia="Arial" w:hAnsi="Arial"/>
          <w:b/>
          <w:bCs/>
          <w:color w:val="1A6B3A"/>
          <w:sz w:val="30"/>
          <w:szCs w:val="30"/>
        </w:rPr>
        <w:t xml:space="preserve">01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Anaaj AI is not building an admin panel. It is building the intelligence infrastructure that will power the next generation of agricultural ecosystems in India and beyond.</w:t>
            </w:r>
          </w:p>
        </w:tc>
      </w:tr>
    </w:tbl>
    <w:p>
      <w:pPr>
        <w:spacing w:after="100" w:before="0"/>
      </w:pPr>
    </w:p>
    <w:p>
      <w:pPr>
        <w:spacing w:after="100" w:before="80"/>
      </w:pPr>
      <w:r>
        <w:rPr>
          <w:rFonts w:ascii="Arial" w:cs="Arial" w:eastAsia="Arial" w:hAnsi="Arial"/>
          <w:color w:val="1A2332"/>
          <w:sz w:val="20"/>
          <w:szCs w:val="20"/>
        </w:rPr>
        <w:t xml:space="preserve">The Anaaj AI Admin Dashboard &amp; Farmer Intelligence CRM is a centralized AI operating system engineered to manage farmer intelligence, crop analytics, CRM automation, AI operations, and business intelligence for modern agriculture. It is the operational command center — the backbone — of everything Anaaj AI does.</w:t>
      </w:r>
    </w:p>
    <w:p>
      <w:pPr>
        <w:spacing w:after="80" w:before="0"/>
      </w:pPr>
    </w:p>
    <w:p>
      <w:pPr>
        <w:spacing w:after="100" w:before="80"/>
      </w:pPr>
      <w:r>
        <w:rPr>
          <w:rFonts w:ascii="Arial" w:cs="Arial" w:eastAsia="Arial" w:hAnsi="Arial"/>
          <w:color w:val="1A2332"/>
          <w:sz w:val="20"/>
          <w:szCs w:val="20"/>
        </w:rPr>
        <w:t xml:space="preserve">Traditional dashboards report what happened. This platform predicts what will happen — and acts on it. Where legacy systems aggregate data, this system interprets, scores, engages, and optimizes — autonomously, continuously, and at scale.</w:t>
      </w:r>
    </w:p>
    <w:p>
      <w:pPr>
        <w:spacing w:after="100" w:before="0"/>
      </w:pPr>
    </w:p>
    <w:p>
      <w:pPr>
        <w:pStyle w:val="Heading2"/>
        <w:spacing w:after="120" w:before="280"/>
      </w:pPr>
      <w:r>
        <w:rPr>
          <w:rFonts w:ascii="Arial" w:cs="Arial" w:eastAsia="Arial" w:hAnsi="Arial"/>
          <w:b/>
          <w:bCs/>
          <w:color w:val="2D3F52"/>
          <w:sz w:val="24"/>
          <w:szCs w:val="24"/>
        </w:rPr>
        <w:t xml:space="preserve">Why This System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Platform Type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AI-Powered Agricultural Intelligence Operating System</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Primary Function</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Centralized farmer intelligence, CRM automation &amp; business analytics</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Target Operators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Anaaj AI leadership, product teams, operations, growth &amp; data teams</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Core Technology</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React, Node.js, MongoDB, Gemini API, OpenAI, Groq, Redis, BullMQ</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Strategic Value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Data defensibility, retention optimization, AI-driven scale</w:t>
            </w:r>
          </w:p>
        </w:tc>
      </w:tr>
    </w:tbl>
    <w:p>
      <w:pPr>
        <w:spacing w:after="120" w:before="0"/>
      </w:pPr>
    </w:p>
    <w:p>
      <w:pPr>
        <w:spacing w:after="100" w:before="80"/>
      </w:pPr>
      <w:r>
        <w:rPr>
          <w:rFonts w:ascii="Arial" w:cs="Arial" w:eastAsia="Arial" w:hAnsi="Arial"/>
          <w:color w:val="1A2332"/>
          <w:sz w:val="20"/>
          <w:szCs w:val="20"/>
        </w:rPr>
        <w:t xml:space="preserve">This is a scalable intelligence infrastructure. It creates operational leverage, data advantage, and long-term business defensibility — assets that compound in value as the platform grows. No competitor can replicate the intelligence layer Anaaj AI will build; it is generated by millions of unique farmer interactions, and it belongs to Anaaj AI alone.</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02  |  The Core Problem</w:t>
      </w:r>
    </w:p>
    <w:p>
      <w:pPr>
        <w:spacing w:after="100" w:before="80"/>
      </w:pPr>
      <w:r>
        <w:rPr>
          <w:rFonts w:ascii="Arial" w:cs="Arial" w:eastAsia="Arial" w:hAnsi="Arial"/>
          <w:color w:val="1A2332"/>
          <w:sz w:val="20"/>
          <w:szCs w:val="20"/>
        </w:rPr>
        <w:t xml:space="preserve">Agriculture technology platforms have historically suffered from the same structural failure: data fragmentation. Farmer records exist in silos. Support teams operate reactively. Communication is broadcast, not personalized. There is no intelligence layer connecting operations, engagement, and growth.</w:t>
      </w:r>
    </w:p>
    <w:p>
      <w:pPr>
        <w:spacing w:after="80" w:before="0"/>
      </w:pPr>
    </w:p>
    <w:p>
      <w:pPr>
        <w:pStyle w:val="Heading2"/>
        <w:spacing w:after="120" w:before="280"/>
      </w:pPr>
      <w:r>
        <w:rPr>
          <w:rFonts w:ascii="Arial" w:cs="Arial" w:eastAsia="Arial" w:hAnsi="Arial"/>
          <w:b/>
          <w:bCs/>
          <w:color w:val="2D3F52"/>
          <w:sz w:val="24"/>
          <w:szCs w:val="24"/>
        </w:rPr>
        <w:t xml:space="preserve">Operational Failures in Agriculture Platforms</w:t>
      </w:r>
    </w:p>
    <w:p>
      <w:pPr>
        <w:pStyle w:val="ListParagraph"/>
        <w:numPr>
          <w:ilvl w:val="0"/>
          <w:numId w:val="2"/>
        </w:numPr>
        <w:spacing w:after="60" w:before="60"/>
      </w:pPr>
      <w:r>
        <w:rPr>
          <w:rFonts w:ascii="Arial" w:cs="Arial" w:eastAsia="Arial" w:hAnsi="Arial"/>
          <w:color w:val="1A2332"/>
          <w:sz w:val="20"/>
          <w:szCs w:val="20"/>
        </w:rPr>
        <w:t xml:space="preserve">Fragmented farmer data across disconnected systems with no unified profile</w:t>
      </w:r>
    </w:p>
    <w:p>
      <w:pPr>
        <w:pStyle w:val="ListParagraph"/>
        <w:numPr>
          <w:ilvl w:val="0"/>
          <w:numId w:val="2"/>
        </w:numPr>
        <w:spacing w:after="60" w:before="60"/>
      </w:pPr>
      <w:r>
        <w:rPr>
          <w:rFonts w:ascii="Arial" w:cs="Arial" w:eastAsia="Arial" w:hAnsi="Arial"/>
          <w:color w:val="1A2332"/>
          <w:sz w:val="20"/>
          <w:szCs w:val="20"/>
        </w:rPr>
        <w:t xml:space="preserve">No centralized intelligence — decisions made on intuition, not data</w:t>
      </w:r>
    </w:p>
    <w:p>
      <w:pPr>
        <w:pStyle w:val="ListParagraph"/>
        <w:numPr>
          <w:ilvl w:val="0"/>
          <w:numId w:val="2"/>
        </w:numPr>
        <w:spacing w:after="60" w:before="60"/>
      </w:pPr>
      <w:r>
        <w:rPr>
          <w:rFonts w:ascii="Arial" w:cs="Arial" w:eastAsia="Arial" w:hAnsi="Arial"/>
          <w:color w:val="1A2332"/>
          <w:sz w:val="20"/>
          <w:szCs w:val="20"/>
        </w:rPr>
        <w:t xml:space="preserve">Manual, reactive support systems that scale poorly and cost disproportionately</w:t>
      </w:r>
    </w:p>
    <w:p>
      <w:pPr>
        <w:pStyle w:val="ListParagraph"/>
        <w:numPr>
          <w:ilvl w:val="0"/>
          <w:numId w:val="2"/>
        </w:numPr>
        <w:spacing w:after="60" w:before="60"/>
      </w:pPr>
      <w:r>
        <w:rPr>
          <w:rFonts w:ascii="Arial" w:cs="Arial" w:eastAsia="Arial" w:hAnsi="Arial"/>
          <w:color w:val="1A2332"/>
          <w:sz w:val="20"/>
          <w:szCs w:val="20"/>
        </w:rPr>
        <w:t xml:space="preserve">Poor farmer engagement tracking — no visibility into behavioral signals</w:t>
      </w:r>
    </w:p>
    <w:p>
      <w:pPr>
        <w:pStyle w:val="ListParagraph"/>
        <w:numPr>
          <w:ilvl w:val="0"/>
          <w:numId w:val="2"/>
        </w:numPr>
        <w:spacing w:after="60" w:before="60"/>
      </w:pPr>
      <w:r>
        <w:rPr>
          <w:rFonts w:ascii="Arial" w:cs="Arial" w:eastAsia="Arial" w:hAnsi="Arial"/>
          <w:color w:val="1A2332"/>
          <w:sz w:val="20"/>
          <w:szCs w:val="20"/>
        </w:rPr>
        <w:t xml:space="preserve">Inefficient, impersonal communication with zero segmentation logic</w:t>
      </w:r>
    </w:p>
    <w:p>
      <w:pPr>
        <w:pStyle w:val="ListParagraph"/>
        <w:numPr>
          <w:ilvl w:val="0"/>
          <w:numId w:val="2"/>
        </w:numPr>
        <w:spacing w:after="60" w:before="60"/>
      </w:pPr>
      <w:r>
        <w:rPr>
          <w:rFonts w:ascii="Arial" w:cs="Arial" w:eastAsia="Arial" w:hAnsi="Arial"/>
          <w:color w:val="1A2332"/>
          <w:sz w:val="20"/>
          <w:szCs w:val="20"/>
        </w:rPr>
        <w:t xml:space="preserve">No predictive insights — platforms cannot anticipate churn, opportunity, or risk</w:t>
      </w:r>
    </w:p>
    <w:p>
      <w:pPr>
        <w:pStyle w:val="ListParagraph"/>
        <w:numPr>
          <w:ilvl w:val="0"/>
          <w:numId w:val="2"/>
        </w:numPr>
        <w:spacing w:after="60" w:before="60"/>
      </w:pPr>
      <w:r>
        <w:rPr>
          <w:rFonts w:ascii="Arial" w:cs="Arial" w:eastAsia="Arial" w:hAnsi="Arial"/>
          <w:color w:val="1A2332"/>
          <w:sz w:val="20"/>
          <w:szCs w:val="20"/>
        </w:rPr>
        <w:t xml:space="preserve">Absence of AI-powered CRM — farmer relationships managed through spreadsheets</w:t>
      </w:r>
    </w:p>
    <w:p>
      <w:pPr>
        <w:pStyle w:val="ListParagraph"/>
        <w:numPr>
          <w:ilvl w:val="0"/>
          <w:numId w:val="2"/>
        </w:numPr>
        <w:spacing w:after="60" w:before="60"/>
      </w:pPr>
      <w:r>
        <w:rPr>
          <w:rFonts w:ascii="Arial" w:cs="Arial" w:eastAsia="Arial" w:hAnsi="Arial"/>
          <w:color w:val="1A2332"/>
          <w:sz w:val="20"/>
          <w:szCs w:val="20"/>
        </w:rPr>
        <w:t xml:space="preserve">No behavioral analytics to understand what farmers actually need</w:t>
      </w:r>
    </w:p>
    <w:p>
      <w:pPr>
        <w:pStyle w:val="ListParagraph"/>
        <w:numPr>
          <w:ilvl w:val="0"/>
          <w:numId w:val="2"/>
        </w:numPr>
        <w:spacing w:after="60" w:before="60"/>
      </w:pPr>
      <w:r>
        <w:rPr>
          <w:rFonts w:ascii="Arial" w:cs="Arial" w:eastAsia="Arial" w:hAnsi="Arial"/>
          <w:color w:val="1A2332"/>
          <w:sz w:val="20"/>
          <w:szCs w:val="20"/>
        </w:rPr>
        <w:t xml:space="preserve">Disconnected operational layers that create compounding inefficiency</w:t>
      </w:r>
    </w:p>
    <w:p>
      <w:pPr>
        <w:spacing w:after="100" w:before="0"/>
      </w:pPr>
    </w:p>
    <w:p>
      <w:pPr>
        <w:pStyle w:val="Heading2"/>
        <w:spacing w:after="120" w:before="280"/>
      </w:pPr>
      <w:r>
        <w:rPr>
          <w:rFonts w:ascii="Arial" w:cs="Arial" w:eastAsia="Arial" w:hAnsi="Arial"/>
          <w:b/>
          <w:bCs/>
          <w:color w:val="2D3F52"/>
          <w:sz w:val="24"/>
          <w:szCs w:val="24"/>
        </w:rPr>
        <w:t xml:space="preserve">The Business Consequences</w:t>
      </w:r>
    </w:p>
    <w:p>
      <w:pPr>
        <w:spacing w:after="100" w:before="80"/>
      </w:pPr>
      <w:r>
        <w:rPr>
          <w:rFonts w:ascii="Arial" w:cs="Arial" w:eastAsia="Arial" w:hAnsi="Arial"/>
          <w:color w:val="1A2332"/>
          <w:sz w:val="20"/>
          <w:szCs w:val="20"/>
        </w:rPr>
        <w:t xml:space="preserve">These failures are not cosmetic. They cascade into measurable business damage: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2332" w:val="clear"/>
            <w:tcMar>
              <w:top w:type="dxa" w:w="100"/>
              <w:left w:type="dxa" w:w="160"/>
              <w:bottom w:type="dxa" w:w="100"/>
              <w:right w:type="dxa" w:w="120"/>
            </w:tcMar>
          </w:tcPr>
          <w:p>
            <w:r>
              <w:rPr>
                <w:rFonts w:ascii="Arial" w:cs="Arial" w:eastAsia="Arial" w:hAnsi="Arial"/>
                <w:b/>
                <w:bCs/>
                <w:color w:val="FFFFFF"/>
                <w:sz w:val="19"/>
                <w:szCs w:val="19"/>
              </w:rPr>
              <w:t xml:space="preserve">Problem</w:t>
            </w:r>
          </w:p>
        </w:tc>
        <w:tc>
          <w:tcPr>
            <w:tcW w:type="dxa" w:w="4680"/>
            <w:tcBorders>
              <w:top w:val="single" w:color="DDDDDD" w:sz="1"/>
              <w:left w:val="single" w:color="DDDDDD" w:sz="1"/>
              <w:bottom w:val="single" w:color="DDDDDD" w:sz="1"/>
              <w:right w:val="single" w:color="DDDDDD" w:sz="1"/>
            </w:tcBorders>
            <w:shd w:fill="1A2332" w:val="clear"/>
            <w:tcMar>
              <w:top w:type="dxa" w:w="100"/>
              <w:left w:type="dxa" w:w="160"/>
              <w:bottom w:type="dxa" w:w="100"/>
              <w:right w:type="dxa" w:w="120"/>
            </w:tcMar>
          </w:tcPr>
          <w:p>
            <w:r>
              <w:rPr>
                <w:rFonts w:ascii="Arial" w:cs="Arial" w:eastAsia="Arial" w:hAnsi="Arial"/>
                <w:b/>
                <w:bCs/>
                <w:color w:val="FFFFFF"/>
                <w:sz w:val="19"/>
                <w:szCs w:val="19"/>
              </w:rPr>
              <w:t xml:space="preserve">Business Impact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5A6B7A"/>
                <w:sz w:val="19"/>
                <w:szCs w:val="19"/>
              </w:rPr>
              <w:t xml:space="preserve">No behavioral analytics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1A2332"/>
                <w:sz w:val="19"/>
                <w:szCs w:val="19"/>
              </w:rPr>
              <w:t xml:space="preserve">Inability to personalize — high churn</w:t>
            </w:r>
          </w:p>
        </w:tc>
      </w:tr>
      <w:tr>
        <w:tc>
          <w:tcPr>
            <w:tcW w:type="dxa" w:w="46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val="false"/>
                <w:bCs w:val="false"/>
                <w:color w:val="5A6B7A"/>
                <w:sz w:val="19"/>
                <w:szCs w:val="19"/>
              </w:rPr>
              <w:t xml:space="preserve">Manual support systems</w:t>
            </w:r>
          </w:p>
        </w:tc>
        <w:tc>
          <w:tcPr>
            <w:tcW w:type="dxa" w:w="46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val="false"/>
                <w:bCs w:val="false"/>
                <w:color w:val="1A2332"/>
                <w:sz w:val="19"/>
                <w:szCs w:val="19"/>
              </w:rPr>
              <w:t xml:space="preserve">Operational overhead grows with scale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5A6B7A"/>
                <w:sz w:val="19"/>
                <w:szCs w:val="19"/>
              </w:rPr>
              <w:t xml:space="preserve">No predictive CRM</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1A2332"/>
                <w:sz w:val="19"/>
                <w:szCs w:val="19"/>
              </w:rPr>
              <w:t xml:space="preserve">Revenue opportunities missed daily</w:t>
            </w:r>
          </w:p>
        </w:tc>
      </w:tr>
      <w:tr>
        <w:tc>
          <w:tcPr>
            <w:tcW w:type="dxa" w:w="46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val="false"/>
                <w:bCs w:val="false"/>
                <w:color w:val="5A6B7A"/>
                <w:sz w:val="19"/>
                <w:szCs w:val="19"/>
              </w:rPr>
              <w:t xml:space="preserve">Fragmented farmer data</w:t>
            </w:r>
          </w:p>
        </w:tc>
        <w:tc>
          <w:tcPr>
            <w:tcW w:type="dxa" w:w="46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val="false"/>
                <w:bCs w:val="false"/>
                <w:color w:val="1A2332"/>
                <w:sz w:val="19"/>
                <w:szCs w:val="19"/>
              </w:rPr>
              <w:t xml:space="preserve">Poor monetization intelligence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5A6B7A"/>
                <w:sz w:val="19"/>
                <w:szCs w:val="19"/>
              </w:rPr>
              <w:t xml:space="preserve">No AI engagement layer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val="false"/>
                <w:bCs w:val="false"/>
                <w:color w:val="1A2332"/>
                <w:sz w:val="19"/>
                <w:szCs w:val="19"/>
              </w:rPr>
              <w:t xml:space="preserve">Low farmer lifetime value</w:t>
            </w:r>
          </w:p>
        </w:tc>
      </w:tr>
    </w:tbl>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03  |  Market Opportunity</w:t>
      </w:r>
    </w:p>
    <w:p>
      <w:pPr>
        <w:spacing w:after="100" w:before="80"/>
      </w:pPr>
      <w:r>
        <w:rPr>
          <w:rFonts w:ascii="Arial" w:cs="Arial" w:eastAsia="Arial" w:hAnsi="Arial"/>
          <w:color w:val="1A2332"/>
          <w:sz w:val="20"/>
          <w:szCs w:val="20"/>
        </w:rPr>
        <w:t xml:space="preserve">Agriculture is the largest economic sector in India, accounting for 17–18% of GDP and employing over 600 million people. Yet it remains one of the least digitized. This asymmetry is the single greatest market opportunity in Indian technology.</w:t>
      </w:r>
    </w:p>
    <w:p>
      <w:pPr>
        <w:spacing w:after="100" w:before="0"/>
      </w:pPr>
    </w:p>
    <w:p>
      <w:pPr>
        <w:pStyle w:val="Heading2"/>
        <w:spacing w:after="120" w:before="280"/>
      </w:pPr>
      <w:r>
        <w:rPr>
          <w:rFonts w:ascii="Arial" w:cs="Arial" w:eastAsia="Arial" w:hAnsi="Arial"/>
          <w:b/>
          <w:bCs/>
          <w:color w:val="2D3F52"/>
          <w:sz w:val="24"/>
          <w:szCs w:val="24"/>
        </w:rPr>
        <w:t xml:space="preserve">Macro Market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Indian Agri-Tech Market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Projected to reach $24.1 billion by 2025 (NASSCOM)</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Smartphone Penetration</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Rural India surpassed 400M smartphone users in 2024</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AI Adoption in Agriculture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35%+ CAGR in AI-powered agri tools globally</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Farmer Digital Touchpoints</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WhatsApp &amp; voice AI now primary channels for rural engagement</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Government Digitization Push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PM-KISAN, Digital India, DPDP Act accelerating rural tech</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Multilingual AI Opportunity</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87% of Indian farmers require vernacular digital interfaces</w:t>
            </w:r>
          </w:p>
        </w:tc>
      </w:tr>
    </w:tbl>
    <w:p>
      <w:pPr>
        <w:spacing w:after="120" w:before="0"/>
      </w:pPr>
    </w:p>
    <w:p>
      <w:pPr>
        <w:pStyle w:val="Heading2"/>
        <w:spacing w:after="120" w:before="280"/>
      </w:pPr>
      <w:r>
        <w:rPr>
          <w:rFonts w:ascii="Arial" w:cs="Arial" w:eastAsia="Arial" w:hAnsi="Arial"/>
          <w:b/>
          <w:bCs/>
          <w:color w:val="2D3F52"/>
          <w:sz w:val="24"/>
          <w:szCs w:val="24"/>
        </w:rPr>
        <w:t xml:space="preserve">Why Agricultural Intelligence Systems Are the Future</w:t>
      </w:r>
    </w:p>
    <w:p>
      <w:pPr>
        <w:spacing w:after="100" w:before="80"/>
      </w:pPr>
      <w:r>
        <w:rPr>
          <w:rFonts w:ascii="Arial" w:cs="Arial" w:eastAsia="Arial" w:hAnsi="Arial"/>
          <w:color w:val="1A2332"/>
          <w:sz w:val="20"/>
          <w:szCs w:val="20"/>
        </w:rPr>
        <w:t xml:space="preserve">The next competitive frontier in agri-tech is not the application — it is the intelligence layer beneath it. Platforms that own farmer behavioral data, crop intelligence, and engagement history will build moats that are structurally irreplicable. The Anaaj AI dashboard is how that intelligence layer is built, managed, and monetized.</w:t>
      </w:r>
    </w:p>
    <w:p>
      <w:pPr>
        <w:spacing w:after="80" w:before="0"/>
      </w:pPr>
    </w:p>
    <w:p>
      <w:pPr>
        <w:pStyle w:val="ListParagraph"/>
        <w:numPr>
          <w:ilvl w:val="0"/>
          <w:numId w:val="2"/>
        </w:numPr>
        <w:spacing w:after="60" w:before="60"/>
      </w:pPr>
      <w:r>
        <w:rPr>
          <w:rFonts w:ascii="Arial" w:cs="Arial" w:eastAsia="Arial" w:hAnsi="Arial"/>
          <w:color w:val="1A2332"/>
          <w:sz w:val="20"/>
          <w:szCs w:val="20"/>
        </w:rPr>
        <w:t xml:space="preserve">Predictive farming systems will reduce crop loss by 20–30% — creating massive willingness-to-pay</w:t>
      </w:r>
    </w:p>
    <w:p>
      <w:pPr>
        <w:pStyle w:val="ListParagraph"/>
        <w:numPr>
          <w:ilvl w:val="0"/>
          <w:numId w:val="2"/>
        </w:numPr>
        <w:spacing w:after="60" w:before="60"/>
      </w:pPr>
      <w:r>
        <w:rPr>
          <w:rFonts w:ascii="Arial" w:cs="Arial" w:eastAsia="Arial" w:hAnsi="Arial"/>
          <w:color w:val="1A2332"/>
          <w:sz w:val="20"/>
          <w:szCs w:val="20"/>
        </w:rPr>
        <w:t xml:space="preserve">AI advisory systems are replacing extension officers — scalable, always-on, personalized</w:t>
      </w:r>
    </w:p>
    <w:p>
      <w:pPr>
        <w:pStyle w:val="ListParagraph"/>
        <w:numPr>
          <w:ilvl w:val="0"/>
          <w:numId w:val="2"/>
        </w:numPr>
        <w:spacing w:after="60" w:before="60"/>
      </w:pPr>
      <w:r>
        <w:rPr>
          <w:rFonts w:ascii="Arial" w:cs="Arial" w:eastAsia="Arial" w:hAnsi="Arial"/>
          <w:color w:val="1A2332"/>
          <w:sz w:val="20"/>
          <w:szCs w:val="20"/>
        </w:rPr>
        <w:t xml:space="preserve">Agri data infrastructure is the foundation for fintech, insurance, and marketplace products</w:t>
      </w:r>
    </w:p>
    <w:p>
      <w:pPr>
        <w:pStyle w:val="ListParagraph"/>
        <w:numPr>
          <w:ilvl w:val="0"/>
          <w:numId w:val="2"/>
        </w:numPr>
        <w:spacing w:after="60" w:before="60"/>
      </w:pPr>
      <w:r>
        <w:rPr>
          <w:rFonts w:ascii="Arial" w:cs="Arial" w:eastAsia="Arial" w:hAnsi="Arial"/>
          <w:color w:val="1A2332"/>
          <w:sz w:val="20"/>
          <w:szCs w:val="20"/>
        </w:rPr>
        <w:t xml:space="preserve">First-movers who build farmer trust and intelligence will define the ecosystem for decades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The platform that owns the farmer intelligence layer owns the agricultural economy. Anaaj AI is building that layer now.</w:t>
            </w:r>
          </w:p>
        </w:tc>
      </w:tr>
    </w:tbl>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04  |  Product Vision</w:t>
      </w:r>
    </w:p>
    <w:p>
      <w:pPr>
        <w:spacing w:after="100" w:before="80"/>
      </w:pPr>
      <w:r>
        <w:rPr>
          <w:rFonts w:ascii="Arial" w:cs="Arial" w:eastAsia="Arial" w:hAnsi="Arial"/>
          <w:color w:val="1A2332"/>
          <w:sz w:val="20"/>
          <w:szCs w:val="20"/>
        </w:rPr>
        <w:t xml:space="preserve">The Anaaj AI Admin Dashboard is not a reporting tool. It is the intelligence and operational command center of Anaaj AI — a system that thinks alongside operators, surfaces insights proactively, automates engagement intelligently, and becomes more valuable with every farmer interaction.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Vision Statement: To build the most intelligent agricultural operating system in Asia — one that transforms raw farmer data into strategic advantage, operational efficiency, and scalable growth.</w:t>
            </w:r>
          </w:p>
        </w:tc>
      </w:tr>
    </w:tbl>
    <w:p>
      <w:pPr>
        <w:spacing w:after="120" w:before="0"/>
      </w:pPr>
    </w:p>
    <w:p>
      <w:pPr>
        <w:pStyle w:val="Heading2"/>
        <w:spacing w:after="120" w:before="280"/>
      </w:pPr>
      <w:r>
        <w:rPr>
          <w:rFonts w:ascii="Arial" w:cs="Arial" w:eastAsia="Arial" w:hAnsi="Arial"/>
          <w:b/>
          <w:bCs/>
          <w:color w:val="2D3F52"/>
          <w:sz w:val="24"/>
          <w:szCs w:val="24"/>
        </w:rPr>
        <w:t xml:space="preserve">The Intelligence Flywheel</w:t>
      </w:r>
    </w:p>
    <w:p>
      <w:pPr>
        <w:spacing w:after="100" w:before="80"/>
      </w:pPr>
      <w:r>
        <w:rPr>
          <w:rFonts w:ascii="Arial" w:cs="Arial" w:eastAsia="Arial" w:hAnsi="Arial"/>
          <w:color w:val="1A2332"/>
          <w:sz w:val="20"/>
          <w:szCs w:val="20"/>
        </w:rPr>
        <w:t xml:space="preserve">The platform is designed around a core compounding loop: more farmers create more data. More data trains better AI. Better AI enables smarter engagement. Smarter engagement retains more farmers. This flywheel creates a defensible competitive position that accelerates with scale.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Centralized Operations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All farmer, crop, AI, and business data unified in a single intelligence layer</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AI-Powered Automation</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CRM workflows, engagement campaigns, and alerts run without manual intervention</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Farmer Lifecycle Intelligence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Every touchpoint, interaction, and behavioral signal tracked and scored</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Predictive Analytics</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Churn risk, engagement timing, and revenue opportunity surfaced before they occur</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AI CRM</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Relationships managed by intelligent systems — not spreadsheets</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Intelligent Decision Systems</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Operators receive AI-generated recommendations, not raw data dumps</w:t>
            </w:r>
          </w:p>
        </w:tc>
      </w:tr>
    </w:tbl>
    <w:p>
      <w:pPr>
        <w:spacing w:after="120" w:before="0"/>
      </w:pPr>
    </w:p>
    <w:p>
      <w:pPr>
        <w:spacing w:after="100" w:before="80"/>
      </w:pPr>
      <w:r>
        <w:rPr>
          <w:rFonts w:ascii="Arial" w:cs="Arial" w:eastAsia="Arial" w:hAnsi="Arial"/>
          <w:color w:val="1A2332"/>
          <w:sz w:val="20"/>
          <w:szCs w:val="20"/>
        </w:rPr>
        <w:t xml:space="preserve">The platform becomes smarter over time because it is architected to learn. Every AI conversation, crop query, and support interaction feeds back into the intelligence layer — improving segmentation, sharpening predictions, and personalizing engagement at scale. This is how data creates competitive advantage that cannot be purchased — only earned.</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05  |  Product Ecosystem</w:t>
      </w:r>
    </w:p>
    <w:p>
      <w:pPr>
        <w:spacing w:after="100" w:before="80"/>
      </w:pPr>
      <w:r>
        <w:rPr>
          <w:rFonts w:ascii="Arial" w:cs="Arial" w:eastAsia="Arial" w:hAnsi="Arial"/>
          <w:color w:val="1A2332"/>
          <w:sz w:val="20"/>
          <w:szCs w:val="20"/>
        </w:rPr>
        <w:t xml:space="preserve">The Anaaj AI platform is organized into seven interconnected intelligence modules. Each module operates independently yet shares a unified data layer — ensuring that insights generated in one system enhance decision-making across all others.</w:t>
      </w:r>
    </w:p>
    <w:p>
      <w:pPr>
        <w:spacing w:after="80" w:before="0"/>
      </w:pPr>
    </w:p>
    <w:p>
      <w:pPr>
        <w:pStyle w:val="Heading2"/>
        <w:spacing w:after="120" w:before="280"/>
      </w:pPr>
      <w:r>
        <w:rPr>
          <w:rFonts w:ascii="Arial" w:cs="Arial" w:eastAsia="Arial" w:hAnsi="Arial"/>
          <w:b/>
          <w:bCs/>
          <w:color w:val="2D3F52"/>
          <w:sz w:val="24"/>
          <w:szCs w:val="24"/>
        </w:rPr>
        <w:t xml:space="preserve">5.1  Dashboard Intelligence Overview</w:t>
      </w:r>
    </w:p>
    <w:p>
      <w:pPr>
        <w:spacing w:after="100" w:before="80"/>
      </w:pPr>
      <w:r>
        <w:rPr>
          <w:rFonts w:ascii="Arial" w:cs="Arial" w:eastAsia="Arial" w:hAnsi="Arial"/>
          <w:color w:val="1A2332"/>
          <w:sz w:val="20"/>
          <w:szCs w:val="20"/>
        </w:rPr>
        <w:t xml:space="preserve">The executive command center of the Anaaj AI platform — a real-time intelligence surface designed for operational visibility, strategic awareness, and immediate action.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Dashboard Intelligence Overview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Real-time farmer engagement analytics with behavioral trend mapping</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AI insights engine surfacing anomalies, opportunities, and risks proactively</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Operational KPIs: DAU, MAU, retention rate, churn velocity, support load</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Revenue analytics: subscription growth, MRR, ARPU, cohort performance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Live AI system activity monitoring — token usage, response quality, latency</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Notification intelligence: delivery rates, open rates, campaign performance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Growth analytics with geographic distribution and segment breakdowns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Customizable executive dashboards for different operator roles</w:t>
            </w:r>
          </w:p>
        </w:tc>
      </w:tr>
    </w:tbl>
    <w:p>
      <w:pPr>
        <w:spacing w:after="80" w:before="0"/>
      </w:pPr>
    </w:p>
    <w:p>
      <w:pPr>
        <w:spacing w:after="100" w:before="80"/>
      </w:pPr>
      <w:r>
        <w:rPr>
          <w:rFonts w:ascii="Arial" w:cs="Arial" w:eastAsia="Arial" w:hAnsi="Arial"/>
          <w:color w:val="1A2332"/>
          <w:sz w:val="20"/>
          <w:szCs w:val="20"/>
        </w:rPr>
        <w:t xml:space="preserve">The dashboard creates executive visibility across every critical dimension of the business — eliminating the need for manual reporting, reducing decision latency, and enabling leadership to operate from intelligence rather than assumption.</w:t>
      </w:r>
    </w:p>
    <w:p>
      <w:pPr>
        <w:spacing w:after="120" w:before="0"/>
      </w:pPr>
    </w:p>
    <w:p>
      <w:pPr>
        <w:pStyle w:val="Heading2"/>
        <w:spacing w:after="120" w:before="280"/>
      </w:pPr>
      <w:r>
        <w:rPr>
          <w:rFonts w:ascii="Arial" w:cs="Arial" w:eastAsia="Arial" w:hAnsi="Arial"/>
          <w:b/>
          <w:bCs/>
          <w:color w:val="2D3F52"/>
          <w:sz w:val="24"/>
          <w:szCs w:val="24"/>
        </w:rPr>
        <w:t xml:space="preserve">5.2  Farmer Intelligence &amp; User Management</w:t>
      </w:r>
    </w:p>
    <w:p>
      <w:pPr>
        <w:spacing w:after="100" w:before="80"/>
      </w:pPr>
      <w:r>
        <w:rPr>
          <w:rFonts w:ascii="Arial" w:cs="Arial" w:eastAsia="Arial" w:hAnsi="Arial"/>
          <w:color w:val="1A2332"/>
          <w:sz w:val="20"/>
          <w:szCs w:val="20"/>
        </w:rPr>
        <w:t xml:space="preserve">A comprehensive farmer intelligence system that transforms raw user records into rich behavioral profiles — enabling personalization, lifecycle management, and proactive engagement at scale.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Farmer Intelligence System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Unified farmer profiles: demographics, location, crop portfolio, subscription status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Behavioral tracking: session patterns, feature adoption, query frequency, engagement depth</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Full AI interaction history with topic clustering and sentiment analysis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Crop history and seasonal pattern recognition per farmer</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Engagement scoring: identifying high-value, at-risk, and dormant segments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Smart segmentation: dynamic cohorts based on behavior, geography, and crop type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Subscription management: plan tracking, renewal intelligence, upgrade signals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Farmer lifecycle stage mapping: onboarding → active → power-user → at-risk → churned</w:t>
            </w:r>
          </w:p>
        </w:tc>
      </w:tr>
    </w:tbl>
    <w:p>
      <w:pPr>
        <w:spacing w:after="80" w:before="0"/>
      </w:pPr>
    </w:p>
    <w:p>
      <w:pPr>
        <w:spacing w:after="100" w:before="80"/>
      </w:pPr>
      <w:r>
        <w:rPr>
          <w:rFonts w:ascii="Arial" w:cs="Arial" w:eastAsia="Arial" w:hAnsi="Arial"/>
          <w:color w:val="1A2332"/>
          <w:sz w:val="20"/>
          <w:szCs w:val="20"/>
        </w:rPr>
        <w:t xml:space="preserve">Farmer lifecycle tracking enables Anaaj AI to intervene at precisely the right moment — with precisely the right message — delivered through precisely the right channel. This is the foundation of retention optimization and long-term farmer lifetime value.</w:t>
      </w:r>
    </w:p>
    <w:p>
      <w:pPr>
        <w:spacing w:after="120" w:before="0"/>
      </w:pPr>
    </w:p>
    <w:p>
      <w:pPr>
        <w:pStyle w:val="Heading2"/>
        <w:spacing w:after="120" w:before="280"/>
      </w:pPr>
      <w:r>
        <w:rPr>
          <w:rFonts w:ascii="Arial" w:cs="Arial" w:eastAsia="Arial" w:hAnsi="Arial"/>
          <w:b/>
          <w:bCs/>
          <w:color w:val="2D3F52"/>
          <w:sz w:val="24"/>
          <w:szCs w:val="24"/>
        </w:rPr>
        <w:t xml:space="preserve">5.3  AI-Powered CRM — The Core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This module is the single most strategically important component of the platform. It transforms farmer management from a reactive support function into a proactive, predictive, revenue-generating system.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AI-Powered CRM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Farmer intelligence profiles with AI-generated engagement summaries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Predictive lead scoring: identifying farmers most likely to convert or upgrade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Churn prediction engine: early warning signals with intervention recommendations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Personalized engagement: AI-generated messages tailored to each farmer's context</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Automated follow-up workflows: triggered by behavioral signals, not schedules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WhatsApp automation: conversational CRM at scale in the farmer's language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Full communication tracking: every message, response, and outcome logged</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Smart segmentation: AI-driven cohort creation based on predicted future behavior</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Re-engagement campaigns: automated recovery flows for dormant farmers</w:t>
            </w:r>
          </w:p>
        </w:tc>
      </w:tr>
    </w:tbl>
    <w:p>
      <w:pPr>
        <w:spacing w:after="80" w:before="0"/>
      </w:pPr>
    </w:p>
    <w:p>
      <w:pPr>
        <w:spacing w:after="100" w:before="80"/>
      </w:pPr>
      <w:r>
        <w:rPr>
          <w:rFonts w:ascii="Arial" w:cs="Arial" w:eastAsia="Arial" w:hAnsi="Arial"/>
          <w:color w:val="1A2332"/>
          <w:sz w:val="20"/>
          <w:szCs w:val="20"/>
        </w:rPr>
        <w:t xml:space="preserve">Traditional CRM systems track what happened. This system predicts what will happen — and acts on it. Churn is identified weeks before it occurs. Revenue opportunities are surfaced before farmers realize they have needs. Engagement is timed for maximum impact. This is predictive relationship management — and it creates a retention and monetization advantage that conventional platforms cannot replicate.</w:t>
      </w:r>
    </w:p>
    <w:p>
      <w:pPr>
        <w:spacing w:after="120" w:before="0"/>
      </w:pPr>
    </w:p>
    <w:p>
      <w:pPr>
        <w:pStyle w:val="Heading2"/>
        <w:spacing w:after="120" w:before="280"/>
      </w:pPr>
      <w:r>
        <w:rPr>
          <w:rFonts w:ascii="Arial" w:cs="Arial" w:eastAsia="Arial" w:hAnsi="Arial"/>
          <w:b/>
          <w:bCs/>
          <w:color w:val="2D3F52"/>
          <w:sz w:val="24"/>
          <w:szCs w:val="24"/>
        </w:rPr>
        <w:t xml:space="preserve">5.4  Crop &amp; Disease Intelligence</w:t>
      </w:r>
    </w:p>
    <w:p>
      <w:pPr>
        <w:spacing w:after="100" w:before="80"/>
      </w:pPr>
      <w:r>
        <w:rPr>
          <w:rFonts w:ascii="Arial" w:cs="Arial" w:eastAsia="Arial" w:hAnsi="Arial"/>
          <w:color w:val="1A2332"/>
          <w:sz w:val="20"/>
          <w:szCs w:val="20"/>
        </w:rPr>
        <w:t xml:space="preserve">A specialized agricultural intelligence module that transforms Anaaj AI's crop advisory function into a continuously learning, regionally-aware prediction system.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Crop &amp; Disease Intelligence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Comprehensive crop database with variety-level intelligence and regional mapping</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Disease analytics: frequency tracking, spread velocity, treatment effectiveness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AI detection monitoring: accuracy rates, confidence scores, false positive analysis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Region-wise disease tracking: geographic heatmaps and seasonal outbreak alerts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Seasonal intelligence: predictive planting and harvest advisories by region</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Anomaly detection: early identification of emerging disease patterns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AI learning loops: model improvement from verified farmer-reported outcomes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Crop performance benchmarking across regions, soil types, and climate zones</w:t>
            </w:r>
          </w:p>
        </w:tc>
      </w:tr>
    </w:tbl>
    <w:p>
      <w:pPr>
        <w:spacing w:after="80" w:before="0"/>
      </w:pPr>
    </w:p>
    <w:p>
      <w:pPr>
        <w:spacing w:after="100" w:before="80"/>
      </w:pPr>
      <w:r>
        <w:rPr>
          <w:rFonts w:ascii="Arial" w:cs="Arial" w:eastAsia="Arial" w:hAnsi="Arial"/>
          <w:color w:val="1A2332"/>
          <w:sz w:val="20"/>
          <w:szCs w:val="20"/>
        </w:rPr>
        <w:t xml:space="preserve">This module creates a strategic agricultural intelligence advantage that compounds over time. Each disease report, crop query, and advisory interaction enriches the model — making Anaaj AI's predictions more accurate, more localized, and more valuable than any competitor who starts later.</w:t>
      </w:r>
    </w:p>
    <w:p>
      <w:pPr>
        <w:spacing w:after="120" w:before="0"/>
      </w:pPr>
    </w:p>
    <w:p>
      <w:pPr>
        <w:pStyle w:val="Heading2"/>
        <w:spacing w:after="120" w:before="280"/>
      </w:pPr>
      <w:r>
        <w:rPr>
          <w:rFonts w:ascii="Arial" w:cs="Arial" w:eastAsia="Arial" w:hAnsi="Arial"/>
          <w:b/>
          <w:bCs/>
          <w:color w:val="2D3F52"/>
          <w:sz w:val="24"/>
          <w:szCs w:val="24"/>
        </w:rPr>
        <w:t xml:space="preserve">5.5  AI System Monitoring &amp; Optimization</w:t>
      </w:r>
    </w:p>
    <w:p>
      <w:pPr>
        <w:spacing w:after="100" w:before="80"/>
      </w:pPr>
      <w:r>
        <w:rPr>
          <w:rFonts w:ascii="Arial" w:cs="Arial" w:eastAsia="Arial" w:hAnsi="Arial"/>
          <w:color w:val="1A2332"/>
          <w:sz w:val="20"/>
          <w:szCs w:val="20"/>
        </w:rPr>
        <w:t xml:space="preserve">An operational intelligence layer for the AI systems themselves — ensuring quality, reliability, and continuous improvement of every AI interaction across the platform.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AI System Monitoring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Response analytics: latency, accuracy, user satisfaction scores by query type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Token monitoring: consumption tracking, cost optimization, model efficiency</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Response quality tracking: human-in-the-loop feedback integration</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Multilingual AI monitoring: performance metrics across all supported languages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Prompt management: versioning, A/B testing, and performance comparison</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AI feedback loops: continuous model refinement from operator-validated corrections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Alert systems: automatic flagging of quality degradation or anomalous behavior</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Model benchmarking: comparative performance across Gemini, OpenAI, and Groq</w:t>
            </w:r>
          </w:p>
        </w:tc>
      </w:tr>
    </w:tbl>
    <w:p>
      <w:pPr>
        <w:spacing w:after="80" w:before="0"/>
      </w:pPr>
    </w:p>
    <w:p>
      <w:pPr>
        <w:spacing w:after="100" w:before="80"/>
      </w:pPr>
      <w:r>
        <w:rPr>
          <w:rFonts w:ascii="Arial" w:cs="Arial" w:eastAsia="Arial" w:hAnsi="Arial"/>
          <w:color w:val="1A2332"/>
          <w:sz w:val="20"/>
          <w:szCs w:val="20"/>
        </w:rPr>
        <w:t xml:space="preserve">AI quality is not a launch-time concern — it is an ongoing operational discipline. This module ensures that Anaaj AI's intelligence layer improves continuously, costs are optimized as scale increases, and the farmer experience remains consistently excellent.</w:t>
      </w:r>
    </w:p>
    <w:p>
      <w:pPr>
        <w:spacing w:after="120" w:before="0"/>
      </w:pPr>
    </w:p>
    <w:p>
      <w:pPr>
        <w:pStyle w:val="Heading2"/>
        <w:spacing w:after="120" w:before="280"/>
      </w:pPr>
      <w:r>
        <w:rPr>
          <w:rFonts w:ascii="Arial" w:cs="Arial" w:eastAsia="Arial" w:hAnsi="Arial"/>
          <w:b/>
          <w:bCs/>
          <w:color w:val="2D3F52"/>
          <w:sz w:val="24"/>
          <w:szCs w:val="24"/>
        </w:rPr>
        <w:t xml:space="preserve">5.6  Notification &amp; Automation Engine</w:t>
      </w:r>
    </w:p>
    <w:p>
      <w:pPr>
        <w:spacing w:after="100" w:before="80"/>
      </w:pPr>
      <w:r>
        <w:rPr>
          <w:rFonts w:ascii="Arial" w:cs="Arial" w:eastAsia="Arial" w:hAnsi="Arial"/>
          <w:color w:val="1A2332"/>
          <w:sz w:val="20"/>
          <w:szCs w:val="20"/>
        </w:rPr>
        <w:t xml:space="preserve">A multi-channel intelligent communication system that enables Anaaj AI to engage farmers with precision, at scale, without manual intervention.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Notification &amp; Automation Engine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Push notification engine with behavioral trigger logic and optimal timing AI</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WhatsApp automation: conversational flows, broadcast campaigns, advisory delivery</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SMS alerts: fallback channel for low-connectivity or feature-phone users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Campaign automation: multi-step engagement sequences based on lifecycle stage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Workflow triggers: event-based automation (onboarding, inactivity, disease alert, renewal)</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Reminder systems: crop-calendar based proactive advisory delivery</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Campaign analytics: delivery, open, click, and conversion tracking per channel</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A/B testing framework: message, timing, and channel optimization</w:t>
            </w:r>
          </w:p>
        </w:tc>
      </w:tr>
    </w:tbl>
    <w:p>
      <w:pPr>
        <w:spacing w:after="80" w:before="0"/>
      </w:pPr>
    </w:p>
    <w:p>
      <w:pPr>
        <w:spacing w:after="100" w:before="80"/>
      </w:pPr>
      <w:r>
        <w:rPr>
          <w:rFonts w:ascii="Arial" w:cs="Arial" w:eastAsia="Arial" w:hAnsi="Arial"/>
          <w:color w:val="1A2332"/>
          <w:sz w:val="20"/>
          <w:szCs w:val="20"/>
        </w:rPr>
        <w:t xml:space="preserve">Automated farmer engagement is the operational foundation of scalable retention. This engine ensures that every farmer receives relevant, timely communication — without requiring a human operator to initiate or manage each interaction. Engagement scales with the platform, not with headcount.</w:t>
      </w:r>
    </w:p>
    <w:p>
      <w:pPr>
        <w:spacing w:after="120" w:before="0"/>
      </w:pPr>
    </w:p>
    <w:p>
      <w:pPr>
        <w:pStyle w:val="Heading2"/>
        <w:spacing w:after="120" w:before="280"/>
      </w:pPr>
      <w:r>
        <w:rPr>
          <w:rFonts w:ascii="Arial" w:cs="Arial" w:eastAsia="Arial" w:hAnsi="Arial"/>
          <w:b/>
          <w:bCs/>
          <w:color w:val="2D3F52"/>
          <w:sz w:val="24"/>
          <w:szCs w:val="24"/>
        </w:rPr>
        <w:t xml:space="preserve">5.7  Business Analytics &amp; Decision Intelligence</w:t>
      </w:r>
    </w:p>
    <w:p>
      <w:pPr>
        <w:spacing w:after="100" w:before="80"/>
      </w:pPr>
      <w:r>
        <w:rPr>
          <w:rFonts w:ascii="Arial" w:cs="Arial" w:eastAsia="Arial" w:hAnsi="Arial"/>
          <w:color w:val="1A2332"/>
          <w:sz w:val="20"/>
          <w:szCs w:val="20"/>
        </w:rPr>
        <w:t xml:space="preserve">A strategic intelligence layer that transforms operational data into executive-grade insights — enabling leadership to make decisions based on predictive intelligence rather than historical reports.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Business Analytics — Core Features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Revenue analytics: MRR, ARR, cohort LTV, subscription velocity, upgrade/downgrade rates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Retention metrics: churn rate, recovery rate, net revenue retention</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AI usage analytics: feature adoption, query distribution, engagement depth by segment</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Geographic analytics: regional performance, expansion opportunity mapping</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Predictive insights: 30/60/90-day revenue and retention forecasts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Competitive benchmarking: performance metrics against industry standards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Custom report builder: stakeholder-specific intelligence exports</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Investor-ready dashboards: growth, efficiency, and unit economics views</w:t>
            </w:r>
          </w:p>
        </w:tc>
      </w:tr>
    </w:tbl>
    <w:p>
      <w:pPr>
        <w:spacing w:after="80" w:before="0"/>
      </w:pPr>
    </w:p>
    <w:p>
      <w:pPr>
        <w:spacing w:after="100" w:before="80"/>
      </w:pPr>
      <w:r>
        <w:rPr>
          <w:rFonts w:ascii="Arial" w:cs="Arial" w:eastAsia="Arial" w:hAnsi="Arial"/>
          <w:color w:val="1A2332"/>
          <w:sz w:val="20"/>
          <w:szCs w:val="20"/>
        </w:rPr>
        <w:t xml:space="preserve">Decision intelligence is the strategic outcome of all operational data. This module converts the platform's information advantage into actionable guidance — enabling faster decisions, better resource allocation, and more confident strategic planning at every level of the organization.</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06  |  The AI Advantage</w:t>
      </w:r>
    </w:p>
    <w:p>
      <w:pPr>
        <w:spacing w:after="100" w:before="80"/>
      </w:pPr>
      <w:r>
        <w:rPr>
          <w:rFonts w:ascii="Arial" w:cs="Arial" w:eastAsia="Arial" w:hAnsi="Arial"/>
          <w:color w:val="1A2332"/>
          <w:sz w:val="20"/>
          <w:szCs w:val="20"/>
        </w:rPr>
        <w:t xml:space="preserve">What separates this platform from every other agricultural dashboard is not the features it offers — it is the intelligence layer that runs beneath them. The AI advantage is not an add-on; it is the architectural foundation.</w:t>
      </w:r>
    </w:p>
    <w:p>
      <w:pPr>
        <w:spacing w:after="100" w:before="0"/>
      </w:pPr>
    </w:p>
    <w:p>
      <w:pPr>
        <w:pStyle w:val="Heading2"/>
        <w:spacing w:after="120" w:before="280"/>
      </w:pPr>
      <w:r>
        <w:rPr>
          <w:rFonts w:ascii="Arial" w:cs="Arial" w:eastAsia="Arial" w:hAnsi="Arial"/>
          <w:b/>
          <w:bCs/>
          <w:color w:val="2D3F52"/>
          <w:sz w:val="24"/>
          <w:szCs w:val="24"/>
        </w:rPr>
        <w:t xml:space="preserve">How AI Transforms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Predictive Analytics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Systems forecast churn, revenue, and disease outbreaks before operators can see them</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AI-Driven CRM</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Farmer relationships managed by intelligence that learns and improves with every interaction</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Intelligent Automation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Workflows, campaigns, and alerts execute autonomously based on behavioral signals</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Conversational BI</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Operators query business data in natural language; AI returns synthesized insights</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20"/>
            </w:tcMar>
          </w:tcPr>
          <w:p>
            <w:r>
              <w:rPr>
                <w:rFonts w:ascii="Arial" w:cs="Arial" w:eastAsia="Arial" w:hAnsi="Arial"/>
                <w:b/>
                <w:bCs/>
                <w:color w:val="0D5C2E"/>
                <w:sz w:val="20"/>
                <w:szCs w:val="20"/>
              </w:rPr>
              <w:t xml:space="preserve">Smart Recommendations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2332"/>
                <w:sz w:val="20"/>
                <w:szCs w:val="20"/>
              </w:rPr>
              <w:t xml:space="preserve">AI surfaces the next best action for each farmer, segment, and operational decision</w:t>
            </w:r>
          </w:p>
        </w:tc>
      </w:tr>
      <w:tr>
        <w:tc>
          <w:tcPr>
            <w:tcW w:type="dxa" w:w="300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b/>
                <w:bCs/>
                <w:color w:val="0D5C2E"/>
                <w:sz w:val="20"/>
                <w:szCs w:val="20"/>
              </w:rPr>
              <w:t xml:space="preserve">Autonomous Segmentation</w:t>
            </w:r>
          </w:p>
        </w:tc>
        <w:tc>
          <w:tcPr>
            <w:tcW w:type="dxa" w:w="6360"/>
            <w:tcBorders>
              <w:top w:val="single" w:color="DDDDDD" w:sz="1"/>
              <w:left w:val="single" w:color="DDDDDD" w:sz="1"/>
              <w:bottom w:val="single" w:color="DDDDDD" w:sz="1"/>
              <w:right w:val="single" w:color="DDDDDD" w:sz="1"/>
            </w:tcBorders>
            <w:shd w:fill="F4F7F9" w:val="clear"/>
            <w:tcMar>
              <w:top w:type="dxa" w:w="100"/>
              <w:left w:type="dxa" w:w="160"/>
              <w:bottom w:type="dxa" w:w="100"/>
              <w:right w:type="dxa" w:w="120"/>
            </w:tcMar>
          </w:tcPr>
          <w:p>
            <w:r>
              <w:rPr>
                <w:rFonts w:ascii="Arial" w:cs="Arial" w:eastAsia="Arial" w:hAnsi="Arial"/>
                <w:color w:val="1A2332"/>
                <w:sz w:val="20"/>
                <w:szCs w:val="20"/>
              </w:rPr>
              <w:t xml:space="preserve">Farmer cohorts created and updated dynamically based on predicted behavior, not historical tags</w:t>
            </w:r>
          </w:p>
        </w:tc>
      </w:tr>
    </w:tbl>
    <w:p>
      <w:pPr>
        <w:spacing w:after="120" w:before="0"/>
      </w:pPr>
    </w:p>
    <w:p>
      <w:pPr>
        <w:pStyle w:val="Heading2"/>
        <w:spacing w:after="120" w:before="280"/>
      </w:pPr>
      <w:r>
        <w:rPr>
          <w:rFonts w:ascii="Arial" w:cs="Arial" w:eastAsia="Arial" w:hAnsi="Arial"/>
          <w:b/>
          <w:bCs/>
          <w:color w:val="2D3F52"/>
          <w:sz w:val="24"/>
          <w:szCs w:val="24"/>
        </w:rPr>
        <w:t xml:space="preserve">AI in Action — Concrete Examples</w:t>
      </w:r>
    </w:p>
    <w:p>
      <w:pPr>
        <w:pStyle w:val="ListParagraph"/>
        <w:numPr>
          <w:ilvl w:val="0"/>
          <w:numId w:val="2"/>
        </w:numPr>
        <w:spacing w:after="60" w:before="60"/>
      </w:pPr>
      <w:r>
        <w:rPr>
          <w:rFonts w:ascii="Arial" w:cs="Arial" w:eastAsia="Arial" w:hAnsi="Arial"/>
          <w:color w:val="1A2332"/>
          <w:sz w:val="20"/>
          <w:szCs w:val="20"/>
        </w:rPr>
        <w:t xml:space="preserve">A farmer's query frequency drops 40% over 14 days. The churn model flags them as high-risk. An automated re-engagement flow activates. A personalized WhatsApp message is sent in their language before any human notices the signal.</w:t>
      </w:r>
    </w:p>
    <w:p>
      <w:pPr>
        <w:pStyle w:val="ListParagraph"/>
        <w:numPr>
          <w:ilvl w:val="0"/>
          <w:numId w:val="2"/>
        </w:numPr>
        <w:spacing w:after="60" w:before="60"/>
      </w:pPr>
      <w:r>
        <w:rPr>
          <w:rFonts w:ascii="Arial" w:cs="Arial" w:eastAsia="Arial" w:hAnsi="Arial"/>
          <w:color w:val="1A2332"/>
          <w:sz w:val="20"/>
          <w:szCs w:val="20"/>
        </w:rPr>
        <w:t xml:space="preserve">Disease reports cluster in a specific district. The AI anomaly engine identifies the pattern, alerts regional operators, and triggers a proactive advisory campaign for all farmers in the affected geography.</w:t>
      </w:r>
    </w:p>
    <w:p>
      <w:pPr>
        <w:pStyle w:val="ListParagraph"/>
        <w:numPr>
          <w:ilvl w:val="0"/>
          <w:numId w:val="2"/>
        </w:numPr>
        <w:spacing w:after="60" w:before="60"/>
      </w:pPr>
      <w:r>
        <w:rPr>
          <w:rFonts w:ascii="Arial" w:cs="Arial" w:eastAsia="Arial" w:hAnsi="Arial"/>
          <w:color w:val="1A2332"/>
          <w:sz w:val="20"/>
          <w:szCs w:val="20"/>
        </w:rPr>
        <w:t xml:space="preserve">An operator asks: 'Which segment has the highest upgrade potential this quarter?' The AI generates a ranked list with behavioral rationale and suggested messaging — in seconds.</w:t>
      </w:r>
    </w:p>
    <w:p>
      <w:pPr>
        <w:pStyle w:val="ListParagraph"/>
        <w:numPr>
          <w:ilvl w:val="0"/>
          <w:numId w:val="2"/>
        </w:numPr>
        <w:spacing w:after="60" w:before="60"/>
      </w:pPr>
      <w:r>
        <w:rPr>
          <w:rFonts w:ascii="Arial" w:cs="Arial" w:eastAsia="Arial" w:hAnsi="Arial"/>
          <w:color w:val="1A2332"/>
          <w:sz w:val="20"/>
          <w:szCs w:val="20"/>
        </w:rPr>
        <w:t xml:space="preserve">Monthly performance reports are generated automatically, formatted for investor review, and delivered to stakeholders without manual data assembly.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AI does not just improve efficiency in this system. It creates capabilities that would be operationally impossible without it — at any headcount.</w:t>
            </w:r>
          </w:p>
        </w:tc>
      </w:tr>
    </w:tbl>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07  |  Business Value &amp; ROI</w:t>
      </w:r>
    </w:p>
    <w:p>
      <w:pPr>
        <w:spacing w:after="100" w:before="80"/>
      </w:pPr>
      <w:r>
        <w:rPr>
          <w:rFonts w:ascii="Arial" w:cs="Arial" w:eastAsia="Arial" w:hAnsi="Arial"/>
          <w:color w:val="1A2332"/>
          <w:sz w:val="20"/>
          <w:szCs w:val="20"/>
        </w:rPr>
        <w:t xml:space="preserve">The Anaaj AI platform generates measurable, compounding business value across four strategic dimensions: operational efficiency, farmer retention, revenue intelligence, and scalable growth.</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20"/>
            </w:tcMar>
          </w:tcPr>
          <w:p>
            <w:r>
              <w:rPr>
                <w:rFonts w:ascii="Arial" w:cs="Arial" w:eastAsia="Arial" w:hAnsi="Arial"/>
                <w:b/>
                <w:bCs/>
                <w:color w:val="FFFFFF"/>
                <w:sz w:val="18"/>
                <w:szCs w:val="18"/>
              </w:rPr>
              <w:t xml:space="preserve">Value Driver</w:t>
            </w:r>
          </w:p>
        </w:tc>
        <w:tc>
          <w:tcPr>
            <w:tcW w:type="dxa" w:w="358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20"/>
            </w:tcMar>
          </w:tcPr>
          <w:p>
            <w:r>
              <w:rPr>
                <w:rFonts w:ascii="Arial" w:cs="Arial" w:eastAsia="Arial" w:hAnsi="Arial"/>
                <w:b/>
                <w:bCs/>
                <w:color w:val="FFFFFF"/>
                <w:sz w:val="18"/>
                <w:szCs w:val="18"/>
              </w:rPr>
              <w:t xml:space="preserve">Without This Platform</w:t>
            </w:r>
          </w:p>
        </w:tc>
        <w:tc>
          <w:tcPr>
            <w:tcW w:type="dxa" w:w="358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20"/>
            </w:tcMar>
          </w:tcPr>
          <w:p>
            <w:r>
              <w:rPr>
                <w:rFonts w:ascii="Arial" w:cs="Arial" w:eastAsia="Arial" w:hAnsi="Arial"/>
                <w:b/>
                <w:bCs/>
                <w:color w:val="FFFFFF"/>
                <w:sz w:val="18"/>
                <w:szCs w:val="18"/>
              </w:rPr>
              <w:t xml:space="preserve">With This Platform</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Farmer Retention</w:t>
            </w:r>
          </w:p>
        </w:tc>
        <w:tc>
          <w:tcPr>
            <w:tcW w:type="dxa" w:w="35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Reactive — churn identified after departure</w:t>
            </w:r>
          </w:p>
        </w:tc>
        <w:tc>
          <w:tcPr>
            <w:tcW w:type="dxa" w:w="35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Predictive — churn prevented 14–30 days early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bCs/>
                <w:color w:val="0D5C2E"/>
                <w:sz w:val="18"/>
                <w:szCs w:val="18"/>
              </w:rPr>
              <w:t xml:space="preserve">Operational Costs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Linear growth with headcount</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Sub-linear: automation absorbs scale</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Support Efficiency</w:t>
            </w:r>
          </w:p>
        </w:tc>
        <w:tc>
          <w:tcPr>
            <w:tcW w:type="dxa" w:w="35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Manual triage, high cost-per-resolution</w:t>
            </w:r>
          </w:p>
        </w:tc>
        <w:tc>
          <w:tcPr>
            <w:tcW w:type="dxa" w:w="35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AI-assisted routing, 60%+ deflection target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bCs/>
                <w:color w:val="0D5C2E"/>
                <w:sz w:val="18"/>
                <w:szCs w:val="18"/>
              </w:rPr>
              <w:t xml:space="preserve">Monetization</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Opportunistic, no upgrade intelligence</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Systematic: AI-scored upgrade and expansion signals</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Decision Speed</w:t>
            </w:r>
          </w:p>
        </w:tc>
        <w:tc>
          <w:tcPr>
            <w:tcW w:type="dxa" w:w="35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Days to weeks for strategic insights</w:t>
            </w:r>
          </w:p>
        </w:tc>
        <w:tc>
          <w:tcPr>
            <w:tcW w:type="dxa" w:w="35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Real-time: AI-generated recommendations on demand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bCs/>
                <w:color w:val="0D5C2E"/>
                <w:sz w:val="18"/>
                <w:szCs w:val="18"/>
              </w:rPr>
              <w:t xml:space="preserve">Data Value</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Accumulated but unstructured</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Weaponized: every data point drives business outcomes</w:t>
            </w:r>
          </w:p>
        </w:tc>
      </w:tr>
    </w:tbl>
    <w:p>
      <w:pPr>
        <w:spacing w:after="120" w:before="0"/>
      </w:pPr>
    </w:p>
    <w:p>
      <w:pPr>
        <w:spacing w:after="100" w:before="80"/>
      </w:pPr>
      <w:r>
        <w:rPr>
          <w:rFonts w:ascii="Arial" w:cs="Arial" w:eastAsia="Arial" w:hAnsi="Arial"/>
          <w:color w:val="1A2332"/>
          <w:sz w:val="20"/>
          <w:szCs w:val="20"/>
        </w:rPr>
        <w:t xml:space="preserve">The ROI of this platform is not measured in a single metric. It manifests as compounding operational leverage: each efficiency gain reduces the cost of the next. Each retained farmer creates referral value. Each AI improvement reduces cost-per-query. The platform is not an expense — it is the engine that makes all other growth investments more effective.</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08  |  Future Scalability &amp; Ecosystem Expansion</w:t>
      </w:r>
    </w:p>
    <w:p>
      <w:pPr>
        <w:spacing w:after="100" w:before="80"/>
      </w:pPr>
      <w:r>
        <w:rPr>
          <w:rFonts w:ascii="Arial" w:cs="Arial" w:eastAsia="Arial" w:hAnsi="Arial"/>
          <w:color w:val="1A2332"/>
          <w:sz w:val="20"/>
          <w:szCs w:val="20"/>
        </w:rPr>
        <w:t xml:space="preserve">The Anaaj AI platform is architected for expansion. The intelligence layer being built today is the foundation for a multi-product agricultural ecosystem that extends well beyond advisory services.</w:t>
      </w:r>
    </w:p>
    <w:p>
      <w:pPr>
        <w:spacing w:after="100" w:before="0"/>
      </w:pPr>
    </w:p>
    <w:p>
      <w:pPr>
        <w:pStyle w:val="Heading2"/>
        <w:spacing w:after="120" w:before="280"/>
      </w:pPr>
      <w:r>
        <w:rPr>
          <w:rFonts w:ascii="Arial" w:cs="Arial" w:eastAsia="Arial" w:hAnsi="Arial"/>
          <w:b/>
          <w:bCs/>
          <w:color w:val="2D3F52"/>
          <w:sz w:val="24"/>
          <w:szCs w:val="24"/>
        </w:rPr>
        <w:t xml:space="preserve">Near-Term Expansion Opportunities</w:t>
      </w:r>
    </w:p>
    <w:p>
      <w:pPr>
        <w:pStyle w:val="ListParagraph"/>
        <w:numPr>
          <w:ilvl w:val="0"/>
          <w:numId w:val="2"/>
        </w:numPr>
        <w:spacing w:after="60" w:before="60"/>
      </w:pPr>
      <w:r>
        <w:rPr>
          <w:rFonts w:ascii="Arial" w:cs="Arial" w:eastAsia="Arial" w:hAnsi="Arial"/>
          <w:color w:val="1A2332"/>
          <w:sz w:val="20"/>
          <w:szCs w:val="20"/>
        </w:rPr>
        <w:t xml:space="preserve">Agri Marketplace Intelligence: Connect farmers to input suppliers, equipment, and buyers using purchase intent signals from platform behavior</w:t>
      </w:r>
    </w:p>
    <w:p>
      <w:pPr>
        <w:pStyle w:val="ListParagraph"/>
        <w:numPr>
          <w:ilvl w:val="0"/>
          <w:numId w:val="2"/>
        </w:numPr>
        <w:spacing w:after="60" w:before="60"/>
      </w:pPr>
      <w:r>
        <w:rPr>
          <w:rFonts w:ascii="Arial" w:cs="Arial" w:eastAsia="Arial" w:hAnsi="Arial"/>
          <w:color w:val="1A2332"/>
          <w:sz w:val="20"/>
          <w:szCs w:val="20"/>
        </w:rPr>
        <w:t xml:space="preserve">Predictive Crop Intelligence: Seasonal advisory, yield forecasting, and weather-integrated risk alerts — powered by accumulated crop data</w:t>
      </w:r>
    </w:p>
    <w:p>
      <w:pPr>
        <w:pStyle w:val="ListParagraph"/>
        <w:numPr>
          <w:ilvl w:val="0"/>
          <w:numId w:val="2"/>
        </w:numPr>
        <w:spacing w:after="60" w:before="60"/>
      </w:pPr>
      <w:r>
        <w:rPr>
          <w:rFonts w:ascii="Arial" w:cs="Arial" w:eastAsia="Arial" w:hAnsi="Arial"/>
          <w:color w:val="1A2332"/>
          <w:sz w:val="20"/>
          <w:szCs w:val="20"/>
        </w:rPr>
        <w:t xml:space="preserve">Agri Fintech Integration: Credit scoring for rural farmers using behavioral and crop data as alternative financial signals</w:t>
      </w:r>
    </w:p>
    <w:p>
      <w:pPr>
        <w:spacing w:after="100" w:before="0"/>
      </w:pPr>
    </w:p>
    <w:p>
      <w:pPr>
        <w:pStyle w:val="Heading2"/>
        <w:spacing w:after="120" w:before="280"/>
      </w:pPr>
      <w:r>
        <w:rPr>
          <w:rFonts w:ascii="Arial" w:cs="Arial" w:eastAsia="Arial" w:hAnsi="Arial"/>
          <w:b/>
          <w:bCs/>
          <w:color w:val="2D3F52"/>
          <w:sz w:val="24"/>
          <w:szCs w:val="24"/>
        </w:rPr>
        <w:t xml:space="preserve">Medium-Term Strategic Opportunities</w:t>
      </w:r>
    </w:p>
    <w:p>
      <w:pPr>
        <w:pStyle w:val="ListParagraph"/>
        <w:numPr>
          <w:ilvl w:val="0"/>
          <w:numId w:val="2"/>
        </w:numPr>
        <w:spacing w:after="60" w:before="60"/>
      </w:pPr>
      <w:r>
        <w:rPr>
          <w:rFonts w:ascii="Arial" w:cs="Arial" w:eastAsia="Arial" w:hAnsi="Arial"/>
          <w:color w:val="1A2332"/>
          <w:sz w:val="20"/>
          <w:szCs w:val="20"/>
        </w:rPr>
        <w:t xml:space="preserve">Insurance Intelligence: Partner with agri-insurance providers to offer behavioral-data-backed risk assessment and policy recommendations</w:t>
      </w:r>
    </w:p>
    <w:p>
      <w:pPr>
        <w:pStyle w:val="ListParagraph"/>
        <w:numPr>
          <w:ilvl w:val="0"/>
          <w:numId w:val="2"/>
        </w:numPr>
        <w:spacing w:after="60" w:before="60"/>
      </w:pPr>
      <w:r>
        <w:rPr>
          <w:rFonts w:ascii="Arial" w:cs="Arial" w:eastAsia="Arial" w:hAnsi="Arial"/>
          <w:color w:val="1A2332"/>
          <w:sz w:val="20"/>
          <w:szCs w:val="20"/>
        </w:rPr>
        <w:t xml:space="preserve">Enterprise &amp; Government Partnerships: License regional crop intelligence and disease analytics to state agricultural departments and NGOs</w:t>
      </w:r>
    </w:p>
    <w:p>
      <w:pPr>
        <w:pStyle w:val="ListParagraph"/>
        <w:numPr>
          <w:ilvl w:val="0"/>
          <w:numId w:val="2"/>
        </w:numPr>
        <w:spacing w:after="60" w:before="60"/>
      </w:pPr>
      <w:r>
        <w:rPr>
          <w:rFonts w:ascii="Arial" w:cs="Arial" w:eastAsia="Arial" w:hAnsi="Arial"/>
          <w:color w:val="1A2332"/>
          <w:sz w:val="20"/>
          <w:szCs w:val="20"/>
        </w:rPr>
        <w:t xml:space="preserve">B2B Intelligence APIs: Monetize anonymized, aggregated agricultural intelligence through API products for research, fintech, and supply chain partners</w:t>
      </w:r>
    </w:p>
    <w:p>
      <w:pPr>
        <w:spacing w:after="100" w:before="0"/>
      </w:pPr>
    </w:p>
    <w:p>
      <w:pPr>
        <w:pStyle w:val="Heading2"/>
        <w:spacing w:after="120" w:before="280"/>
      </w:pPr>
      <w:r>
        <w:rPr>
          <w:rFonts w:ascii="Arial" w:cs="Arial" w:eastAsia="Arial" w:hAnsi="Arial"/>
          <w:b/>
          <w:bCs/>
          <w:color w:val="2D3F52"/>
          <w:sz w:val="24"/>
          <w:szCs w:val="24"/>
        </w:rPr>
        <w:t xml:space="preserve">Long-Term Platform Vision</w:t>
      </w:r>
    </w:p>
    <w:p>
      <w:pPr>
        <w:spacing w:after="100" w:before="80"/>
      </w:pPr>
      <w:r>
        <w:rPr>
          <w:rFonts w:ascii="Arial" w:cs="Arial" w:eastAsia="Arial" w:hAnsi="Arial"/>
          <w:color w:val="1A2332"/>
          <w:sz w:val="20"/>
          <w:szCs w:val="20"/>
        </w:rPr>
        <w:t xml:space="preserve">Anaaj AI has the technical and data infrastructure to evolve from an AI farming application into a full agricultural intelligence ecosystem — one that serves farmers, agribusinesses, financial institutions, insurers, and government bodies from a single unified platform.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The platform Anaaj AI builds today becomes the data moat, the distribution advantage, and the intelligence infrastructure for every product category it enters tomorrow.</w:t>
            </w:r>
          </w:p>
        </w:tc>
      </w:tr>
    </w:tbl>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09  |  Technical Architecture</w:t>
      </w:r>
    </w:p>
    <w:p>
      <w:pPr>
        <w:spacing w:after="100" w:before="80"/>
      </w:pPr>
      <w:r>
        <w:rPr>
          <w:rFonts w:ascii="Arial" w:cs="Arial" w:eastAsia="Arial" w:hAnsi="Arial"/>
          <w:color w:val="1A2332"/>
          <w:sz w:val="20"/>
          <w:szCs w:val="20"/>
        </w:rPr>
        <w:t xml:space="preserve">The platform is built on a modern, modular, cloud-native architecture designed for scale, reliability, and AI orchestration. Every technology choice is optimized for the performance demands of a real-time agricultural intelligence system.</w:t>
      </w:r>
    </w:p>
    <w:p>
      <w:pPr>
        <w:spacing w:after="100" w:before="0"/>
      </w:pPr>
    </w:p>
    <w:p>
      <w:pPr>
        <w:pStyle w:val="Heading2"/>
        <w:spacing w:after="120" w:before="280"/>
      </w:pPr>
      <w:r>
        <w:rPr>
          <w:rFonts w:ascii="Arial" w:cs="Arial" w:eastAsia="Arial" w:hAnsi="Arial"/>
          <w:b/>
          <w:bCs/>
          <w:color w:val="2D3F52"/>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20"/>
            </w:tcMar>
          </w:tcPr>
          <w:p>
            <w:r>
              <w:rPr>
                <w:rFonts w:ascii="Arial" w:cs="Arial" w:eastAsia="Arial" w:hAnsi="Arial"/>
                <w:b/>
                <w:bCs/>
                <w:color w:val="FFFFFF"/>
                <w:sz w:val="18"/>
                <w:szCs w:val="18"/>
              </w:rPr>
              <w:t xml:space="preserve">Layer</w:t>
            </w:r>
          </w:p>
        </w:tc>
        <w:tc>
          <w:tcPr>
            <w:tcW w:type="dxa" w:w="280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20"/>
            </w:tcMar>
          </w:tcPr>
          <w:p>
            <w:r>
              <w:rPr>
                <w:rFonts w:ascii="Arial" w:cs="Arial" w:eastAsia="Arial" w:hAnsi="Arial"/>
                <w:b/>
                <w:bCs/>
                <w:color w:val="FFFFFF"/>
                <w:sz w:val="18"/>
                <w:szCs w:val="18"/>
              </w:rPr>
              <w:t xml:space="preserve">Technology</w:t>
            </w:r>
          </w:p>
        </w:tc>
        <w:tc>
          <w:tcPr>
            <w:tcW w:type="dxa" w:w="456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20"/>
            </w:tcMar>
          </w:tcPr>
          <w:p>
            <w:r>
              <w:rPr>
                <w:rFonts w:ascii="Arial" w:cs="Arial" w:eastAsia="Arial" w:hAnsi="Arial"/>
                <w:b/>
                <w:bCs/>
                <w:color w:val="FFFFFF"/>
                <w:sz w:val="18"/>
                <w:szCs w:val="18"/>
              </w:rPr>
              <w:t xml:space="preserve">Strategic Rationale</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Frontend</w:t>
            </w:r>
          </w:p>
        </w:tc>
        <w:tc>
          <w:tcPr>
            <w:tcW w:type="dxa" w:w="28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React.js / Next.js + TypeScript + Tailwind</w:t>
            </w:r>
          </w:p>
        </w:tc>
        <w:tc>
          <w:tcPr>
            <w:tcW w:type="dxa" w:w="45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SSR performance, type safety, and enterprise-grade UI velocity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bCs/>
                <w:color w:val="0D5C2E"/>
                <w:sz w:val="18"/>
                <w:szCs w:val="18"/>
              </w:rPr>
              <w:t xml:space="preserve">Backend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Node.js + Express.js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Event-driven, non-blocking I/O optimized for high-concurrency real-time operations</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Database</w:t>
            </w:r>
          </w:p>
        </w:tc>
        <w:tc>
          <w:tcPr>
            <w:tcW w:type="dxa" w:w="28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MongoDB</w:t>
            </w:r>
          </w:p>
        </w:tc>
        <w:tc>
          <w:tcPr>
            <w:tcW w:type="dxa" w:w="45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Flexible schema for evolving farmer data models; horizontal scaling built-in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bCs/>
                <w:color w:val="0D5C2E"/>
                <w:sz w:val="18"/>
                <w:szCs w:val="18"/>
              </w:rPr>
              <w:t xml:space="preserve">AI Orchestration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Gemini API + OpenAI + Groq</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Multi-model strategy: cost, latency, and capability optimized per task</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Queue &amp; Jobs</w:t>
            </w:r>
          </w:p>
        </w:tc>
        <w:tc>
          <w:tcPr>
            <w:tcW w:type="dxa" w:w="28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BullMQ + Redis</w:t>
            </w:r>
          </w:p>
        </w:tc>
        <w:tc>
          <w:tcPr>
            <w:tcW w:type="dxa" w:w="45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Reliable job processing for notifications, automation, and async AI tasks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bCs/>
                <w:color w:val="0D5C2E"/>
                <w:sz w:val="18"/>
                <w:szCs w:val="18"/>
              </w:rPr>
              <w:t xml:space="preserve">Real-Time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WebSockets + Firebase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20"/>
            </w:tcMar>
          </w:tcPr>
          <w:p>
            <w:r>
              <w:rPr>
                <w:rFonts w:ascii="Arial" w:cs="Arial" w:eastAsia="Arial" w:hAnsi="Arial"/>
                <w:b w:val="false"/>
                <w:bCs w:val="false"/>
                <w:color w:val="1A2332"/>
                <w:sz w:val="18"/>
                <w:szCs w:val="18"/>
              </w:rPr>
              <w:t xml:space="preserve">Live dashboard updates, instant alerts, and real-time farmer activity streams</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bCs/>
                <w:color w:val="0D5C2E"/>
                <w:sz w:val="18"/>
                <w:szCs w:val="18"/>
              </w:rPr>
              <w:t xml:space="preserve">Infrastructure</w:t>
            </w:r>
          </w:p>
        </w:tc>
        <w:tc>
          <w:tcPr>
            <w:tcW w:type="dxa" w:w="28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Cloud-native (AWS/GCP)</w:t>
            </w:r>
          </w:p>
        </w:tc>
        <w:tc>
          <w:tcPr>
            <w:tcW w:type="dxa" w:w="456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20"/>
            </w:tcMar>
          </w:tcPr>
          <w:p>
            <w:r>
              <w:rPr>
                <w:rFonts w:ascii="Arial" w:cs="Arial" w:eastAsia="Arial" w:hAnsi="Arial"/>
                <w:b w:val="false"/>
                <w:bCs w:val="false"/>
                <w:color w:val="1A2332"/>
                <w:sz w:val="18"/>
                <w:szCs w:val="18"/>
              </w:rPr>
              <w:t xml:space="preserve">Auto-scaling, multi-region deployment, 99.9% uptime SLA architecture</w:t>
            </w:r>
          </w:p>
        </w:tc>
      </w:tr>
    </w:tbl>
    <w:p>
      <w:pPr>
        <w:spacing w:after="120" w:before="0"/>
      </w:pPr>
    </w:p>
    <w:p>
      <w:pPr>
        <w:spacing w:after="100" w:before="80"/>
      </w:pPr>
      <w:r>
        <w:rPr>
          <w:rFonts w:ascii="Arial" w:cs="Arial" w:eastAsia="Arial" w:hAnsi="Arial"/>
          <w:color w:val="1A2332"/>
          <w:sz w:val="20"/>
          <w:szCs w:val="20"/>
        </w:rPr>
        <w:t xml:space="preserve">The modular architecture ensures that individual components can scale independently, be replaced without system-wide disruption, and integrate new AI models as they emerge. This is not a monolithic system — it is a composable intelligence platform.</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10  |  Security &amp; Enterprise Compliance</w:t>
      </w:r>
    </w:p>
    <w:p>
      <w:pPr>
        <w:spacing w:after="100" w:before="80"/>
      </w:pPr>
      <w:r>
        <w:rPr>
          <w:rFonts w:ascii="Arial" w:cs="Arial" w:eastAsia="Arial" w:hAnsi="Arial"/>
          <w:color w:val="1A2332"/>
          <w:sz w:val="20"/>
          <w:szCs w:val="20"/>
        </w:rPr>
        <w:t xml:space="preserve">Enterprise deployment demands enterprise security. The Anaaj AI platform is architected to meet the security, compliance, and governance expectations of institutional partners, government collaborators, and large-scale enterprise clients.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00"/>
              <w:bottom w:type="dxa" w:w="120"/>
              <w:right w:type="dxa" w:w="200"/>
            </w:tcMar>
          </w:tcPr>
          <w:p>
            <w:r>
              <w:rPr>
                <w:rFonts w:ascii="Arial" w:cs="Arial" w:eastAsia="Arial" w:hAnsi="Arial"/>
                <w:b/>
                <w:bCs/>
                <w:color w:val="FFFFFF"/>
                <w:sz w:val="22"/>
                <w:szCs w:val="22"/>
              </w:rPr>
              <w:t xml:space="preserve">Security Architecture — Core Components</w:t>
            </w:r>
          </w:p>
        </w:tc>
      </w:tr>
      <w:tr>
        <w:tc>
          <w:tcPr>
            <w:tcW w:type="dxa" w:w="9360"/>
            <w:tcBorders>
              <w:top w:val="none" w:color="FFFFFF" w:sz="0"/>
              <w:left w:val="single" w:color="DDDDDD" w:sz="1"/>
              <w:bottom w:val="single" w:color="DDDDDD" w:sz="1"/>
              <w:right w:val="single" w:color="DDDDDD" w:sz="1"/>
            </w:tcBorders>
            <w:shd w:fill="F4F7F9" w:val="clear"/>
            <w:tcMar>
              <w:top w:type="dxa" w:w="120"/>
              <w:left w:type="dxa" w:w="200"/>
              <w:bottom w:type="dxa" w:w="120"/>
              <w:right w:type="dxa" w:w="200"/>
            </w:tcMar>
          </w:tcPr>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JWT-based authentication with short-lived token rotation and refresh management</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Role-Based Access Control (RBAC): granular permissions by role, module, and data sensitivity</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End-to-end API encryption: TLS 1.3 for all data in transit</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Encrypted data at rest: AES-256 for sensitive farmer data and PII</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Comprehensive audit logs: every operator action timestamped, attributed, and immutable</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Secure multi-tenancy: organizational data isolation at database level</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DPDP Act compliance readiness: India's Digital Personal Data Protection framework</w:t>
            </w:r>
          </w:p>
          <w:p>
            <w:pPr>
              <w:spacing w:after="40" w:before="40"/>
            </w:pPr>
            <w:r>
              <w:rPr>
                <w:rFonts w:ascii="Arial" w:cs="Arial" w:eastAsia="Arial" w:hAnsi="Arial"/>
                <w:b/>
                <w:bCs/>
                <w:color w:val="2E8B57"/>
                <w:sz w:val="20"/>
                <w:szCs w:val="20"/>
              </w:rPr>
              <w:t xml:space="preserve">  ✓  </w:t>
            </w:r>
            <w:r>
              <w:rPr>
                <w:rFonts w:ascii="Arial" w:cs="Arial" w:eastAsia="Arial" w:hAnsi="Arial"/>
                <w:color w:val="1A2332"/>
                <w:sz w:val="20"/>
                <w:szCs w:val="20"/>
              </w:rPr>
              <w:t xml:space="preserve">IP whitelisting, rate limiting, and DDoS protection at infrastructure layer</w:t>
            </w:r>
          </w:p>
        </w:tc>
      </w:tr>
    </w:tbl>
    <w:p>
      <w:pPr>
        <w:spacing w:after="80" w:before="0"/>
      </w:pPr>
    </w:p>
    <w:p>
      <w:pPr>
        <w:spacing w:after="100" w:before="80"/>
      </w:pPr>
      <w:r>
        <w:rPr>
          <w:rFonts w:ascii="Arial" w:cs="Arial" w:eastAsia="Arial" w:hAnsi="Arial"/>
          <w:color w:val="1A2332"/>
          <w:sz w:val="20"/>
          <w:szCs w:val="20"/>
        </w:rPr>
        <w:t xml:space="preserve">Security is not a feature added at launch — it is an architectural property of the platform. Anaaj AI's infrastructure is built to carry farmer data with the same responsibility as a financial institution. This posture enables enterprise partnerships, government integrations, and investor confidence.</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11  |  Implementation Roadmap</w:t>
      </w:r>
    </w:p>
    <w:p>
      <w:pPr>
        <w:spacing w:after="100" w:before="80"/>
      </w:pPr>
      <w:r>
        <w:rPr>
          <w:rFonts w:ascii="Arial" w:cs="Arial" w:eastAsia="Arial" w:hAnsi="Arial"/>
          <w:color w:val="1A2332"/>
          <w:sz w:val="20"/>
          <w:szCs w:val="20"/>
        </w:rPr>
        <w:t xml:space="preserve">The platform is delivered in three strategic phases — each building on the last, each creating operational value independently, and each unlocking the next tier of intelligence capability.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c>
          <w:tcPr>
            <w:tcW w:type="dxa" w:w="144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144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40"/>
            </w:tcMar>
          </w:tcPr>
          <w:p>
            <w:r>
              <w:rPr>
                <w:rFonts w:ascii="Arial" w:cs="Arial" w:eastAsia="Arial" w:hAnsi="Arial"/>
                <w:b/>
                <w:bCs/>
                <w:color w:val="FFFFFF"/>
                <w:sz w:val="18"/>
                <w:szCs w:val="18"/>
              </w:rPr>
              <w:t xml:space="preserve">Timeline</w:t>
            </w:r>
          </w:p>
        </w:tc>
        <w:tc>
          <w:tcPr>
            <w:tcW w:type="dxa" w:w="468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40"/>
            </w:tcMar>
          </w:tcPr>
          <w:p>
            <w:r>
              <w:rPr>
                <w:rFonts w:ascii="Arial" w:cs="Arial" w:eastAsia="Arial" w:hAnsi="Arial"/>
                <w:b/>
                <w:bCs/>
                <w:color w:val="FFFFFF"/>
                <w:sz w:val="18"/>
                <w:szCs w:val="18"/>
              </w:rPr>
              <w:t xml:space="preserve">Key Deliverables</w:t>
            </w:r>
          </w:p>
        </w:tc>
        <w:tc>
          <w:tcPr>
            <w:tcW w:type="dxa" w:w="1800"/>
            <w:tcBorders>
              <w:top w:val="single" w:color="DDDDDD" w:sz="1"/>
              <w:left w:val="single" w:color="DDDDDD" w:sz="1"/>
              <w:bottom w:val="single" w:color="DDDDDD" w:sz="1"/>
              <w:right w:val="single" w:color="DDDDDD" w:sz="1"/>
            </w:tcBorders>
            <w:shd w:fill="1A2332" w:val="clear"/>
            <w:tcMar>
              <w:top w:type="dxa" w:w="100"/>
              <w:left w:type="dxa" w:w="140"/>
              <w:bottom w:type="dxa" w:w="100"/>
              <w:right w:type="dxa" w:w="140"/>
            </w:tcMar>
          </w:tcPr>
          <w:p>
            <w:r>
              <w:rPr>
                <w:rFonts w:ascii="Arial" w:cs="Arial" w:eastAsia="Arial" w:hAnsi="Arial"/>
                <w:b/>
                <w:bCs/>
                <w:color w:val="FFFFFF"/>
                <w:sz w:val="18"/>
                <w:szCs w:val="18"/>
              </w:rPr>
              <w:t xml:space="preserve">Milestone</w:t>
            </w:r>
          </w:p>
        </w:tc>
      </w:tr>
      <w:tr>
        <w:tc>
          <w:tcPr>
            <w:tcW w:type="dxa" w:w="144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bCs/>
                <w:color w:val="1A6B3A"/>
                <w:sz w:val="18"/>
                <w:szCs w:val="18"/>
              </w:rPr>
              <w:t xml:space="preserve">Phase 1</w:t>
            </w:r>
          </w:p>
        </w:tc>
        <w:tc>
          <w:tcPr>
            <w:tcW w:type="dxa" w:w="144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val="false"/>
                <w:bCs w:val="false"/>
                <w:color w:val="1A2332"/>
                <w:sz w:val="18"/>
                <w:szCs w:val="18"/>
              </w:rPr>
              <w:t xml:space="preserve">Months 1–3</w:t>
            </w:r>
          </w:p>
        </w:tc>
        <w:tc>
          <w:tcPr>
            <w:tcW w:type="dxa" w:w="46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val="false"/>
                <w:bCs w:val="false"/>
                <w:color w:val="1A2332"/>
                <w:sz w:val="18"/>
                <w:szCs w:val="18"/>
              </w:rPr>
              <w:t xml:space="preserve">Core dashboard, farmer profiles, user management, basic analytics, notification engine, role-based access</w:t>
            </w:r>
          </w:p>
        </w:tc>
        <w:tc>
          <w:tcPr>
            <w:tcW w:type="dxa" w:w="18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val="false"/>
                <w:bCs w:val="false"/>
                <w:color w:val="1A2332"/>
                <w:sz w:val="18"/>
                <w:szCs w:val="18"/>
              </w:rPr>
              <w:t xml:space="preserve">Operational foundation live</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6B3A"/>
                <w:sz w:val="18"/>
                <w:szCs w:val="18"/>
              </w:rPr>
              <w:t xml:space="preserve">Phase 2</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2332"/>
                <w:sz w:val="18"/>
                <w:szCs w:val="18"/>
              </w:rPr>
              <w:t xml:space="preserve">Months 4–6</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2332"/>
                <w:sz w:val="18"/>
                <w:szCs w:val="18"/>
              </w:rPr>
              <w:t xml:space="preserve">AI-powered CRM, predictive churn model, WhatsApp automation, behavioral segmentation, campaign management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2332"/>
                <w:sz w:val="18"/>
                <w:szCs w:val="18"/>
              </w:rPr>
              <w:t xml:space="preserve">Intelligent retention system active</w:t>
            </w:r>
          </w:p>
        </w:tc>
      </w:tr>
      <w:tr>
        <w:tc>
          <w:tcPr>
            <w:tcW w:type="dxa" w:w="144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bCs/>
                <w:color w:val="1A6B3A"/>
                <w:sz w:val="18"/>
                <w:szCs w:val="18"/>
              </w:rPr>
              <w:t xml:space="preserve">Phase 3</w:t>
            </w:r>
          </w:p>
        </w:tc>
        <w:tc>
          <w:tcPr>
            <w:tcW w:type="dxa" w:w="144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val="false"/>
                <w:bCs w:val="false"/>
                <w:color w:val="1A2332"/>
                <w:sz w:val="18"/>
                <w:szCs w:val="18"/>
              </w:rPr>
              <w:t xml:space="preserve">Months 7–12</w:t>
            </w:r>
          </w:p>
        </w:tc>
        <w:tc>
          <w:tcPr>
            <w:tcW w:type="dxa" w:w="468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val="false"/>
                <w:bCs w:val="false"/>
                <w:color w:val="1A2332"/>
                <w:sz w:val="18"/>
                <w:szCs w:val="18"/>
              </w:rPr>
              <w:t xml:space="preserve">Advanced prediction systems, B2B API layer, ecosystem integrations, enterprise-grade BI, investor dashboards</w:t>
            </w:r>
          </w:p>
        </w:tc>
        <w:tc>
          <w:tcPr>
            <w:tcW w:type="dxa" w:w="1800"/>
            <w:tcBorders>
              <w:top w:val="single" w:color="DDDDDD" w:sz="1"/>
              <w:left w:val="single" w:color="DDDDDD" w:sz="1"/>
              <w:bottom w:val="single" w:color="DDDDDD" w:sz="1"/>
              <w:right w:val="single" w:color="DDDDDD" w:sz="1"/>
            </w:tcBorders>
            <w:shd w:fill="E8F5EE" w:val="clear"/>
            <w:tcMar>
              <w:top w:type="dxa" w:w="100"/>
              <w:left w:type="dxa" w:w="140"/>
              <w:bottom w:type="dxa" w:w="100"/>
              <w:right w:type="dxa" w:w="140"/>
            </w:tcMar>
          </w:tcPr>
          <w:p>
            <w:r>
              <w:rPr>
                <w:rFonts w:ascii="Arial" w:cs="Arial" w:eastAsia="Arial" w:hAnsi="Arial"/>
                <w:b w:val="false"/>
                <w:bCs w:val="false"/>
                <w:color w:val="1A2332"/>
                <w:sz w:val="18"/>
                <w:szCs w:val="18"/>
              </w:rPr>
              <w:t xml:space="preserve">Full intelligence platform deployed</w:t>
            </w:r>
          </w:p>
        </w:tc>
      </w:tr>
    </w:tbl>
    <w:p>
      <w:pPr>
        <w:spacing w:after="120" w:before="0"/>
      </w:pPr>
    </w:p>
    <w:p>
      <w:pPr>
        <w:pStyle w:val="Heading2"/>
        <w:spacing w:after="120" w:before="280"/>
      </w:pPr>
      <w:r>
        <w:rPr>
          <w:rFonts w:ascii="Arial" w:cs="Arial" w:eastAsia="Arial" w:hAnsi="Arial"/>
          <w:b/>
          <w:bCs/>
          <w:color w:val="2D3F52"/>
          <w:sz w:val="24"/>
          <w:szCs w:val="24"/>
        </w:rPr>
        <w:t xml:space="preserve">Phase 1 — Foundation</w:t>
      </w:r>
    </w:p>
    <w:p>
      <w:pPr>
        <w:spacing w:after="100" w:before="80"/>
      </w:pPr>
      <w:r>
        <w:rPr>
          <w:rFonts w:ascii="Arial" w:cs="Arial" w:eastAsia="Arial" w:hAnsi="Arial"/>
          <w:color w:val="1A2332"/>
          <w:sz w:val="20"/>
          <w:szCs w:val="20"/>
        </w:rPr>
        <w:t xml:space="preserve">Establish the operational core: farmer data infrastructure, real-time dashboards, notification systems, and role-based administration. The platform becomes the single source of truth for all Anaaj AI operations.</w:t>
      </w:r>
    </w:p>
    <w:p>
      <w:pPr>
        <w:spacing w:after="60" w:before="0"/>
      </w:pPr>
    </w:p>
    <w:p>
      <w:pPr>
        <w:pStyle w:val="Heading2"/>
        <w:spacing w:after="120" w:before="280"/>
      </w:pPr>
      <w:r>
        <w:rPr>
          <w:rFonts w:ascii="Arial" w:cs="Arial" w:eastAsia="Arial" w:hAnsi="Arial"/>
          <w:b/>
          <w:bCs/>
          <w:color w:val="2D3F52"/>
          <w:sz w:val="24"/>
          <w:szCs w:val="24"/>
        </w:rPr>
        <w:t xml:space="preserve">Phase 2 — Intelligence</w:t>
      </w:r>
    </w:p>
    <w:p>
      <w:pPr>
        <w:spacing w:after="100" w:before="80"/>
      </w:pPr>
      <w:r>
        <w:rPr>
          <w:rFonts w:ascii="Arial" w:cs="Arial" w:eastAsia="Arial" w:hAnsi="Arial"/>
          <w:color w:val="1A2332"/>
          <w:sz w:val="20"/>
          <w:szCs w:val="20"/>
        </w:rPr>
        <w:t xml:space="preserve">Activate the AI layer: predictive CRM, churn prevention, automated engagement, and behavioral analytics. The platform shifts from reactive reporting to proactive intelligence — eliminating the manual coordination layer that limits scale.</w:t>
      </w:r>
    </w:p>
    <w:p>
      <w:pPr>
        <w:spacing w:after="60" w:before="0"/>
      </w:pPr>
    </w:p>
    <w:p>
      <w:pPr>
        <w:pStyle w:val="Heading2"/>
        <w:spacing w:after="120" w:before="280"/>
      </w:pPr>
      <w:r>
        <w:rPr>
          <w:rFonts w:ascii="Arial" w:cs="Arial" w:eastAsia="Arial" w:hAnsi="Arial"/>
          <w:b/>
          <w:bCs/>
          <w:color w:val="2D3F52"/>
          <w:sz w:val="24"/>
          <w:szCs w:val="24"/>
        </w:rPr>
        <w:t xml:space="preserve">Phase 3 — Ecosystem</w:t>
      </w:r>
    </w:p>
    <w:p>
      <w:pPr>
        <w:spacing w:after="100" w:before="80"/>
      </w:pPr>
      <w:r>
        <w:rPr>
          <w:rFonts w:ascii="Arial" w:cs="Arial" w:eastAsia="Arial" w:hAnsi="Arial"/>
          <w:color w:val="1A2332"/>
          <w:sz w:val="20"/>
          <w:szCs w:val="20"/>
        </w:rPr>
        <w:t xml:space="preserve">Build the competitive moat: advanced prediction systems, B2B API products, government and enterprise integration frameworks, and investor-grade business intelligence. The platform transitions from an internal tool to a strategic asset with external monetization potential.</w:t>
      </w:r>
    </w:p>
    <w:p>
      <w:pPr>
        <w:spacing w:after="200" w:before="0"/>
      </w:pPr>
    </w:p>
    <w:p>
      <w:pPr>
        <w:pBdr>
          <w:bottom w:val="single" w:color="CCCCCC" w:sz="2" w:space="1"/>
        </w:pBdr>
        <w:spacing w:after="200" w:before="200"/>
      </w:pPr>
    </w:p>
    <w:p>
      <w:pPr>
        <w:pStyle w:val="Heading1"/>
        <w:pBdr>
          <w:bottom w:val="single" w:color="1A6B3A" w:sz="4" w:space="6"/>
        </w:pBdr>
        <w:spacing w:after="160" w:before="400"/>
      </w:pPr>
      <w:r>
        <w:rPr>
          <w:rFonts w:ascii="Arial" w:cs="Arial" w:eastAsia="Arial" w:hAnsi="Arial"/>
          <w:b/>
          <w:bCs/>
          <w:color w:val="1A6B3A"/>
          <w:sz w:val="30"/>
          <w:szCs w:val="30"/>
        </w:rPr>
        <w:t xml:space="preserve">12  |  Strategic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320"/>
              <w:left w:type="dxa" w:w="360"/>
              <w:bottom w:type="dxa" w:w="320"/>
              <w:right w:type="dxa" w:w="360"/>
            </w:tcMar>
          </w:tcPr>
          <w:p>
            <w:pPr>
              <w:spacing w:after="160" w:before="0"/>
              <w:jc w:val="center"/>
            </w:pPr>
            <w:r>
              <w:rPr>
                <w:rFonts w:ascii="Arial" w:cs="Arial" w:eastAsia="Arial" w:hAnsi="Arial"/>
                <w:b/>
                <w:bCs/>
                <w:color w:val="FFFFFF"/>
                <w:sz w:val="28"/>
                <w:szCs w:val="28"/>
              </w:rPr>
              <w:t xml:space="preserve">This system is more than software.</w:t>
            </w:r>
          </w:p>
          <w:p>
            <w:pPr>
              <w:spacing w:after="160" w:before="0"/>
              <w:jc w:val="center"/>
            </w:pPr>
            <w:r>
              <w:rPr>
                <w:rFonts w:ascii="Arial" w:cs="Arial" w:eastAsia="Arial" w:hAnsi="Arial"/>
                <w:b/>
                <w:bCs/>
                <w:color w:val="A8D5B8"/>
                <w:sz w:val="28"/>
                <w:szCs w:val="28"/>
              </w:rPr>
              <w:t xml:space="preserve">It is more than a dashboard.</w:t>
            </w:r>
          </w:p>
          <w:p>
            <w:pPr>
              <w:spacing w:after="0" w:before="0"/>
              <w:jc w:val="center"/>
            </w:pPr>
            <w:r>
              <w:rPr>
                <w:rFonts w:ascii="Arial" w:cs="Arial" w:eastAsia="Arial" w:hAnsi="Arial"/>
                <w:b/>
                <w:bCs/>
                <w:color w:val="D4A017"/>
                <w:sz w:val="28"/>
                <w:szCs w:val="28"/>
              </w:rPr>
              <w:t xml:space="preserve">It is more than a CRM.</w:t>
            </w:r>
          </w:p>
        </w:tc>
      </w:tr>
    </w:tbl>
    <w:p>
      <w:pPr>
        <w:spacing w:after="120" w:before="0"/>
      </w:pPr>
    </w:p>
    <w:p>
      <w:pPr>
        <w:spacing w:after="100" w:before="80"/>
      </w:pPr>
      <w:r>
        <w:rPr>
          <w:rFonts w:ascii="Arial" w:cs="Arial" w:eastAsia="Arial" w:hAnsi="Arial"/>
          <w:color w:val="1A2332"/>
          <w:sz w:val="20"/>
          <w:szCs w:val="20"/>
        </w:rPr>
        <w:t xml:space="preserve">The Anaaj AI Admin Dashboard is the intelligence layer powering the future of Anaaj AI. It is the infrastructure that transforms individual farmer interactions into strategic business intelligence. It is the system that makes scale possible without proportional cost. It is the data asset that becomes more valuable every day — compounding in insight, in competitive advantage, and in defensibility.</w:t>
      </w:r>
    </w:p>
    <w:p>
      <w:pPr>
        <w:spacing w:after="80" w:before="0"/>
      </w:pPr>
    </w:p>
    <w:p>
      <w:pPr>
        <w:spacing w:after="100" w:before="80"/>
      </w:pPr>
      <w:r>
        <w:rPr>
          <w:rFonts w:ascii="Arial" w:cs="Arial" w:eastAsia="Arial" w:hAnsi="Arial"/>
          <w:color w:val="1A2332"/>
          <w:sz w:val="20"/>
          <w:szCs w:val="20"/>
        </w:rPr>
        <w:t xml:space="preserve">No competitor can purchase what this platform will build. The intelligence generated by millions of farmer conversations, crop queries, disease detections, and behavioral signals belongs to Anaaj AI alone. It cannot be replicated by a later entrant. It cannot be bought. It can only be earned through the disciplined, intelligent operation of this system over time.</w:t>
      </w:r>
    </w:p>
    <w:p>
      <w:pPr>
        <w:spacing w:after="100" w:before="0"/>
      </w:pPr>
    </w:p>
    <w:p>
      <w:pPr>
        <w:pStyle w:val="Heading2"/>
        <w:spacing w:after="120" w:before="280"/>
      </w:pPr>
      <w:r>
        <w:rPr>
          <w:rFonts w:ascii="Arial" w:cs="Arial" w:eastAsia="Arial" w:hAnsi="Arial"/>
          <w:b/>
          <w:bCs/>
          <w:color w:val="2D3F52"/>
          <w:sz w:val="24"/>
          <w:szCs w:val="24"/>
        </w:rPr>
        <w:t xml:space="preserve">The Long-Term Strategic Vision</w:t>
      </w:r>
    </w:p>
    <w:p>
      <w:pPr>
        <w:pStyle w:val="ListParagraph"/>
        <w:numPr>
          <w:ilvl w:val="0"/>
          <w:numId w:val="2"/>
        </w:numPr>
        <w:spacing w:after="60" w:before="60"/>
      </w:pPr>
      <w:r>
        <w:rPr>
          <w:rFonts w:ascii="Arial" w:cs="Arial" w:eastAsia="Arial" w:hAnsi="Arial"/>
          <w:color w:val="1A2332"/>
          <w:sz w:val="20"/>
          <w:szCs w:val="20"/>
        </w:rPr>
        <w:t xml:space="preserve">Short term: Operational excellence — centralized control, AI-driven retention, and scalable automation</w:t>
      </w:r>
    </w:p>
    <w:p>
      <w:pPr>
        <w:pStyle w:val="ListParagraph"/>
        <w:numPr>
          <w:ilvl w:val="0"/>
          <w:numId w:val="2"/>
        </w:numPr>
        <w:spacing w:after="60" w:before="60"/>
      </w:pPr>
      <w:r>
        <w:rPr>
          <w:rFonts w:ascii="Arial" w:cs="Arial" w:eastAsia="Arial" w:hAnsi="Arial"/>
          <w:color w:val="1A2332"/>
          <w:sz w:val="20"/>
          <w:szCs w:val="20"/>
        </w:rPr>
        <w:t xml:space="preserve">Medium term: Intelligence advantage — predictive systems that outperform human-operated competitors</w:t>
      </w:r>
    </w:p>
    <w:p>
      <w:pPr>
        <w:pStyle w:val="ListParagraph"/>
        <w:numPr>
          <w:ilvl w:val="0"/>
          <w:numId w:val="2"/>
        </w:numPr>
        <w:spacing w:after="60" w:before="60"/>
      </w:pPr>
      <w:r>
        <w:rPr>
          <w:rFonts w:ascii="Arial" w:cs="Arial" w:eastAsia="Arial" w:hAnsi="Arial"/>
          <w:color w:val="1A2332"/>
          <w:sz w:val="20"/>
          <w:szCs w:val="20"/>
        </w:rPr>
        <w:t xml:space="preserve">Long term: Ecosystem dominance — the intelligence layer that powers agriculture, fintech, insurance, and marketplace products across India</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single" w:color="1A6B3A" w:sz="8"/>
              <w:bottom w:val="none" w:color="FFFFFF" w:sz="0"/>
              <w:right w:val="none" w:color="FFFFFF" w:sz="0"/>
            </w:tcBorders>
            <w:shd w:fill="E8F5EE" w:val="clear"/>
            <w:tcMar>
              <w:top w:type="dxa" w:w="160"/>
              <w:left w:type="dxa" w:w="200"/>
              <w:bottom w:type="dxa" w:w="160"/>
              <w:right w:type="dxa" w:w="200"/>
            </w:tcMar>
          </w:tcPr>
          <w:p>
            <w:r>
              <w:rPr>
                <w:rFonts w:ascii="Arial" w:cs="Arial" w:eastAsia="Arial" w:hAnsi="Arial"/>
                <w:i/>
                <w:iCs/>
                <w:color w:val="0D5C2E"/>
                <w:sz w:val="20"/>
                <w:szCs w:val="20"/>
              </w:rPr>
              <w:t xml:space="preserve">Anaaj AI has the opportunity to evolve from an AI farming application into a full agricultural intelligence ecosystem — one that defines how India's 600 million farmers engage with technology for generations to come. This platform is how that journey begins.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6B3A" w:val="clear"/>
            <w:tcMar>
              <w:top w:type="dxa" w:w="200"/>
              <w:left w:type="dxa" w:w="240"/>
              <w:bottom w:type="dxa" w:w="200"/>
              <w:right w:type="dxa" w:w="240"/>
            </w:tcMar>
          </w:tcPr>
          <w:p>
            <w:r>
              <w:rPr>
                <w:rFonts w:ascii="Arial" w:cs="Arial" w:eastAsia="Arial" w:hAnsi="Arial"/>
                <w:b/>
                <w:bCs/>
                <w:color w:val="FFFFFF"/>
                <w:sz w:val="28"/>
                <w:szCs w:val="28"/>
              </w:rPr>
              <w:t xml:space="preserve">Anaaj AI</w:t>
            </w:r>
          </w:p>
          <w:p>
            <w:r>
              <w:rPr>
                <w:rFonts w:ascii="Arial" w:cs="Arial" w:eastAsia="Arial" w:hAnsi="Arial"/>
                <w:color w:val="A8D5B8"/>
                <w:sz w:val="20"/>
                <w:szCs w:val="20"/>
              </w:rPr>
              <w:t xml:space="preserve">Agricultural Intelligence Platform</w:t>
            </w:r>
          </w:p>
        </w:tc>
        <w:tc>
          <w:tcPr>
            <w:tcW w:type="dxa" w:w="4680"/>
            <w:tcBorders>
              <w:top w:val="none" w:color="FFFFFF" w:sz="0"/>
              <w:left w:val="none" w:color="FFFFFF" w:sz="0"/>
              <w:bottom w:val="none" w:color="FFFFFF" w:sz="0"/>
              <w:right w:val="none" w:color="FFFFFF" w:sz="0"/>
            </w:tcBorders>
            <w:shd w:fill="F4F7F9" w:val="clear"/>
            <w:tcMar>
              <w:top w:type="dxa" w:w="200"/>
              <w:left w:type="dxa" w:w="240"/>
              <w:bottom w:type="dxa" w:w="200"/>
              <w:right w:type="dxa" w:w="240"/>
            </w:tcMar>
          </w:tcPr>
          <w:p>
            <w:r>
              <w:rPr>
                <w:rFonts w:ascii="Arial" w:cs="Arial" w:eastAsia="Arial" w:hAnsi="Arial"/>
                <w:b/>
                <w:bCs/>
                <w:color w:val="1A2332"/>
                <w:sz w:val="18"/>
                <w:szCs w:val="18"/>
              </w:rPr>
              <w:t xml:space="preserve">Confidential — Strategic Document</w:t>
            </w:r>
          </w:p>
          <w:p>
            <w:r>
              <w:rPr>
                <w:rFonts w:ascii="Arial" w:cs="Arial" w:eastAsia="Arial" w:hAnsi="Arial"/>
                <w:color w:val="5A6B7A"/>
                <w:sz w:val="17"/>
                <w:szCs w:val="17"/>
              </w:rPr>
              <w:t xml:space="preserve">Not for external distribution without authorization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2" w:space="6"/>
      </w:pBdr>
      <w:tabs>
        <w:tab w:val="right" w:pos="9026"/>
      </w:tabs>
      <w:spacing w:after="0" w:before="120"/>
    </w:pPr>
    <w:r>
      <w:rPr>
        <w:rFonts w:ascii="Arial" w:cs="Arial" w:eastAsia="Arial" w:hAnsi="Arial"/>
        <w:color w:val="5A6B7A"/>
        <w:sz w:val="16"/>
        <w:szCs w:val="16"/>
      </w:rPr>
      <w:t xml:space="preserve">Anaaj AI — Enterprise Product Strategy Document</w:t>
    </w:r>
    <w:r>
      <w:rPr>
        <w:rFonts w:ascii="Arial" w:cs="Arial" w:eastAsia="Arial" w:hAnsi="Arial"/>
        <w:color w:val="5A6B7A"/>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2" w:space="6"/>
      </w:pBdr>
      <w:tabs>
        <w:tab w:val="right" w:pos="9026"/>
      </w:tabs>
      <w:spacing w:after="120" w:before="0"/>
    </w:pPr>
    <w:r>
      <w:rPr>
        <w:rFonts w:ascii="Arial" w:cs="Arial" w:eastAsia="Arial" w:hAnsi="Arial"/>
        <w:b/>
        <w:bCs/>
        <w:color w:val="1A6B3A"/>
        <w:sz w:val="17"/>
        <w:szCs w:val="17"/>
      </w:rPr>
      <w:t xml:space="preserve">ANAAJ AI  |  Farmer Intelligence Platform</w:t>
    </w:r>
    <w:r>
      <w:rPr>
        <w:rFonts w:ascii="Arial" w:cs="Arial" w:eastAsia="Arial" w:hAnsi="Arial"/>
        <w:sz w:val="17"/>
        <w:szCs w:val="17"/>
      </w:rPr>
      <w:t xml:space="preserve">	</w:t>
    </w:r>
    <w:r>
      <w:rPr>
        <w:rFonts w:ascii="Arial" w:cs="Arial" w:eastAsia="Arial" w:hAnsi="Arial"/>
        <w:color w:val="5A6B7A"/>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D3F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2026-05-19T05:44:48.056Z</dcterms:created>
  <dcterms:modified xsi:type="dcterms:W3CDTF">2026-05-19T05:44:48.056Z</dcterms:modified>
</cp:coreProperties>
</file>

<file path=docProps/custom.xml><?xml version="1.0" encoding="utf-8"?>
<Properties xmlns="http://schemas.openxmlformats.org/officeDocument/2006/custom-properties" xmlns:vt="http://schemas.openxmlformats.org/officeDocument/2006/docPropsVTypes"/>
</file>