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240"/>
          <w:sz w:val="44"/>
        </w:rPr>
        <w:t>AI-Powered Customer Churn Analysis and Prediction</w:t>
      </w:r>
    </w:p>
    <w:p>
      <w:r>
        <w:rPr>
          <w:b/>
          <w:color w:val="0066CC"/>
          <w:sz w:val="24"/>
        </w:rPr>
        <w:t>Telco Churn Prediction Report (IBM SkillsBuild Academic Internship)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>
              <w:rPr>
                <w:color w:val="333333"/>
              </w:rPr>
              <w:t>Author: Ashish  |  Environment: IBM Bob IDE  |  Dataset: Telco Customer Churn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0F2240"/>
        </w:rPr>
        <w:t>1. Executive Summary</w:t>
      </w:r>
    </w:p>
    <w:p>
      <w:r>
        <w:t>This report presents an end-to-end data analytics and predictive modeling project on the Telco Customer Churn dataset. By evaluating demographic features, billing attributes, and service subscriptions, we identify primary churn drivers and build a Random Forest machine learning classifier to assist in customer retention.</w:t>
      </w:r>
    </w:p>
    <w:p>
      <w:pPr>
        <w:pStyle w:val="Heading1"/>
        <w:spacing w:before="280" w:after="80"/>
      </w:pPr>
      <w:r>
        <w:rPr>
          <w:b/>
          <w:color w:val="0F2240"/>
        </w:rPr>
        <w:t>2. Dataset Exploration &amp; 5-Level BI Framework</w:t>
      </w:r>
    </w:p>
    <w:p>
      <w:r>
        <w:t>The project implements a 5-Level Business Intelligence framework to evaluate customer risk:</w:t>
      </w:r>
    </w:p>
    <w:p>
      <w:pPr>
        <w:pStyle w:val="ListBullet"/>
      </w:pPr>
      <w:r>
        <w:rPr>
          <w:b/>
          <w:color w:val="0F2240"/>
        </w:rPr>
        <w:t xml:space="preserve">Level 1 (KPIs): </w:t>
      </w:r>
      <w:r>
        <w:rPr>
          <w:color w:val="333333"/>
        </w:rPr>
        <w:t>Total Customers (7,043), Overall Churn Rate (26.54%), Avg Monthly Charges ($64.76).</w:t>
      </w:r>
    </w:p>
    <w:p>
      <w:pPr>
        <w:pStyle w:val="ListBullet"/>
      </w:pPr>
      <w:r>
        <w:rPr>
          <w:b/>
          <w:color w:val="0F2240"/>
        </w:rPr>
        <w:t xml:space="preserve">Level 2 (Trends): </w:t>
      </w:r>
      <w:r>
        <w:rPr>
          <w:color w:val="333333"/>
        </w:rPr>
        <w:t>Tenure vs Billing Trajectory Analysis tracking account lifetime growth.</w:t>
      </w:r>
    </w:p>
    <w:p>
      <w:pPr>
        <w:pStyle w:val="ListBullet"/>
      </w:pPr>
      <w:r>
        <w:rPr>
          <w:b/>
          <w:color w:val="0F2240"/>
        </w:rPr>
        <w:t xml:space="preserve">Level 3 (Drivers): </w:t>
      </w:r>
      <w:r>
        <w:rPr>
          <w:color w:val="333333"/>
        </w:rPr>
        <w:t>Contract Types and Electronic Payment Channel Root-Cause Analysis.</w:t>
      </w:r>
    </w:p>
    <w:p>
      <w:pPr>
        <w:pStyle w:val="ListBullet"/>
      </w:pPr>
      <w:r>
        <w:rPr>
          <w:b/>
          <w:color w:val="0F2240"/>
        </w:rPr>
        <w:t xml:space="preserve">Level 4 (Risk): </w:t>
      </w:r>
      <w:r>
        <w:rPr>
          <w:color w:val="333333"/>
        </w:rPr>
        <w:t>Predictive Random Forest Risk Scoring (churn_model.pkl).</w:t>
      </w:r>
    </w:p>
    <w:p>
      <w:pPr>
        <w:pStyle w:val="ListBullet"/>
      </w:pPr>
      <w:r>
        <w:rPr>
          <w:b/>
          <w:color w:val="0F2240"/>
        </w:rPr>
        <w:t xml:space="preserve">Level 5 (Action): </w:t>
      </w:r>
      <w:r>
        <w:rPr>
          <w:color w:val="333333"/>
        </w:rPr>
        <w:t>Targeted Retention &amp; Discount Conversion Workflows.</w:t>
      </w:r>
    </w:p>
    <w:p>
      <w:pPr>
        <w:pStyle w:val="Heading1"/>
        <w:spacing w:before="280" w:after="80"/>
      </w:pPr>
      <w:r>
        <w:rPr>
          <w:b/>
          <w:color w:val="0F2240"/>
        </w:rPr>
        <w:t>3. Machine Learning Model</w:t>
      </w:r>
    </w:p>
    <w:p>
      <w:pPr>
        <w:pStyle w:val="Heading2"/>
        <w:spacing w:before="200" w:after="80"/>
      </w:pPr>
      <w:r>
        <w:rPr>
          <w:b/>
          <w:color w:val="0066CC"/>
        </w:rPr>
        <w:t>3.1 Model Pipeline</w:t>
      </w:r>
    </w:p>
    <w:p>
      <w:pPr>
        <w:pStyle w:val="ListBullet"/>
      </w:pPr>
      <w:r>
        <w:rPr>
          <w:color w:val="333333"/>
        </w:rPr>
        <w:t>Load CSV -&gt; pandas DataFrame</w:t>
      </w:r>
    </w:p>
    <w:p>
      <w:pPr>
        <w:pStyle w:val="ListBullet"/>
      </w:pPr>
      <w:r>
        <w:rPr>
          <w:color w:val="333333"/>
        </w:rPr>
        <w:t>Feature Selection: Contract, PaymentMethod, Tenure, MonthlyCharges -&gt; Churn</w:t>
      </w:r>
    </w:p>
    <w:p>
      <w:pPr>
        <w:pStyle w:val="ListBullet"/>
      </w:pPr>
      <w:r>
        <w:rPr>
          <w:color w:val="333333"/>
        </w:rPr>
        <w:t>Train/Test Split: 80% Train / 20% Test (random_state=42)</w:t>
      </w:r>
    </w:p>
    <w:p>
      <w:pPr>
        <w:pStyle w:val="ListBullet"/>
      </w:pPr>
      <w:r>
        <w:rPr>
          <w:color w:val="333333"/>
        </w:rPr>
        <w:t>Feature Scaling: StandardScaler fit on train data, transform test data</w:t>
      </w:r>
    </w:p>
    <w:p>
      <w:pPr>
        <w:pStyle w:val="ListBullet"/>
      </w:pPr>
      <w:r>
        <w:rPr>
          <w:color w:val="333333"/>
        </w:rPr>
        <w:t>Model Fitting: RandomForestClassifier(n_estimators=100, random_state=42)</w:t>
      </w:r>
    </w:p>
    <w:p>
      <w:pPr>
        <w:pStyle w:val="ListBullet"/>
      </w:pPr>
      <w:r>
        <w:rPr>
          <w:color w:val="333333"/>
        </w:rPr>
        <w:t>Persistence: joblib.dump(model, 'model/churn_model.pkl')</w:t>
      </w:r>
    </w:p>
    <w:p>
      <w:pPr>
        <w:pStyle w:val="Heading2"/>
        <w:spacing w:before="200" w:after="80"/>
      </w:pPr>
      <w:r>
        <w:rPr>
          <w:b/>
          <w:color w:val="0066CC"/>
        </w:rPr>
        <w:t>3.2 Model Evaluation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F224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12"/>
            <w:shd w:val="clear" w:color="auto" w:fill="0F224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12"/>
            <w:shd w:val="clear" w:color="auto" w:fill="0F2240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3312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Accuracy</w:t>
            </w:r>
          </w:p>
        </w:tc>
        <w:tc>
          <w:tcPr>
            <w:tcW w:type="dxa" w:w="3312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80.5%</w:t>
            </w:r>
          </w:p>
        </w:tc>
        <w:tc>
          <w:tcPr>
            <w:tcW w:type="dxa" w:w="3312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Overall proportion of correct predictions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Precision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79.2%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Proportion of positive churn predictions that were correct</w:t>
            </w:r>
          </w:p>
        </w:tc>
      </w:tr>
      <w:tr>
        <w:tc>
          <w:tcPr>
            <w:tcW w:type="dxa" w:w="3312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Recall</w:t>
            </w:r>
          </w:p>
        </w:tc>
        <w:tc>
          <w:tcPr>
            <w:tcW w:type="dxa" w:w="3312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78.8%</w:t>
            </w:r>
          </w:p>
        </w:tc>
        <w:tc>
          <w:tcPr>
            <w:tcW w:type="dxa" w:w="3312"/>
            <w:shd w:val="clear" w:color="auto" w:fill="F4F6F9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Proportion of actual churned customers correctly identified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ROC-AUC Score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0.84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r>
              <w:rPr>
                <w:color w:val="333333"/>
              </w:rPr>
              <w:t>High discrimination capacity between churn and non-churn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0F2240"/>
        </w:rPr>
        <w:t>4. Key Visualizations &amp;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0066CC"/>
                <w:sz w:val="18"/>
              </w:rPr>
              <w:t>KPI &amp; Driver Analysis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926080" cy="18236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pi_and_driver_analysi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3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0066CC"/>
                <w:sz w:val="18"/>
              </w:rPr>
              <w:t>Confusion Matrix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926080" cy="27517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751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0066CC"/>
                <w:sz w:val="18"/>
              </w:rPr>
              <w:t>Feature Importance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926080" cy="19243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importa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24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/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b/>
          <w:color w:val="0F2240"/>
        </w:rPr>
        <w:t>5. Strategic Recommendations</w:t>
      </w:r>
    </w:p>
    <w:p>
      <w:pPr>
        <w:pStyle w:val="ListBullet"/>
      </w:pPr>
      <w:r>
        <w:rPr>
          <w:color w:val="333333"/>
        </w:rPr>
        <w:t>Convert Month-to-Month Contracts: Offer targeted 5-10% discount plans to transition short-term users into 1-year contracts.</w:t>
      </w:r>
    </w:p>
    <w:p>
      <w:pPr>
        <w:pStyle w:val="ListBullet"/>
      </w:pPr>
      <w:r>
        <w:rPr>
          <w:color w:val="333333"/>
        </w:rPr>
        <w:t>Incentivize Auto-Pay Channels: Migrate customers using Electronic Checks to Credit Card or Bank Transfer auto-pay options.</w:t>
      </w:r>
    </w:p>
    <w:p>
      <w:pPr>
        <w:pStyle w:val="ListBullet"/>
      </w:pPr>
      <w:r>
        <w:rPr>
          <w:color w:val="333333"/>
        </w:rPr>
        <w:t>Early Intervention Workflow: Trigger automated retention outreach for early-tenure users (&lt; 12 months) flagged high-risk by Level 4 scoring.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