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pbm_whitepaper_cover_1781971731715.png"/>
                    <pic:cNvPicPr/>
                  </pic:nvPicPr>
                  <pic:blipFill>
                    <a:blip r:embed="rId9"/>
                    <a:stretch>
                      <a:fillRect/>
                    </a:stretch>
                  </pic:blipFill>
                  <pic:spPr>
                    <a:xfrm>
                      <a:off x="0" y="0"/>
                      <a:ext cx="4572000" cy="4572000"/>
                    </a:xfrm>
                    <a:prstGeom prst="rect"/>
                  </pic:spPr>
                </pic:pic>
              </a:graphicData>
            </a:graphic>
          </wp:inline>
        </w:drawing>
      </w:r>
    </w:p>
    <w:p>
      <w:pPr>
        <w:pStyle w:val="WhitepaperTitle"/>
      </w:pPr>
      <w:r>
        <w:t>Next Generation PBM Claims Auditing: Best Practices and AI-Driven Reconciliation</w:t>
      </w:r>
    </w:p>
    <w:p>
      <w:pPr>
        <w:pStyle w:val="WhitepaperSubtitle"/>
      </w:pPr>
      <w:r>
        <w:t>A Modern Approach to Fiduciary Duty, Scalable Analytics, and Intelligent Contract Verification</w:t>
      </w:r>
    </w:p>
    <w:p>
      <w:pPr>
        <w:spacing w:after="720"/>
        <w:jc w:val="center"/>
      </w:pPr>
      <w:r>
        <w:rPr>
          <w:color w:val="64748B"/>
          <w:sz w:val="19"/>
        </w:rPr>
        <w:t>Published: June 2026   |   Authors: Advanced Agentic Coding Team</w:t>
        <w:br/>
      </w:r>
      <w:r>
        <w:rPr>
          <w:i/>
          <w:color w:val="64748B"/>
          <w:sz w:val="19"/>
        </w:rPr>
        <w:t>Subject: Health Plan Sponsor Fiduciary Oversight &amp; Drug Spend Optimization</w:t>
      </w:r>
    </w:p>
    <w:p>
      <w:r>
        <w:br w:type="page"/>
      </w:r>
    </w:p>
    <w:p>
      <w:pPr>
        <w:keepNext/>
        <w:spacing w:before="360" w:after="120"/>
      </w:pPr>
      <w:r>
        <w:rPr>
          <w:rFonts w:ascii="Arial" w:hAnsi="Arial"/>
          <w:b/>
          <w:color w:val="0284C7"/>
          <w:sz w:val="32"/>
        </w:rPr>
        <w:t>Executive Summary</w:t>
      </w:r>
    </w:p>
    <w:p>
      <w:r>
        <w:t>In an era of skyrocketing prescription drug prices, health plan sponsors (employers, union funds, and government plans) face immense pressure to keep healthcare costs under control. While pharmacy benefit manager (PBM) contracts are designed to provide access to affordable drugs, the complexity of these agreements often hides significant administrative errors, bypassed penalties, and missed rebate yields.</w:t>
      </w:r>
    </w:p>
    <w:p>
      <w:r>
        <w:t>This whitepaper details the Next Generation PBM Claims Auditing framework. It establishes how combining PySpark big-data architectures with Generative AI allows sponsors to audit 100% of their claims history, extract contract rules from natural language documents automatically, and verify rebate performance. We showcase a production-grade blueprint for executing these audits, driving down drug spend, and reclaiming fiduciary oversight.</w:t>
      </w:r>
    </w:p>
    <w:p>
      <w:pPr>
        <w:keepNext/>
        <w:spacing w:before="360" w:after="120"/>
      </w:pPr>
      <w:r>
        <w:rPr>
          <w:rFonts w:ascii="Arial" w:hAnsi="Arial"/>
          <w:b/>
          <w:color w:val="0284C7"/>
          <w:sz w:val="32"/>
        </w:rPr>
        <w:t>1. The Value of PBM Claims Auditing</w:t>
      </w:r>
    </w:p>
    <w:p>
      <w:r>
        <w:t>A pharmacy claims audit is no longer a luxury—it is a critical fiduciary requirement. Pharmacy benefit claims setups are configured manually by PBM staff, creating significant potential for human coding error.</w:t>
      </w:r>
    </w:p>
    <w:p>
      <w:r>
        <w:t>By implementing an automated auditing process, plan sponsors can:</w:t>
      </w:r>
    </w:p>
    <w:p>
      <w:pPr>
        <w:pStyle w:val="ListBullet"/>
      </w:pPr>
      <w:r>
        <w:rPr>
          <w:b/>
        </w:rPr>
        <w:t xml:space="preserve">Validate Adjudication Integrity: </w:t>
      </w:r>
      <w:r>
        <w:t>Ensure that the claims are processed in strict compliance with the plan's Summary Plan Description (SPD) and contractual agreements.</w:t>
      </w:r>
    </w:p>
    <w:p>
      <w:pPr>
        <w:pStyle w:val="ListBullet"/>
      </w:pPr>
      <w:r>
        <w:rPr>
          <w:b/>
        </w:rPr>
        <w:t xml:space="preserve">Recover Overpayments: </w:t>
      </w:r>
      <w:r>
        <w:t>Identify systemic processing issues, duplicate payments, and billing errors to reclaim lost funds from the PBM.</w:t>
      </w:r>
    </w:p>
    <w:p>
      <w:pPr>
        <w:pStyle w:val="ListBullet"/>
      </w:pPr>
      <w:r>
        <w:rPr>
          <w:b/>
        </w:rPr>
        <w:t xml:space="preserve">Optimize Future Negotiations: </w:t>
      </w:r>
      <w:r>
        <w:t>Gather deep analytics on pricing trends, brand-to-generic reclassifications, and channel spend to negotiate more robust future contracts.</w:t>
      </w:r>
    </w:p>
    <w:p>
      <w:pPr>
        <w:pStyle w:val="ListBullet"/>
      </w:pPr>
      <w:r>
        <w:rPr>
          <w:b/>
        </w:rPr>
        <w:t xml:space="preserve">Strengthen Audit ROI: </w:t>
      </w:r>
      <w:r>
        <w:t>A thorough electronic claims audit typically uncovers savings that dwarf the cost of the audit itself by a factor of 10x or more.</w:t>
      </w:r>
    </w:p>
    <w:p>
      <w:pPr>
        <w:keepNext/>
        <w:spacing w:before="360" w:after="120"/>
      </w:pPr>
      <w:r>
        <w:rPr>
          <w:rFonts w:ascii="Arial" w:hAnsi="Arial"/>
          <w:b/>
          <w:color w:val="0284C7"/>
          <w:sz w:val="32"/>
        </w:rPr>
        <w:t>2. Core Next Generation Audit Exception Tests</w:t>
      </w:r>
    </w:p>
    <w:p>
      <w:r>
        <w:t>An effective audit must inspect 100% of claims. The Next Generation framework implements six essential electronic checks:</w:t>
      </w:r>
    </w:p>
    <w:p>
      <w:pPr>
        <w:keepNext/>
        <w:spacing w:before="240" w:after="80"/>
      </w:pPr>
      <w:r>
        <w:rPr>
          <w:rFonts w:ascii="Arial" w:hAnsi="Arial"/>
          <w:b/>
          <w:color w:val="0F172A"/>
          <w:sz w:val="26"/>
        </w:rPr>
        <w:t>Test 1: Invalid NDC Claims</w:t>
      </w:r>
    </w:p>
    <w:p>
      <w:r>
        <w:t>Cross-references every submitted National Drug Code (NDC) against the industry-standard master drug reference database. Claims with invalid or retired NDCs represent major PBM configuration gaps. The financial impact represents 100% of the PBM paid amount as these claims should never have adjudicated.</w:t>
      </w:r>
    </w:p>
    <w:p>
      <w:pPr>
        <w:keepNext/>
        <w:spacing w:before="240" w:after="80"/>
      </w:pPr>
      <w:r>
        <w:rPr>
          <w:rFonts w:ascii="Arial" w:hAnsi="Arial"/>
          <w:b/>
          <w:color w:val="0F172A"/>
          <w:sz w:val="26"/>
        </w:rPr>
        <w:t>Test 2: Questionable AWP Claims</w:t>
      </w:r>
    </w:p>
    <w:p>
      <w:r>
        <w:t>Checks if the billed Average Wholesale Price (AWP) aligns with the published AWP in the master database for that exact drug and unit volume. Flags billing inflation. The overpayment is calculated as the difference between the billed AWP and reference expected AWP.</w:t>
      </w:r>
    </w:p>
    <w:p>
      <w:pPr>
        <w:keepNext/>
        <w:spacing w:before="240" w:after="80"/>
      </w:pPr>
      <w:r>
        <w:rPr>
          <w:rFonts w:ascii="Arial" w:hAnsi="Arial"/>
          <w:b/>
          <w:color w:val="0F172A"/>
          <w:sz w:val="26"/>
        </w:rPr>
        <w:t>Test 3: DAW (Dispensed as Written) Penalty Bypass</w:t>
      </w:r>
    </w:p>
    <w:p>
      <w:r>
        <w:t>Identifies brand-name claims filled under DAW codes (e.g., DAW 1 or DAW 2) when a generic alternative was available, verifying if the PBM charged the member the contractual cost-difference penalty. If bypassed, the member underpays and the PBM overcharges the plan sponsor.</w:t>
      </w:r>
    </w:p>
    <w:p>
      <w:pPr>
        <w:keepNext/>
        <w:spacing w:before="240" w:after="80"/>
      </w:pPr>
      <w:r>
        <w:rPr>
          <w:rFonts w:ascii="Arial" w:hAnsi="Arial"/>
          <w:b/>
          <w:color w:val="0F172A"/>
          <w:sz w:val="26"/>
        </w:rPr>
        <w:t>Test 4: Incorrect Copay</w:t>
      </w:r>
    </w:p>
    <w:p>
      <w:r>
        <w:t>Re-calculates what the member should have paid based on their tier copay schedule (Retail vs Mail Order, Generic vs Brand) and flags any under/over-payments. Identifies system coding mismatches and protects against plan sponsor cost leakage.</w:t>
      </w:r>
    </w:p>
    <w:p>
      <w:pPr>
        <w:keepNext/>
        <w:spacing w:before="240" w:after="80"/>
      </w:pPr>
      <w:r>
        <w:rPr>
          <w:rFonts w:ascii="Arial" w:hAnsi="Arial"/>
          <w:b/>
          <w:color w:val="0F172A"/>
          <w:sz w:val="26"/>
        </w:rPr>
        <w:t>Test 5: Duplicate Claims</w:t>
      </w:r>
    </w:p>
    <w:p>
      <w:r>
        <w:t>Flags identical claims dispensed to the same member, for the same drug, on the same day. These represent administrative system errors where claims are processed twice. The recovery potential is 100% of the PBM paid amount on the duplicate claim.</w:t>
      </w:r>
    </w:p>
    <w:p>
      <w:pPr>
        <w:keepNext/>
        <w:spacing w:before="240" w:after="80"/>
      </w:pPr>
      <w:r>
        <w:rPr>
          <w:rFonts w:ascii="Arial" w:hAnsi="Arial"/>
          <w:b/>
          <w:color w:val="0F172A"/>
          <w:sz w:val="26"/>
        </w:rPr>
        <w:t>Test 6: Refill-Too-Soon (RTS)</w:t>
      </w:r>
    </w:p>
    <w:p>
      <w:r>
        <w:t>Tracks fill history and flags claims filled before the utilization threshold (typically 75% or 80% of the previous days' supply) has elapsed. Prevents drug stockpiling and waste. Early refills are flagged for recovery.</w:t>
      </w:r>
    </w:p>
    <w:p>
      <w:pPr>
        <w:keepNext/>
        <w:spacing w:before="360" w:after="120"/>
      </w:pPr>
      <w:r>
        <w:rPr>
          <w:rFonts w:ascii="Arial" w:hAnsi="Arial"/>
          <w:b/>
          <w:color w:val="0284C7"/>
          <w:sz w:val="32"/>
        </w:rPr>
        <w:t>3. Technology Modernization: Spark &amp; AI Integration</w:t>
      </w:r>
    </w:p>
    <w:p>
      <w:r>
        <w:t>Traditional auditing systems often rely on sample sets because processing millions of claims is computationally expensive. The Next Generation blueprint leverages two modern technologies to scale audits:</w:t>
      </w:r>
    </w:p>
    <w:tbl>
      <w:tblPr>
        <w:tblW w:type="auto" w:w="0"/>
        <w:tblLayout w:type="fixed"/>
        <w:tblLook w:firstColumn="1" w:firstRow="1" w:lastColumn="0" w:lastRow="0" w:noHBand="0" w:noVBand="1" w:val="04A0"/>
      </w:tblPr>
      <w:tblGrid>
        <w:gridCol w:w="9360"/>
      </w:tblGrid>
      <w:tr>
        <w:tc>
          <w:tcPr>
            <w:tcW w:type="dxa" w:w="9360"/>
            <w:shd w:fill="F1F5F9"/>
            <w:tcBorders>
              <w:left w:val="single" w:sz="24" w:space="0" w:color="0284C7"/>
              <w:top w:val="none"/>
              <w:right w:val="none"/>
              <w:bottom w:val="none"/>
            </w:tcBorders>
          </w:tcPr>
          <w:p>
            <w:pPr>
              <w:spacing w:before="120" w:after="120"/>
              <w:ind w:left="216"/>
            </w:pPr>
            <w:r>
              <w:rPr>
                <w:b/>
                <w:color w:val="0284C7"/>
              </w:rPr>
              <w:t>Hybrid Engine Design Note:</w:t>
              <w:br/>
            </w:r>
            <w:r>
              <w:rPr>
                <w:sz w:val="20"/>
              </w:rPr>
              <w:t>By implementing the audit tests in PySpark, plan sponsors can process years of history (millions of claims lines) in minutes on distributed systems like Databricks. Locally, the engine automatically falls back to a pure-Pandas mode, allowing dashboard visualization and developer verification without requiring local Spark/Java setups.</w:t>
            </w:r>
          </w:p>
        </w:tc>
      </w:tr>
    </w:tbl>
    <w:p/>
    <w:p>
      <w:r>
        <w:t>In addition, PBM contracts are typically 100+ page natural language PDFs. Next Generation auditing uses structured LLMs to automatically parse the contract text and output a structured configuration JSON file. This JSON file feeds directly into the audit engine, eliminating manual benefit design configuration entry.</w:t>
      </w:r>
    </w:p>
    <w:p>
      <w:pPr>
        <w:keepNext/>
        <w:spacing w:before="360" w:after="120"/>
      </w:pPr>
      <w:r>
        <w:rPr>
          <w:rFonts w:ascii="Arial" w:hAnsi="Arial"/>
          <w:b/>
          <w:color w:val="0284C7"/>
          <w:sz w:val="32"/>
        </w:rPr>
        <w:t>4. Financial Reconciliation &amp; Rebate Guarantees</w:t>
      </w:r>
    </w:p>
    <w:p>
      <w:r>
        <w:t>PBM contracts include rebates passed back to the sponsor, structured by channel and drug type. The audit platform automatically consolidates claim counts per channel and compares expected yields against PBM rebate guarantees to ensure plan sponsors receive every dollar they are contractually owed.</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rPr>
                <w:b/>
                <w:color w:val="FFFFFF"/>
              </w:rPr>
              <w:t>Rebate Tier</w:t>
            </w:r>
          </w:p>
        </w:tc>
        <w:tc>
          <w:tcPr>
            <w:tcW w:type="dxa" w:w="1872"/>
          </w:tcPr>
          <w:p>
            <w:r>
              <w:rPr>
                <w:b/>
                <w:color w:val="FFFFFF"/>
              </w:rPr>
              <w:t>Claim Count</w:t>
            </w:r>
          </w:p>
        </w:tc>
        <w:tc>
          <w:tcPr>
            <w:tcW w:type="dxa" w:w="1872"/>
          </w:tcPr>
          <w:p>
            <w:r>
              <w:rPr>
                <w:b/>
                <w:color w:val="FFFFFF"/>
              </w:rPr>
              <w:t>Guaranteed Rate</w:t>
            </w:r>
          </w:p>
        </w:tc>
        <w:tc>
          <w:tcPr>
            <w:tcW w:type="dxa" w:w="1872"/>
          </w:tcPr>
          <w:p>
            <w:r>
              <w:rPr>
                <w:b/>
                <w:color w:val="FFFFFF"/>
              </w:rPr>
              <w:t>Expected Rebate Yield</w:t>
            </w:r>
          </w:p>
        </w:tc>
        <w:tc>
          <w:tcPr>
            <w:tcW w:type="dxa" w:w="1872"/>
          </w:tcPr>
          <w:p>
            <w:r>
              <w:rPr>
                <w:b/>
                <w:color w:val="FFFFFF"/>
              </w:rPr>
              <w:t>Total Billed AWP Spend</w:t>
            </w:r>
          </w:p>
        </w:tc>
      </w:tr>
      <w:tr>
        <w:tc>
          <w:tcPr>
            <w:tcW w:type="dxa" w:w="1872"/>
          </w:tcPr>
          <w:p>
            <w:r>
              <w:t>Specialty Brand</w:t>
            </w:r>
          </w:p>
        </w:tc>
        <w:tc>
          <w:tcPr>
            <w:tcW w:type="dxa" w:w="1872"/>
          </w:tcPr>
          <w:p>
            <w:r>
              <w:t>100</w:t>
            </w:r>
          </w:p>
        </w:tc>
        <w:tc>
          <w:tcPr>
            <w:tcW w:type="dxa" w:w="1872"/>
          </w:tcPr>
          <w:p>
            <w:r>
              <w:t>$1,500.00</w:t>
            </w:r>
          </w:p>
        </w:tc>
        <w:tc>
          <w:tcPr>
            <w:tcW w:type="dxa" w:w="1872"/>
          </w:tcPr>
          <w:p>
            <w:r>
              <w:t>$150,000.00</w:t>
            </w:r>
          </w:p>
        </w:tc>
        <w:tc>
          <w:tcPr>
            <w:tcW w:type="dxa" w:w="1872"/>
          </w:tcPr>
          <w:p>
            <w:r>
              <w:t>$210,000.00</w:t>
            </w:r>
          </w:p>
        </w:tc>
      </w:tr>
      <w:tr>
        <w:tc>
          <w:tcPr>
            <w:tcW w:type="dxa" w:w="1872"/>
          </w:tcPr>
          <w:p>
            <w:r>
              <w:t>Specialty Generic</w:t>
            </w:r>
          </w:p>
        </w:tc>
        <w:tc>
          <w:tcPr>
            <w:tcW w:type="dxa" w:w="1872"/>
          </w:tcPr>
          <w:p>
            <w:r>
              <w:t>250</w:t>
            </w:r>
          </w:p>
        </w:tc>
        <w:tc>
          <w:tcPr>
            <w:tcW w:type="dxa" w:w="1872"/>
          </w:tcPr>
          <w:p>
            <w:r>
              <w:t>$600.00</w:t>
            </w:r>
          </w:p>
        </w:tc>
        <w:tc>
          <w:tcPr>
            <w:tcW w:type="dxa" w:w="1872"/>
          </w:tcPr>
          <w:p>
            <w:r>
              <w:t>$150,000.00</w:t>
            </w:r>
          </w:p>
        </w:tc>
        <w:tc>
          <w:tcPr>
            <w:tcW w:type="dxa" w:w="1872"/>
          </w:tcPr>
          <w:p>
            <w:r>
              <w:t>$3,125.00</w:t>
            </w:r>
          </w:p>
        </w:tc>
      </w:tr>
      <w:tr>
        <w:tc>
          <w:tcPr>
            <w:tcW w:type="dxa" w:w="1872"/>
          </w:tcPr>
          <w:p>
            <w:r>
              <w:t>Retail Brand</w:t>
            </w:r>
          </w:p>
        </w:tc>
        <w:tc>
          <w:tcPr>
            <w:tcW w:type="dxa" w:w="1872"/>
          </w:tcPr>
          <w:p>
            <w:r>
              <w:t>1,200</w:t>
            </w:r>
          </w:p>
        </w:tc>
        <w:tc>
          <w:tcPr>
            <w:tcW w:type="dxa" w:w="1872"/>
          </w:tcPr>
          <w:p>
            <w:r>
              <w:t>$220.00</w:t>
            </w:r>
          </w:p>
        </w:tc>
        <w:tc>
          <w:tcPr>
            <w:tcW w:type="dxa" w:w="1872"/>
          </w:tcPr>
          <w:p>
            <w:r>
              <w:t>$264,000.00</w:t>
            </w:r>
          </w:p>
        </w:tc>
        <w:tc>
          <w:tcPr>
            <w:tcW w:type="dxa" w:w="1872"/>
          </w:tcPr>
          <w:p>
            <w:r>
              <w:t>$162,000.00</w:t>
            </w:r>
          </w:p>
        </w:tc>
      </w:tr>
      <w:tr>
        <w:tc>
          <w:tcPr>
            <w:tcW w:type="dxa" w:w="1872"/>
          </w:tcPr>
          <w:p>
            <w:r>
              <w:t>Retail Generic</w:t>
            </w:r>
          </w:p>
        </w:tc>
        <w:tc>
          <w:tcPr>
            <w:tcW w:type="dxa" w:w="1872"/>
          </w:tcPr>
          <w:p>
            <w:r>
              <w:t>8,500</w:t>
            </w:r>
          </w:p>
        </w:tc>
        <w:tc>
          <w:tcPr>
            <w:tcW w:type="dxa" w:w="1872"/>
          </w:tcPr>
          <w:p>
            <w:r>
              <w:t>$15.00</w:t>
            </w:r>
          </w:p>
        </w:tc>
        <w:tc>
          <w:tcPr>
            <w:tcW w:type="dxa" w:w="1872"/>
          </w:tcPr>
          <w:p>
            <w:r>
              <w:t>$127,500.00</w:t>
            </w:r>
          </w:p>
        </w:tc>
        <w:tc>
          <w:tcPr>
            <w:tcW w:type="dxa" w:w="1872"/>
          </w:tcPr>
          <w:p>
            <w:r>
              <w:t>$76,500.00</w:t>
            </w:r>
          </w:p>
        </w:tc>
      </w:tr>
      <w:tr>
        <w:tc>
          <w:tcPr>
            <w:tcW w:type="dxa" w:w="1872"/>
          </w:tcPr>
          <w:p>
            <w:r>
              <w:rPr>
                <w:b/>
              </w:rPr>
              <w:t>Total Yield</w:t>
            </w:r>
          </w:p>
        </w:tc>
        <w:tc>
          <w:tcPr>
            <w:tcW w:type="dxa" w:w="1872"/>
          </w:tcPr>
          <w:p>
            <w:r>
              <w:rPr>
                <w:b/>
              </w:rPr>
              <w:t>10,050</w:t>
            </w:r>
          </w:p>
        </w:tc>
        <w:tc>
          <w:tcPr>
            <w:tcW w:type="dxa" w:w="1872"/>
          </w:tcPr>
          <w:p>
            <w:r>
              <w:rPr>
                <w:b/>
              </w:rPr>
              <w:t>—</w:t>
            </w:r>
          </w:p>
        </w:tc>
        <w:tc>
          <w:tcPr>
            <w:tcW w:type="dxa" w:w="1872"/>
          </w:tcPr>
          <w:p>
            <w:r>
              <w:rPr>
                <w:b/>
              </w:rPr>
              <w:t>$691,500.00</w:t>
            </w:r>
          </w:p>
        </w:tc>
        <w:tc>
          <w:tcPr>
            <w:tcW w:type="dxa" w:w="1872"/>
          </w:tcPr>
          <w:p>
            <w:r>
              <w:rPr>
                <w:b/>
              </w:rPr>
              <w:t>$451,625.00</w:t>
            </w:r>
          </w:p>
        </w:tc>
      </w:tr>
    </w:tbl>
    <w:p/>
    <w:p>
      <w:pPr>
        <w:keepNext/>
        <w:spacing w:before="360" w:after="120"/>
      </w:pPr>
      <w:r>
        <w:rPr>
          <w:rFonts w:ascii="Arial" w:hAnsi="Arial"/>
          <w:b/>
          <w:color w:val="0284C7"/>
          <w:sz w:val="32"/>
        </w:rPr>
        <w:t>5. Conclusion: Reclaiming Fiduciary Control</w:t>
      </w:r>
    </w:p>
    <w:p>
      <w:r>
        <w:t>Pharmacy benefit claims auditing is a critical component of healthy plan administration. Transitioning to a Next Generation audit workflow—combining high-performance PySpark engines with LLM contract ingestion—guarantees that plan sponsors can enforce their contracts, reclaim overpayments, and manage their drug spend with absolute clarity.</w:t>
      </w:r>
    </w:p>
    <w:p>
      <w:r>
        <w:t>The complete, runnable implementation blueprint of this auditing platform, including Databricks notebooks, python packages, test cases, and a visual Streamlit dashboard, is available at:</w:t>
      </w:r>
    </w:p>
    <w:p>
      <w:pPr>
        <w:jc w:val="center"/>
      </w:pPr>
      <w:r>
        <w:rPr>
          <w:b/>
          <w:color w:val="0284C7"/>
          <w:u w:val="single"/>
        </w:rPr>
        <w:t>https://github.com/AshishSys/pbm-audit-databricks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hitepaperTitle">
    <w:name w:val="Whitepaper Title"/>
    <w:pPr>
      <w:spacing w:after="120" w:before="240"/>
      <w:jc w:val="center"/>
    </w:pPr>
    <w:rPr>
      <w:rFonts w:ascii="Arial" w:hAnsi="Arial"/>
      <w:b/>
      <w:color w:val="0F172A"/>
      <w:sz w:val="48"/>
    </w:rPr>
  </w:style>
  <w:style w:type="paragraph" w:customStyle="1" w:styleId="WhitepaperSubtitle">
    <w:name w:val="Whitepaper Subtitle"/>
    <w:pPr>
      <w:spacing w:after="480"/>
      <w:jc w:val="center"/>
    </w:pPr>
    <w:rPr>
      <w:rFonts w:ascii="Arial" w:hAnsi="Arial"/>
      <w:i/>
      <w:color w:val="47556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