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9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SOLAR ENERGY CORPORATION OF INDIA LTD.</w:t>
      </w:r>
    </w:p>
    <w:p>
      <w:pPr>
        <w:pStyle w:val="Normal"/>
        <w:spacing w:lineRule="auto" w:line="240" w:before="0" w:after="29"/>
        <w:jc w:val="center"/>
        <w:rPr>
          <w:sz w:val="20"/>
          <w:szCs w:val="20"/>
        </w:rPr>
      </w:pPr>
      <w:r>
        <w:rPr>
          <w:b/>
          <w:color w:val="000000"/>
          <w:sz w:val="20"/>
          <w:szCs w:val="20"/>
          <w:u w:val="single"/>
        </w:rPr>
        <w:t>NEW DELHI-17</w:t>
      </w:r>
    </w:p>
    <w:p>
      <w:pPr>
        <w:pStyle w:val="Normal"/>
        <w:spacing w:lineRule="auto" w:line="240" w:before="0" w:after="143"/>
        <w:jc w:val="right"/>
        <w:rPr>
          <w:u w:val="none"/>
        </w:rPr>
      </w:pPr>
      <w:r>
        <w:rPr>
          <w:b/>
          <w:color w:val="000000"/>
          <w:sz w:val="21"/>
          <w:szCs w:val="21"/>
          <w:u w:val="none"/>
        </w:rPr>
        <w:t xml:space="preserve"> </w:t>
      </w:r>
      <w:r>
        <w:rPr>
          <w:b w:val="false"/>
          <w:bCs w:val="false"/>
          <w:color w:val="000000"/>
          <w:sz w:val="20"/>
          <w:szCs w:val="20"/>
          <w:u w:val="none"/>
        </w:rPr>
        <w:t xml:space="preserve">Date: {genDate} </w:t>
      </w:r>
    </w:p>
    <w:p>
      <w:pPr>
        <w:pStyle w:val="Normal"/>
        <w:jc w:val="both"/>
        <w:rPr>
          <w:color w:val="000000"/>
        </w:rPr>
      </w:pPr>
      <w:r>
        <w:rPr>
          <w:color w:val="000000"/>
        </w:rPr>
        <w:t xml:space="preserve">  </w:t>
      </w:r>
      <w:r>
        <w:rPr>
          <w:rFonts w:cs="Calibri" w:cstheme="minorHAnsi"/>
          <w:b/>
          <w:color w:val="000000"/>
          <w:sz w:val="16"/>
          <w:szCs w:val="16"/>
          <w:u w:val="single"/>
        </w:rPr>
        <w:t>Subject: Payment of Transmission Charges for the month of {monthWord}’{year}</w:t>
      </w:r>
    </w:p>
    <w:p>
      <w:pPr>
        <w:pStyle w:val="Normal"/>
        <w:spacing w:before="0" w:after="0"/>
        <w:ind w:left="0" w:hanging="0"/>
        <w:jc w:val="both"/>
        <w:rPr>
          <w:color w:val="000000"/>
        </w:rPr>
      </w:pPr>
      <w:r>
        <w:rPr>
          <w:rFonts w:cs="Calibri" w:cstheme="minorHAnsi"/>
          <w:color w:val="000000"/>
          <w:sz w:val="16"/>
          <w:szCs w:val="16"/>
        </w:rPr>
        <w:t xml:space="preserve">1. </w:t>
      </w:r>
      <w:r>
        <w:rPr>
          <w:rFonts w:cs="Calibri" w:cstheme="minorHAnsi"/>
          <w:color w:val="000000"/>
          <w:sz w:val="18"/>
          <w:szCs w:val="18"/>
        </w:rPr>
        <w:t>SECI has started scheduling  under Long Term Open Access for the 20MW,  10MW,  50MW  &amp; 40  MW power from</w:t>
      </w:r>
    </w:p>
    <w:p>
      <w:pPr>
        <w:pStyle w:val="Normal"/>
        <w:spacing w:before="0" w:after="0"/>
        <w:ind w:left="0" w:hanging="0"/>
        <w:jc w:val="both"/>
        <w:rPr/>
      </w:pPr>
      <w:r>
        <w:rPr>
          <w:rFonts w:cs="Calibri" w:cstheme="minorHAnsi"/>
          <w:color w:val="000000"/>
          <w:sz w:val="18"/>
          <w:szCs w:val="18"/>
        </w:rPr>
        <w:t xml:space="preserve">    </w:t>
      </w:r>
      <w:r>
        <w:rPr>
          <w:rFonts w:cs="Calibri" w:cstheme="minorHAnsi"/>
          <w:color w:val="000000"/>
          <w:sz w:val="18"/>
          <w:szCs w:val="18"/>
        </w:rPr>
        <w:t>various Solar Power Plants on 22</w:t>
      </w:r>
      <w:r>
        <w:rPr>
          <w:rFonts w:cs="Calibri" w:cstheme="minorHAnsi"/>
          <w:color w:val="000000"/>
          <w:sz w:val="18"/>
          <w:szCs w:val="18"/>
          <w:vertAlign w:val="superscript"/>
        </w:rPr>
        <w:t>nd</w:t>
      </w:r>
      <w:r>
        <w:rPr>
          <w:rFonts w:cs="Calibri" w:cstheme="minorHAnsi"/>
          <w:color w:val="000000"/>
          <w:sz w:val="18"/>
          <w:szCs w:val="18"/>
        </w:rPr>
        <w:t xml:space="preserve"> November’2015, 22</w:t>
      </w:r>
      <w:r>
        <w:rPr>
          <w:rFonts w:cs="Calibri" w:cstheme="minorHAnsi"/>
          <w:color w:val="000000"/>
          <w:sz w:val="18"/>
          <w:szCs w:val="18"/>
          <w:vertAlign w:val="superscript"/>
        </w:rPr>
        <w:t>nd</w:t>
      </w:r>
      <w:r>
        <w:rPr>
          <w:rFonts w:cs="Calibri" w:cstheme="minorHAnsi"/>
          <w:color w:val="000000"/>
          <w:sz w:val="18"/>
          <w:szCs w:val="18"/>
        </w:rPr>
        <w:t xml:space="preserve"> November’2015, 8</w:t>
      </w:r>
      <w:r>
        <w:rPr>
          <w:rFonts w:cs="Calibri" w:cstheme="minorHAnsi"/>
          <w:color w:val="000000"/>
          <w:sz w:val="18"/>
          <w:szCs w:val="18"/>
          <w:vertAlign w:val="superscript"/>
        </w:rPr>
        <w:t>th</w:t>
      </w:r>
      <w:r>
        <w:rPr>
          <w:rFonts w:cs="Calibri" w:cstheme="minorHAnsi"/>
          <w:color w:val="000000"/>
          <w:sz w:val="18"/>
          <w:szCs w:val="18"/>
        </w:rPr>
        <w:t xml:space="preserve"> November’2015 &amp; 8</w:t>
      </w:r>
      <w:r>
        <w:rPr>
          <w:rFonts w:cs="Calibri" w:cstheme="minorHAnsi"/>
          <w:color w:val="000000"/>
          <w:sz w:val="18"/>
          <w:szCs w:val="18"/>
          <w:vertAlign w:val="superscript"/>
        </w:rPr>
        <w:t>th</w:t>
      </w:r>
      <w:r>
        <w:rPr>
          <w:rFonts w:cs="Calibri" w:cstheme="minorHAnsi"/>
          <w:color w:val="000000"/>
          <w:sz w:val="18"/>
          <w:szCs w:val="18"/>
        </w:rPr>
        <w:t xml:space="preserve"> November’2015</w:t>
      </w:r>
    </w:p>
    <w:p>
      <w:pPr>
        <w:pStyle w:val="Normal"/>
        <w:spacing w:before="0" w:after="0"/>
        <w:jc w:val="both"/>
        <w:rPr>
          <w:color w:val="000000"/>
        </w:rPr>
      </w:pPr>
      <w:r>
        <w:rPr>
          <w:color w:val="000000"/>
        </w:rPr>
        <w:t xml:space="preserve">   </w:t>
      </w:r>
      <w:r>
        <w:rPr>
          <w:color w:val="000000"/>
          <w:sz w:val="18"/>
          <w:szCs w:val="18"/>
        </w:rPr>
        <w:t>respectively.</w:t>
      </w:r>
    </w:p>
    <w:p>
      <w:pPr>
        <w:pStyle w:val="Normal"/>
        <w:spacing w:before="0" w:after="0"/>
        <w:jc w:val="both"/>
        <w:rPr>
          <w:color w:val="000000"/>
        </w:rPr>
      </w:pPr>
      <w:r>
        <w:rPr>
          <w:rFonts w:cs="Calibri" w:cstheme="minorHAnsi"/>
          <w:color w:val="000000"/>
          <w:sz w:val="16"/>
          <w:szCs w:val="16"/>
        </w:rPr>
        <w:t xml:space="preserve">2. </w:t>
      </w:r>
      <w:r>
        <w:rPr>
          <w:rFonts w:cs="Calibri" w:cstheme="minorHAnsi"/>
          <w:color w:val="000000"/>
          <w:sz w:val="18"/>
          <w:szCs w:val="18"/>
        </w:rPr>
        <w:t>SECI has received the bills raised by MPPTCL for transmission charges on {encloserDate}(Original</w:t>
      </w:r>
    </w:p>
    <w:p>
      <w:pPr>
        <w:pStyle w:val="Normal"/>
        <w:spacing w:before="0" w:after="0"/>
        <w:jc w:val="both"/>
        <w:rPr>
          <w:color w:val="000000"/>
        </w:rPr>
      </w:pPr>
      <w:r>
        <w:rPr>
          <w:rFonts w:cs="Calibri" w:cstheme="minorHAnsi"/>
          <w:color w:val="000000"/>
          <w:sz w:val="16"/>
          <w:szCs w:val="16"/>
        </w:rPr>
        <w:t xml:space="preserve">    </w:t>
      </w:r>
      <w:r>
        <w:rPr>
          <w:rFonts w:cs="Calibri" w:cstheme="minorHAnsi"/>
          <w:color w:val="000000"/>
          <w:sz w:val="18"/>
          <w:szCs w:val="18"/>
        </w:rPr>
        <w:t>enclosed), which as per the due date should be paid. Details of the bills raised with their due dates of payment are</w:t>
      </w:r>
    </w:p>
    <w:p>
      <w:pPr>
        <w:pStyle w:val="Normal"/>
        <w:spacing w:before="0" w:after="0"/>
        <w:jc w:val="both"/>
        <w:rPr>
          <w:color w:val="000000"/>
        </w:rPr>
      </w:pPr>
      <w:r>
        <w:rPr>
          <w:rFonts w:cs="Calibri" w:cstheme="minorHAnsi"/>
          <w:color w:val="000000"/>
          <w:sz w:val="16"/>
          <w:szCs w:val="16"/>
        </w:rPr>
        <w:t xml:space="preserve">    </w:t>
      </w:r>
      <w:r>
        <w:rPr>
          <w:rFonts w:cs="Calibri" w:cstheme="minorHAnsi"/>
          <w:color w:val="000000"/>
          <w:sz w:val="18"/>
          <w:szCs w:val="18"/>
        </w:rPr>
        <w:t xml:space="preserve">tabulated below  which are verified and found in order as per agreement between SECI and MPPTCL dated </w:t>
      </w:r>
    </w:p>
    <w:p>
      <w:pPr>
        <w:pStyle w:val="Normal"/>
        <w:spacing w:before="0" w:after="0"/>
        <w:jc w:val="both"/>
        <w:rPr>
          <w:color w:val="000000"/>
        </w:rPr>
      </w:pPr>
      <w:r>
        <w:rPr>
          <w:rFonts w:cs="Calibri" w:cstheme="minorHAnsi"/>
          <w:color w:val="000000"/>
          <w:sz w:val="18"/>
          <w:szCs w:val="18"/>
        </w:rPr>
        <w:t xml:space="preserve">    </w:t>
      </w:r>
      <w:r>
        <w:rPr>
          <w:rFonts w:cs="Calibri" w:cstheme="minorHAnsi"/>
          <w:color w:val="000000"/>
          <w:sz w:val="18"/>
          <w:szCs w:val="18"/>
        </w:rPr>
        <w:t>24</w:t>
      </w:r>
      <w:r>
        <w:rPr>
          <w:rFonts w:cs="Calibri" w:cstheme="minorHAnsi"/>
          <w:color w:val="000000"/>
          <w:sz w:val="18"/>
          <w:szCs w:val="18"/>
          <w:vertAlign w:val="superscript"/>
        </w:rPr>
        <w:t>th</w:t>
      </w:r>
      <w:r>
        <w:rPr>
          <w:rFonts w:cs="Calibri" w:cstheme="minorHAnsi"/>
          <w:color w:val="000000"/>
          <w:sz w:val="18"/>
          <w:szCs w:val="18"/>
        </w:rPr>
        <w:t xml:space="preserve"> September’2015.</w:t>
      </w:r>
    </w:p>
    <w:p>
      <w:pPr>
        <w:pStyle w:val="Normal"/>
        <w:spacing w:before="0" w:after="200"/>
        <w:jc w:val="both"/>
        <w:rPr>
          <w:color w:val="000000"/>
        </w:rPr>
      </w:pPr>
      <w:r>
        <w:rPr>
          <w:rFonts w:cs="Calibri" w:cstheme="minorHAnsi"/>
          <w:color w:val="000000"/>
          <w:sz w:val="16"/>
          <w:szCs w:val="16"/>
        </w:rPr>
        <w:t xml:space="preserve">3. </w:t>
      </w:r>
      <w:r>
        <w:rPr>
          <w:rFonts w:cs="Calibri" w:cstheme="minorHAnsi"/>
          <w:color w:val="000000"/>
          <w:sz w:val="18"/>
          <w:szCs w:val="18"/>
        </w:rPr>
        <w:t>It is proposed to disburse transmission charges to MPPTCL as follows:</w:t>
      </w:r>
      <w:r>
        <w:rPr>
          <w:rFonts w:cs="Calibri" w:cstheme="minorHAnsi"/>
          <w:color w:val="000000"/>
          <w:sz w:val="16"/>
          <w:szCs w:val="16"/>
        </w:rPr>
        <w:t xml:space="preserve"> </w:t>
      </w:r>
    </w:p>
    <w:tbl>
      <w:tblPr>
        <w:tblStyle w:val="TableGrid"/>
        <w:tblW w:w="11163" w:type="dxa"/>
        <w:jc w:val="left"/>
        <w:tblInd w:w="-190" w:type="dxa"/>
        <w:tblCellMar>
          <w:top w:w="0" w:type="dxa"/>
          <w:left w:w="-5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10"/>
        <w:gridCol w:w="740"/>
        <w:gridCol w:w="1450"/>
        <w:gridCol w:w="1348"/>
        <w:gridCol w:w="1176"/>
        <w:gridCol w:w="1163"/>
        <w:gridCol w:w="1087"/>
        <w:gridCol w:w="1167"/>
        <w:gridCol w:w="983"/>
        <w:gridCol w:w="1"/>
        <w:gridCol w:w="1537"/>
      </w:tblGrid>
      <w:tr>
        <w:trPr/>
        <w:tc>
          <w:tcPr>
            <w:tcW w:w="510" w:type="dxa"/>
            <w:vMerge w:val="restart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>SI.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>No.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color w:val="000000"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</w:r>
          </w:p>
        </w:tc>
        <w:tc>
          <w:tcPr>
            <w:tcW w:w="740" w:type="dxa"/>
            <w:vMerge w:val="restart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>Name of the STU</w:t>
            </w:r>
          </w:p>
        </w:tc>
        <w:tc>
          <w:tcPr>
            <w:tcW w:w="1450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 xml:space="preserve">    </w:t>
            </w: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>Bill Type</w:t>
            </w:r>
          </w:p>
        </w:tc>
        <w:tc>
          <w:tcPr>
            <w:tcW w:w="1348" w:type="dxa"/>
            <w:vMerge w:val="restart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>Bill No./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176" w:type="dxa"/>
            <w:vMerge w:val="restart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>Period</w:t>
            </w:r>
          </w:p>
        </w:tc>
        <w:tc>
          <w:tcPr>
            <w:tcW w:w="1163" w:type="dxa"/>
            <w:vMerge w:val="restart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>Sanction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 xml:space="preserve">Contracted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>Capacity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>In kW</w:t>
            </w:r>
          </w:p>
        </w:tc>
        <w:tc>
          <w:tcPr>
            <w:tcW w:w="1087" w:type="dxa"/>
            <w:vMerge w:val="restart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 xml:space="preserve">Due date </w:t>
            </w:r>
          </w:p>
        </w:tc>
        <w:tc>
          <w:tcPr>
            <w:tcW w:w="1167" w:type="dxa"/>
            <w:vMerge w:val="restart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>Total Amount (Rs)</w:t>
            </w:r>
          </w:p>
        </w:tc>
        <w:tc>
          <w:tcPr>
            <w:tcW w:w="984" w:type="dxa"/>
            <w:gridSpan w:val="2"/>
            <w:vMerge w:val="restart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>Excess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>Payment</w:t>
            </w:r>
          </w:p>
        </w:tc>
        <w:tc>
          <w:tcPr>
            <w:tcW w:w="1537" w:type="dxa"/>
            <w:vMerge w:val="restart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>Amount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b/>
                <w:b/>
                <w:sz w:val="16"/>
                <w:szCs w:val="16"/>
              </w:rPr>
            </w:pPr>
            <w:r>
              <w:rPr>
                <w:rFonts w:cs="Calibri" w:cstheme="minorHAnsi"/>
                <w:b/>
                <w:color w:val="000000"/>
                <w:sz w:val="16"/>
                <w:szCs w:val="16"/>
              </w:rPr>
              <w:t>Payable</w:t>
            </w:r>
          </w:p>
        </w:tc>
      </w:tr>
      <w:tr>
        <w:trPr>
          <w:trHeight w:val="431" w:hRule="atLeast"/>
        </w:trPr>
        <w:tc>
          <w:tcPr>
            <w:tcW w:w="510" w:type="dxa"/>
            <w:vMerge w:val="continue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000000"/>
                <w:sz w:val="16"/>
                <w:szCs w:val="16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</w:r>
          </w:p>
        </w:tc>
        <w:tc>
          <w:tcPr>
            <w:tcW w:w="740" w:type="dxa"/>
            <w:vMerge w:val="continue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000000"/>
                <w:sz w:val="16"/>
                <w:szCs w:val="16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</w:r>
          </w:p>
        </w:tc>
        <w:tc>
          <w:tcPr>
            <w:tcW w:w="1450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  <w:t>SLDC Charges/Transmission charges</w:t>
            </w:r>
          </w:p>
        </w:tc>
        <w:tc>
          <w:tcPr>
            <w:tcW w:w="1348" w:type="dxa"/>
            <w:vMerge w:val="continue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000000"/>
                <w:sz w:val="16"/>
                <w:szCs w:val="16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</w:r>
          </w:p>
        </w:tc>
        <w:tc>
          <w:tcPr>
            <w:tcW w:w="1176" w:type="dxa"/>
            <w:vMerge w:val="continue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000000"/>
                <w:sz w:val="16"/>
                <w:szCs w:val="16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</w:r>
          </w:p>
        </w:tc>
        <w:tc>
          <w:tcPr>
            <w:tcW w:w="1163" w:type="dxa"/>
            <w:vMerge w:val="continue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000000"/>
                <w:sz w:val="16"/>
                <w:szCs w:val="16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</w:r>
          </w:p>
        </w:tc>
        <w:tc>
          <w:tcPr>
            <w:tcW w:w="1087" w:type="dxa"/>
            <w:vMerge w:val="continue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000000"/>
                <w:sz w:val="16"/>
                <w:szCs w:val="16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</w:r>
          </w:p>
        </w:tc>
        <w:tc>
          <w:tcPr>
            <w:tcW w:w="1167" w:type="dxa"/>
            <w:vMerge w:val="continue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000000"/>
                <w:sz w:val="16"/>
                <w:szCs w:val="16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</w:r>
          </w:p>
        </w:tc>
        <w:tc>
          <w:tcPr>
            <w:tcW w:w="984" w:type="dxa"/>
            <w:gridSpan w:val="2"/>
            <w:vMerge w:val="continue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000000"/>
                <w:sz w:val="16"/>
                <w:szCs w:val="16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</w:r>
          </w:p>
        </w:tc>
        <w:tc>
          <w:tcPr>
            <w:tcW w:w="1537" w:type="dxa"/>
            <w:vMerge w:val="continue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cs="Calibri" w:cstheme="minorHAnsi"/>
                <w:color w:val="000000"/>
                <w:sz w:val="16"/>
                <w:szCs w:val="16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</w:r>
          </w:p>
        </w:tc>
      </w:tr>
      <w:tr>
        <w:trPr>
          <w:trHeight w:val="1311" w:hRule="atLeast"/>
        </w:trPr>
        <w:tc>
          <w:tcPr>
            <w:tcW w:w="510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-187" w:hanging="0"/>
              <w:jc w:val="center"/>
              <w:rPr>
                <w:color w:val="000000"/>
              </w:rPr>
            </w:pPr>
            <w:r>
              <w:rPr>
                <w:rFonts w:cs="Calibri"/>
                <w:color w:val="000000"/>
                <w:sz w:val="14"/>
                <w:szCs w:val="14"/>
              </w:rPr>
              <w:t>{#tableData}{key0}</w:t>
            </w:r>
          </w:p>
        </w:tc>
        <w:tc>
          <w:tcPr>
            <w:tcW w:w="740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cstheme="minorHAnsi"/>
                <w:color w:val="000000"/>
                <w:sz w:val="16"/>
                <w:szCs w:val="16"/>
              </w:rPr>
              <w:t>MPPTCL</w:t>
            </w:r>
          </w:p>
        </w:tc>
        <w:tc>
          <w:tcPr>
            <w:tcW w:w="1450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  <w:t>Transmission Charges</w:t>
            </w:r>
          </w:p>
        </w:tc>
        <w:tc>
          <w:tcPr>
            <w:tcW w:w="1348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  <w:t>{key1}</w:t>
            </w:r>
          </w:p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  <w:t>dated:</w:t>
            </w:r>
          </w:p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  <w:t>{key8}</w:t>
            </w:r>
          </w:p>
        </w:tc>
        <w:tc>
          <w:tcPr>
            <w:tcW w:w="1176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  <w:t>{key2}</w:t>
            </w:r>
          </w:p>
        </w:tc>
        <w:tc>
          <w:tcPr>
            <w:tcW w:w="1163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57" w:after="0"/>
              <w:jc w:val="center"/>
              <w:rPr>
                <w:color w:val="000000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  <w:t>{key3}</w:t>
            </w:r>
          </w:p>
        </w:tc>
        <w:tc>
          <w:tcPr>
            <w:tcW w:w="1087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  <w:t>{key4}</w:t>
            </w:r>
          </w:p>
        </w:tc>
        <w:tc>
          <w:tcPr>
            <w:tcW w:w="1167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  <w:t>{key5}</w:t>
            </w:r>
          </w:p>
        </w:tc>
        <w:tc>
          <w:tcPr>
            <w:tcW w:w="984" w:type="dxa"/>
            <w:gridSpan w:val="2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  <w:t xml:space="preserve">  </w:t>
            </w:r>
            <w:r>
              <w:rPr>
                <w:rFonts w:cs="Calibri" w:cstheme="minorHAnsi"/>
                <w:color w:val="000000"/>
                <w:sz w:val="16"/>
                <w:szCs w:val="16"/>
              </w:rPr>
              <w:t>{key6}</w:t>
            </w:r>
          </w:p>
        </w:tc>
        <w:tc>
          <w:tcPr>
            <w:tcW w:w="1537" w:type="dxa"/>
            <w:tcBorders/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cs="Calibri" w:cstheme="minorHAnsi"/>
                <w:color w:val="000000"/>
                <w:sz w:val="16"/>
                <w:szCs w:val="16"/>
              </w:rPr>
              <w:t>{key7}{/tableData}</w:t>
            </w:r>
          </w:p>
        </w:tc>
      </w:tr>
      <w:tr>
        <w:trPr>
          <w:trHeight w:val="349" w:hRule="atLeast"/>
        </w:trPr>
        <w:tc>
          <w:tcPr>
            <w:tcW w:w="9624" w:type="dxa"/>
            <w:gridSpan w:val="9"/>
            <w:tcBorders>
              <w:top w:val="nil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Total Amount (Rs):</w:t>
            </w:r>
          </w:p>
        </w:tc>
        <w:tc>
          <w:tcPr>
            <w:tcW w:w="1538" w:type="dxa"/>
            <w:gridSpan w:val="2"/>
            <w:tcBorders>
              <w:top w:val="nil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{amountNumber}</w:t>
            </w:r>
          </w:p>
        </w:tc>
      </w:tr>
      <w:tr>
        <w:trPr>
          <w:trHeight w:val="330" w:hRule="atLeast"/>
        </w:trPr>
        <w:tc>
          <w:tcPr>
            <w:tcW w:w="11162" w:type="dxa"/>
            <w:gridSpan w:val="11"/>
            <w:tcBorders>
              <w:top w:val="nil"/>
            </w:tcBorders>
            <w:shd w:fill="auto" w:val="clear"/>
            <w:tcMar>
              <w:left w:w="-5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Amount in (words) : Rupees {amountWords}</w:t>
            </w:r>
          </w:p>
        </w:tc>
      </w:tr>
    </w:tbl>
    <w:p>
      <w:pPr>
        <w:pStyle w:val="Normal"/>
        <w:jc w:val="both"/>
        <w:rPr>
          <w:rFonts w:cs="Calibri" w:cstheme="minorHAnsi"/>
          <w:color w:val="000000"/>
          <w:sz w:val="16"/>
          <w:szCs w:val="16"/>
        </w:rPr>
      </w:pPr>
      <w:r>
        <w:rPr>
          <w:rFonts w:cs="Calibri" w:cstheme="minorHAnsi"/>
          <w:color w:val="000000"/>
          <w:sz w:val="16"/>
          <w:szCs w:val="16"/>
        </w:rPr>
      </w:r>
    </w:p>
    <w:p>
      <w:pPr>
        <w:pStyle w:val="Normal"/>
        <w:spacing w:before="0" w:after="0"/>
        <w:jc w:val="both"/>
        <w:rPr>
          <w:color w:val="000000"/>
        </w:rPr>
      </w:pPr>
      <w:r>
        <w:rPr>
          <w:rFonts w:cs="Calibri" w:cstheme="minorHAnsi"/>
          <w:color w:val="000000"/>
          <w:sz w:val="16"/>
          <w:szCs w:val="16"/>
        </w:rPr>
        <w:t xml:space="preserve">4. </w:t>
      </w:r>
      <w:r>
        <w:rPr>
          <w:rFonts w:cs="Calibri" w:cstheme="minorHAnsi"/>
          <w:color w:val="000000"/>
          <w:sz w:val="18"/>
          <w:szCs w:val="18"/>
        </w:rPr>
        <w:t>Above charges as applicable to SECI have been raised to buying utilities as per terms and conditions of PSA (750</w:t>
      </w:r>
    </w:p>
    <w:p>
      <w:pPr>
        <w:pStyle w:val="Normal"/>
        <w:spacing w:before="0" w:after="0"/>
        <w:jc w:val="both"/>
        <w:rPr>
          <w:color w:val="000000"/>
        </w:rPr>
      </w:pPr>
      <w:r>
        <w:rPr>
          <w:rFonts w:cs="Calibri" w:cstheme="minorHAnsi"/>
          <w:color w:val="000000"/>
          <w:sz w:val="18"/>
          <w:szCs w:val="18"/>
        </w:rPr>
        <w:t xml:space="preserve">   </w:t>
      </w:r>
      <w:r>
        <w:rPr>
          <w:rFonts w:cs="Calibri" w:cstheme="minorHAnsi"/>
          <w:color w:val="000000"/>
          <w:sz w:val="18"/>
          <w:szCs w:val="18"/>
        </w:rPr>
        <w:t>MW JNNSM VGF SCHEME) on {invoiceRaisedDateTC}</w:t>
      </w:r>
      <w:r>
        <w:rPr>
          <w:rFonts w:cs="Calibri" w:cstheme="minorHAnsi"/>
          <w:color w:val="000000"/>
          <w:sz w:val="16"/>
          <w:szCs w:val="16"/>
        </w:rPr>
        <w:t xml:space="preserve"> </w:t>
      </w:r>
    </w:p>
    <w:p>
      <w:pPr>
        <w:pStyle w:val="Normal"/>
        <w:spacing w:before="0" w:after="143"/>
        <w:jc w:val="both"/>
        <w:rPr>
          <w:color w:val="000000"/>
        </w:rPr>
      </w:pPr>
      <w:r>
        <w:rPr>
          <w:rFonts w:cs="Calibri" w:cstheme="minorHAnsi"/>
          <w:color w:val="000000"/>
          <w:sz w:val="16"/>
          <w:szCs w:val="16"/>
        </w:rPr>
        <w:t xml:space="preserve">5. </w:t>
      </w:r>
      <w:r>
        <w:rPr>
          <w:rFonts w:cs="Calibri" w:cstheme="minorHAnsi"/>
          <w:color w:val="000000"/>
          <w:sz w:val="18"/>
          <w:szCs w:val="18"/>
        </w:rPr>
        <w:t>Finance may arrange to release this payment to  MPPTCL through RTGS as per the details enclosed in the file.</w:t>
      </w:r>
    </w:p>
    <w:p>
      <w:pPr>
        <w:pStyle w:val="ListParagraph"/>
        <w:numPr>
          <w:ilvl w:val="0"/>
          <w:numId w:val="0"/>
        </w:numPr>
        <w:spacing w:before="0" w:after="143"/>
        <w:ind w:left="-90" w:hanging="0"/>
        <w:contextualSpacing/>
        <w:jc w:val="both"/>
        <w:outlineLvl w:val="0"/>
        <w:rPr/>
      </w:pPr>
      <w:r>
        <w:rPr>
          <w:rFonts w:cs="Calibri" w:cstheme="minorHAnsi"/>
          <w:color w:val="000000"/>
          <w:sz w:val="18"/>
          <w:szCs w:val="18"/>
        </w:rPr>
        <w:t xml:space="preserve">     </w:t>
      </w:r>
      <w:r>
        <w:rPr>
          <w:rFonts w:cs="Calibri" w:cstheme="minorHAnsi"/>
          <w:color w:val="000000"/>
          <w:sz w:val="18"/>
          <w:szCs w:val="18"/>
        </w:rPr>
        <w:t>Submitted for approval of payment , please</w:t>
      </w:r>
    </w:p>
    <w:p>
      <w:pPr>
        <w:pStyle w:val="Normal"/>
        <w:spacing w:before="0" w:after="0"/>
        <w:jc w:val="both"/>
        <w:rPr>
          <w:rFonts w:cs="Calibri" w:cstheme="minorHAnsi"/>
          <w:color w:val="000000"/>
          <w:sz w:val="16"/>
          <w:szCs w:val="16"/>
        </w:rPr>
      </w:pPr>
      <w:r>
        <w:rPr>
          <w:rFonts w:cs="Calibri" w:cstheme="minorHAnsi"/>
          <w:color w:val="000000"/>
          <w:sz w:val="16"/>
          <w:szCs w:val="16"/>
        </w:rPr>
      </w:r>
    </w:p>
    <w:p>
      <w:pPr>
        <w:pStyle w:val="Normal"/>
        <w:jc w:val="right"/>
        <w:rPr>
          <w:color w:val="000000"/>
        </w:rPr>
      </w:pPr>
      <w:r>
        <w:rPr>
          <w:rFonts w:cs="Calibri" w:cstheme="minorHAnsi"/>
          <w:b/>
          <w:color w:val="000000"/>
          <w:sz w:val="16"/>
          <w:szCs w:val="16"/>
        </w:rPr>
        <w:t xml:space="preserve">Senior  Engineer </w:t>
      </w:r>
    </w:p>
    <w:p>
      <w:pPr>
        <w:pStyle w:val="Normal"/>
        <w:jc w:val="both"/>
        <w:rPr>
          <w:rFonts w:cs="Calibri" w:cstheme="minorHAnsi"/>
          <w:b/>
          <w:b/>
          <w:color w:val="000000"/>
          <w:sz w:val="16"/>
          <w:szCs w:val="16"/>
        </w:rPr>
      </w:pPr>
      <w:r>
        <w:rPr>
          <w:rFonts w:cs="Calibri" w:cstheme="minorHAnsi"/>
          <w:b/>
          <w:color w:val="000000"/>
          <w:sz w:val="16"/>
          <w:szCs w:val="16"/>
        </w:rPr>
      </w:r>
    </w:p>
    <w:p>
      <w:pPr>
        <w:pStyle w:val="Normal"/>
        <w:jc w:val="both"/>
        <w:rPr>
          <w:color w:val="000000"/>
        </w:rPr>
      </w:pPr>
      <w:r>
        <w:rPr>
          <w:rFonts w:cs="Calibri" w:cstheme="minorHAnsi"/>
          <w:b/>
          <w:color w:val="000000"/>
          <w:sz w:val="16"/>
          <w:szCs w:val="16"/>
        </w:rPr>
        <w:t xml:space="preserve">Manager (PS)   </w:t>
      </w:r>
      <w:r>
        <w:rPr>
          <w:rFonts w:cs="Calibri" w:cstheme="minorHAnsi"/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</w:t>
      </w:r>
    </w:p>
    <w:p>
      <w:pPr>
        <w:pStyle w:val="Normal"/>
        <w:jc w:val="both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  <w:sz w:val="16"/>
          <w:szCs w:val="16"/>
        </w:rPr>
        <w:t>AGM(PS)</w:t>
      </w:r>
    </w:p>
    <w:p>
      <w:pPr>
        <w:pStyle w:val="Normal"/>
        <w:jc w:val="both"/>
        <w:rPr>
          <w:b/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</w:r>
    </w:p>
    <w:p>
      <w:pPr>
        <w:pStyle w:val="Normal"/>
        <w:jc w:val="both"/>
        <w:rPr>
          <w:color w:val="000000"/>
        </w:rPr>
      </w:pPr>
      <w:r>
        <w:rPr>
          <w:b/>
          <w:color w:val="000000"/>
          <w:sz w:val="16"/>
          <w:szCs w:val="16"/>
        </w:rPr>
        <w:t>Dir(Fin/Comm-Trading)</w:t>
      </w:r>
    </w:p>
    <w:p>
      <w:pPr>
        <w:pStyle w:val="Normal"/>
        <w:jc w:val="both"/>
        <w:rPr>
          <w:b/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</w:r>
    </w:p>
    <w:p>
      <w:pPr>
        <w:pStyle w:val="Normal"/>
        <w:spacing w:before="0" w:after="200"/>
        <w:jc w:val="both"/>
        <w:rPr/>
      </w:pPr>
      <w:r>
        <w:rPr>
          <w:b/>
          <w:color w:val="000000"/>
          <w:sz w:val="16"/>
          <w:szCs w:val="16"/>
        </w:rPr>
        <w:t>AGM(F)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71de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93107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93107"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60a90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69310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9310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37604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LibreOffice/5.1.4.2$Linux_X86_64 LibreOffice_project/10m0$Build-2</Application>
  <Pages>1</Pages>
  <Words>235</Words>
  <Characters>1308</Characters>
  <CharactersWithSpaces>1674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2016-11-15T07:13:00Z</dcterms:created>
  <dc:creator>india</dc:creator>
  <dc:description/>
  <dc:language>en-US</dc:language>
  <cp:lastModifiedBy/>
  <dcterms:modified xsi:type="dcterms:W3CDTF">2018-01-23T11:50:33Z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