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9"/>
        <w:jc w:val="center"/>
        <w:rPr>
          <w:sz w:val="20"/>
          <w:szCs w:val="20"/>
        </w:rPr>
      </w:pPr>
      <w:r>
        <w:rPr>
          <w:b/>
          <w:color w:val="000000"/>
          <w:sz w:val="20"/>
          <w:szCs w:val="20"/>
          <w:u w:val="single"/>
        </w:rPr>
        <w:t>SOLAR  ENERGY CORPORATION OF INDIA LTD.</w:t>
      </w:r>
    </w:p>
    <w:p>
      <w:pPr>
        <w:pStyle w:val="Normal"/>
        <w:spacing w:lineRule="auto" w:line="240" w:before="0" w:after="29"/>
        <w:jc w:val="center"/>
        <w:rPr/>
      </w:pPr>
      <w:r>
        <w:rPr>
          <w:b/>
          <w:color w:val="000000"/>
          <w:sz w:val="20"/>
          <w:szCs w:val="20"/>
          <w:u w:val="single"/>
        </w:rPr>
        <w:t>NEW DELHI-110017</w:t>
      </w:r>
    </w:p>
    <w:p>
      <w:pPr>
        <w:pStyle w:val="Normal"/>
        <w:spacing w:lineRule="auto" w:line="240"/>
        <w:jc w:val="right"/>
        <w:rPr/>
      </w:pPr>
      <w:r>
        <w:rPr>
          <w:b w:val="false"/>
          <w:bCs w:val="false"/>
          <w:color w:val="000000"/>
          <w:sz w:val="20"/>
          <w:szCs w:val="20"/>
          <w:u w:val="none"/>
        </w:rPr>
        <w:t>Date: {genDate}</w:t>
      </w:r>
    </w:p>
    <w:p>
      <w:pPr>
        <w:pStyle w:val="Normal"/>
        <w:spacing w:before="0" w:after="143"/>
        <w:jc w:val="both"/>
        <w:rPr>
          <w:color w:val="000000"/>
        </w:rPr>
      </w:pPr>
      <w:r>
        <w:rPr>
          <w:color w:val="000000"/>
        </w:rPr>
        <w:t xml:space="preserve">  </w:t>
      </w:r>
      <w:r>
        <w:rPr>
          <w:rFonts w:cs="Calibri" w:cstheme="minorHAnsi"/>
          <w:b/>
          <w:color w:val="000000"/>
          <w:sz w:val="16"/>
          <w:szCs w:val="16"/>
          <w:u w:val="single"/>
        </w:rPr>
        <w:t>Subject: Payment of Transmission Charges for the month of {monthInWord}’{year}</w:t>
      </w:r>
    </w:p>
    <w:p>
      <w:pPr>
        <w:pStyle w:val="Normal"/>
        <w:spacing w:before="0" w:after="86"/>
        <w:jc w:val="both"/>
        <w:rPr/>
      </w:pPr>
      <w:r>
        <w:rPr>
          <w:rFonts w:cs="Calibri" w:cstheme="minorHAnsi"/>
          <w:color w:val="000000"/>
          <w:sz w:val="16"/>
          <w:szCs w:val="16"/>
        </w:rPr>
        <w:t>1. SECI has started scheduling under Long Term Open Access for the 140MW, 60MW, 10MW, 20MW &amp; 10MW power from various Solar Power Plants on 1</w:t>
      </w:r>
      <w:r>
        <w:rPr>
          <w:rFonts w:cs="Calibri" w:cstheme="minorHAnsi"/>
          <w:color w:val="000000"/>
          <w:sz w:val="16"/>
          <w:szCs w:val="16"/>
          <w:vertAlign w:val="superscript"/>
        </w:rPr>
        <w:t>st</w:t>
      </w:r>
      <w:r>
        <w:rPr>
          <w:rFonts w:cs="Calibri" w:cstheme="minorHAnsi"/>
          <w:color w:val="000000"/>
          <w:sz w:val="16"/>
          <w:szCs w:val="16"/>
        </w:rPr>
        <w:t xml:space="preserve"> June’ 2015, 5</w:t>
      </w:r>
      <w:r>
        <w:rPr>
          <w:rFonts w:cs="Calibri" w:cstheme="minorHAnsi"/>
          <w:color w:val="000000"/>
          <w:sz w:val="16"/>
          <w:szCs w:val="16"/>
          <w:vertAlign w:val="superscript"/>
        </w:rPr>
        <w:t>th</w:t>
      </w:r>
      <w:r>
        <w:rPr>
          <w:rFonts w:cs="Calibri" w:cstheme="minorHAnsi"/>
          <w:color w:val="000000"/>
          <w:sz w:val="16"/>
          <w:szCs w:val="16"/>
        </w:rPr>
        <w:t xml:space="preserve"> June’ 2015, 8</w:t>
      </w:r>
      <w:r>
        <w:rPr>
          <w:rFonts w:cs="Calibri" w:cstheme="minorHAnsi"/>
          <w:color w:val="000000"/>
          <w:sz w:val="16"/>
          <w:szCs w:val="16"/>
          <w:vertAlign w:val="superscript"/>
        </w:rPr>
        <w:t>th</w:t>
      </w:r>
      <w:r>
        <w:rPr>
          <w:rFonts w:cs="Calibri" w:cstheme="minorHAnsi"/>
          <w:color w:val="000000"/>
          <w:sz w:val="16"/>
          <w:szCs w:val="16"/>
        </w:rPr>
        <w:t xml:space="preserve"> October’ 2015, 15</w:t>
      </w:r>
      <w:r>
        <w:rPr>
          <w:rFonts w:cs="Calibri" w:cstheme="minorHAnsi"/>
          <w:color w:val="000000"/>
          <w:sz w:val="16"/>
          <w:szCs w:val="16"/>
          <w:vertAlign w:val="superscript"/>
        </w:rPr>
        <w:t>th</w:t>
      </w:r>
      <w:r>
        <w:rPr>
          <w:rFonts w:cs="Calibri" w:cstheme="minorHAnsi"/>
          <w:color w:val="000000"/>
          <w:sz w:val="16"/>
          <w:szCs w:val="16"/>
        </w:rPr>
        <w:t xml:space="preserve"> January’ 2016 &amp; 12</w:t>
      </w:r>
      <w:r>
        <w:rPr>
          <w:rFonts w:cs="Calibri" w:cstheme="minorHAnsi"/>
          <w:color w:val="000000"/>
          <w:sz w:val="16"/>
          <w:szCs w:val="16"/>
          <w:vertAlign w:val="superscript"/>
        </w:rPr>
        <w:t>th</w:t>
      </w:r>
      <w:r>
        <w:rPr>
          <w:rFonts w:cs="Calibri" w:cstheme="minorHAnsi"/>
          <w:color w:val="000000"/>
          <w:sz w:val="16"/>
          <w:szCs w:val="16"/>
        </w:rPr>
        <w:t xml:space="preserve"> May’ 2016 respectively.</w:t>
      </w:r>
    </w:p>
    <w:p>
      <w:pPr>
        <w:pStyle w:val="Normal"/>
        <w:spacing w:before="0" w:after="86"/>
        <w:jc w:val="both"/>
        <w:rPr/>
      </w:pPr>
      <w:r>
        <w:rPr>
          <w:rFonts w:cs="Calibri" w:cstheme="minorHAnsi"/>
          <w:color w:val="000000"/>
          <w:sz w:val="16"/>
          <w:szCs w:val="16"/>
        </w:rPr>
        <w:t>2. SECI has received the bills in original raised by RVPN for transmission charges on {invoiceReceivedDate} (Original enclosed), which as per the due date should be paid. Details of the bills raised with their due dates of payment are tabulated below which are verified and found in order as per RERC interim order dated 26</w:t>
      </w:r>
      <w:r>
        <w:rPr>
          <w:rFonts w:cs="Calibri" w:cstheme="minorHAnsi"/>
          <w:color w:val="000000"/>
          <w:sz w:val="16"/>
          <w:szCs w:val="16"/>
          <w:vertAlign w:val="superscript"/>
        </w:rPr>
        <w:t>th</w:t>
      </w:r>
      <w:r>
        <w:rPr>
          <w:rFonts w:cs="Calibri" w:cstheme="minorHAnsi"/>
          <w:color w:val="000000"/>
          <w:sz w:val="16"/>
          <w:szCs w:val="16"/>
        </w:rPr>
        <w:t xml:space="preserve"> May’ 2017</w:t>
      </w:r>
      <w:r>
        <w:rPr>
          <w:rFonts w:cs="Calibri"/>
          <w:color w:val="000000"/>
          <w:sz w:val="16"/>
          <w:szCs w:val="16"/>
        </w:rPr>
        <w:t>.</w:t>
      </w:r>
    </w:p>
    <w:p>
      <w:pPr>
        <w:pStyle w:val="Normal"/>
        <w:spacing w:before="0" w:after="86"/>
        <w:jc w:val="both"/>
        <w:rPr/>
      </w:pPr>
      <w:r>
        <w:rPr>
          <w:rFonts w:cs="Calibri" w:cstheme="minorHAnsi"/>
          <w:color w:val="000000"/>
          <w:sz w:val="16"/>
          <w:szCs w:val="16"/>
        </w:rPr>
        <w:t>3. SECI has received the approval from RVPN of reduction of Transmission Charges from 138.10/kW/month to Rs. 69.05/kW/month on 14</w:t>
      </w:r>
      <w:r>
        <w:rPr>
          <w:rFonts w:cs="Calibri" w:cstheme="minorHAnsi"/>
          <w:color w:val="000000"/>
          <w:sz w:val="16"/>
          <w:szCs w:val="16"/>
          <w:vertAlign w:val="superscript"/>
        </w:rPr>
        <w:t>th</w:t>
      </w:r>
      <w:r>
        <w:rPr>
          <w:rFonts w:cs="Calibri" w:cstheme="minorHAnsi"/>
          <w:color w:val="000000"/>
          <w:sz w:val="16"/>
          <w:szCs w:val="16"/>
        </w:rPr>
        <w:t xml:space="preserve"> December 2015. Further Transmission Charges have been revised to Rs. 157.21/kW/month as per order issued by RERC dt. 26.05.2017, as per approval new Transmission Charges will be Rs. {rate}/kW/month.</w:t>
      </w:r>
    </w:p>
    <w:p>
      <w:pPr>
        <w:pStyle w:val="Normal"/>
        <w:spacing w:before="0" w:after="143"/>
        <w:jc w:val="both"/>
        <w:rPr/>
      </w:pPr>
      <w:r>
        <w:rPr>
          <w:rFonts w:cs="Calibri" w:cstheme="minorHAnsi"/>
          <w:color w:val="000000"/>
          <w:sz w:val="16"/>
          <w:szCs w:val="16"/>
        </w:rPr>
        <w:t>4. It is proposed to disburse transmission  charges to RVPN as follows:</w:t>
      </w:r>
    </w:p>
    <w:tbl>
      <w:tblPr>
        <w:tblStyle w:val="TableGrid"/>
        <w:tblW w:w="11075" w:type="dxa"/>
        <w:jc w:val="left"/>
        <w:tblInd w:w="-200" w:type="dxa"/>
        <w:tblCellMar>
          <w:top w:w="0" w:type="dxa"/>
          <w:left w:w="-5" w:type="dxa"/>
          <w:bottom w:w="0" w:type="dxa"/>
          <w:right w:w="108" w:type="dxa"/>
        </w:tblCellMar>
        <w:tblLook w:val="04a0" w:noVBand="1" w:noHBand="0" w:lastColumn="0" w:firstColumn="1" w:lastRow="0" w:firstRow="1"/>
      </w:tblPr>
      <w:tblGrid>
        <w:gridCol w:w="510"/>
        <w:gridCol w:w="740"/>
        <w:gridCol w:w="1451"/>
        <w:gridCol w:w="1076"/>
        <w:gridCol w:w="1174"/>
        <w:gridCol w:w="1175"/>
        <w:gridCol w:w="1163"/>
        <w:gridCol w:w="1265"/>
        <w:gridCol w:w="984"/>
        <w:gridCol w:w="1536"/>
      </w:tblGrid>
      <w:tr>
        <w:trPr/>
        <w:tc>
          <w:tcPr>
            <w:tcW w:w="510" w:type="dxa"/>
            <w:vMerge w:val="restart"/>
            <w:tcBorders/>
            <w:shd w:fill="auto" w:val="clear"/>
            <w:tcMar>
              <w:left w:w="-5" w:type="dxa"/>
            </w:tcMar>
            <w:vAlign w:val="center"/>
          </w:tcPr>
          <w:p>
            <w:pPr>
              <w:pStyle w:val="Normal"/>
              <w:spacing w:lineRule="auto" w:line="240" w:before="0" w:after="0"/>
              <w:jc w:val="center"/>
              <w:rPr>
                <w:color w:val="000000"/>
              </w:rPr>
            </w:pPr>
            <w:r>
              <w:rPr>
                <w:rFonts w:cs="Calibri" w:cstheme="minorHAnsi"/>
                <w:b/>
                <w:color w:val="000000"/>
                <w:sz w:val="16"/>
                <w:szCs w:val="16"/>
              </w:rPr>
              <w:t>SI.</w:t>
            </w:r>
          </w:p>
          <w:p>
            <w:pPr>
              <w:pStyle w:val="Normal"/>
              <w:spacing w:lineRule="auto" w:line="240" w:before="0" w:after="0"/>
              <w:jc w:val="center"/>
              <w:rPr>
                <w:color w:val="000000"/>
              </w:rPr>
            </w:pPr>
            <w:r>
              <w:rPr>
                <w:rFonts w:cs="Calibri" w:cstheme="minorHAnsi"/>
                <w:b/>
                <w:color w:val="000000"/>
                <w:sz w:val="16"/>
                <w:szCs w:val="16"/>
              </w:rPr>
              <w:t>No.</w:t>
            </w:r>
          </w:p>
          <w:p>
            <w:pPr>
              <w:pStyle w:val="Normal"/>
              <w:spacing w:lineRule="auto" w:line="240" w:before="0" w:after="0"/>
              <w:jc w:val="center"/>
              <w:rPr>
                <w:rFonts w:cs="Calibri" w:cstheme="minorHAnsi"/>
                <w:b/>
                <w:b/>
                <w:color w:val="000000"/>
                <w:sz w:val="16"/>
                <w:szCs w:val="16"/>
              </w:rPr>
            </w:pPr>
            <w:r>
              <w:rPr>
                <w:rFonts w:cs="Calibri" w:cstheme="minorHAnsi"/>
                <w:b/>
                <w:color w:val="000000"/>
                <w:sz w:val="16"/>
                <w:szCs w:val="16"/>
              </w:rPr>
            </w:r>
          </w:p>
        </w:tc>
        <w:tc>
          <w:tcPr>
            <w:tcW w:w="740" w:type="dxa"/>
            <w:vMerge w:val="restart"/>
            <w:tcBorders/>
            <w:shd w:fill="auto" w:val="clear"/>
            <w:tcMar>
              <w:left w:w="-5" w:type="dxa"/>
            </w:tcMar>
            <w:vAlign w:val="center"/>
          </w:tcPr>
          <w:p>
            <w:pPr>
              <w:pStyle w:val="Normal"/>
              <w:spacing w:lineRule="auto" w:line="240" w:before="0" w:after="0"/>
              <w:jc w:val="center"/>
              <w:rPr>
                <w:color w:val="000000"/>
              </w:rPr>
            </w:pPr>
            <w:r>
              <w:rPr>
                <w:rFonts w:cs="Calibri" w:cstheme="minorHAnsi"/>
                <w:b/>
                <w:color w:val="000000"/>
                <w:sz w:val="16"/>
                <w:szCs w:val="16"/>
              </w:rPr>
              <w:t>Name of the STU</w:t>
            </w:r>
          </w:p>
        </w:tc>
        <w:tc>
          <w:tcPr>
            <w:tcW w:w="1451" w:type="dxa"/>
            <w:tcBorders/>
            <w:shd w:fill="auto" w:val="clear"/>
            <w:tcMar>
              <w:left w:w="-5" w:type="dxa"/>
            </w:tcMar>
            <w:vAlign w:val="center"/>
          </w:tcPr>
          <w:p>
            <w:pPr>
              <w:pStyle w:val="Normal"/>
              <w:spacing w:lineRule="auto" w:line="240" w:before="0" w:after="0"/>
              <w:jc w:val="center"/>
              <w:rPr>
                <w:color w:val="000000"/>
              </w:rPr>
            </w:pPr>
            <w:r>
              <w:rPr>
                <w:rFonts w:cs="Calibri" w:cstheme="minorHAnsi"/>
                <w:b/>
                <w:color w:val="000000"/>
                <w:sz w:val="16"/>
                <w:szCs w:val="16"/>
              </w:rPr>
              <w:t xml:space="preserve">    </w:t>
            </w:r>
            <w:r>
              <w:rPr>
                <w:rFonts w:cs="Calibri" w:cstheme="minorHAnsi"/>
                <w:b/>
                <w:color w:val="000000"/>
                <w:sz w:val="16"/>
                <w:szCs w:val="16"/>
              </w:rPr>
              <w:t>Bill Type</w:t>
            </w:r>
          </w:p>
        </w:tc>
        <w:tc>
          <w:tcPr>
            <w:tcW w:w="1076" w:type="dxa"/>
            <w:vMerge w:val="restart"/>
            <w:tcBorders/>
            <w:shd w:fill="auto" w:val="clear"/>
            <w:tcMar>
              <w:left w:w="-5" w:type="dxa"/>
            </w:tcMar>
            <w:vAlign w:val="center"/>
          </w:tcPr>
          <w:p>
            <w:pPr>
              <w:pStyle w:val="Normal"/>
              <w:spacing w:lineRule="auto" w:line="240" w:before="0" w:after="0"/>
              <w:jc w:val="center"/>
              <w:rPr>
                <w:rFonts w:cs="Calibri" w:cstheme="minorHAnsi"/>
                <w:b/>
                <w:b/>
                <w:sz w:val="16"/>
                <w:szCs w:val="16"/>
              </w:rPr>
            </w:pPr>
            <w:r>
              <w:rPr>
                <w:rFonts w:cs="Calibri" w:cstheme="minorHAnsi"/>
                <w:b/>
                <w:color w:val="000000"/>
                <w:sz w:val="16"/>
                <w:szCs w:val="16"/>
              </w:rPr>
              <w:t>Bill No./</w:t>
            </w:r>
          </w:p>
          <w:p>
            <w:pPr>
              <w:pStyle w:val="Normal"/>
              <w:spacing w:lineRule="auto" w:line="240" w:before="0" w:after="0"/>
              <w:jc w:val="center"/>
              <w:rPr>
                <w:rFonts w:cs="Calibri" w:cstheme="minorHAnsi"/>
                <w:b/>
                <w:b/>
                <w:sz w:val="16"/>
                <w:szCs w:val="16"/>
              </w:rPr>
            </w:pPr>
            <w:r>
              <w:rPr>
                <w:rFonts w:cs="Calibri" w:cstheme="minorHAnsi"/>
                <w:b/>
                <w:color w:val="000000"/>
                <w:sz w:val="16"/>
                <w:szCs w:val="16"/>
              </w:rPr>
              <w:t>Date</w:t>
            </w:r>
          </w:p>
        </w:tc>
        <w:tc>
          <w:tcPr>
            <w:tcW w:w="1174" w:type="dxa"/>
            <w:vMerge w:val="restart"/>
            <w:tcBorders/>
            <w:shd w:fill="auto" w:val="clear"/>
            <w:tcMar>
              <w:left w:w="-5" w:type="dxa"/>
            </w:tcMar>
            <w:vAlign w:val="center"/>
          </w:tcPr>
          <w:p>
            <w:pPr>
              <w:pStyle w:val="Normal"/>
              <w:spacing w:lineRule="auto" w:line="240" w:before="0" w:after="0"/>
              <w:jc w:val="center"/>
              <w:rPr>
                <w:rFonts w:cs="Calibri" w:cstheme="minorHAnsi"/>
                <w:b/>
                <w:b/>
                <w:sz w:val="16"/>
                <w:szCs w:val="16"/>
              </w:rPr>
            </w:pPr>
            <w:r>
              <w:rPr>
                <w:rFonts w:cs="Calibri" w:cstheme="minorHAnsi"/>
                <w:b/>
                <w:color w:val="000000"/>
                <w:sz w:val="16"/>
                <w:szCs w:val="16"/>
              </w:rPr>
              <w:t>Period</w:t>
            </w:r>
          </w:p>
        </w:tc>
        <w:tc>
          <w:tcPr>
            <w:tcW w:w="1175" w:type="dxa"/>
            <w:vMerge w:val="restart"/>
            <w:tcBorders/>
            <w:shd w:fill="auto" w:val="clear"/>
            <w:tcMar>
              <w:left w:w="-5" w:type="dxa"/>
            </w:tcMar>
            <w:vAlign w:val="center"/>
          </w:tcPr>
          <w:p>
            <w:pPr>
              <w:pStyle w:val="Normal"/>
              <w:spacing w:lineRule="auto" w:line="240" w:before="0" w:after="0"/>
              <w:jc w:val="center"/>
              <w:rPr>
                <w:rFonts w:cs="Calibri" w:cstheme="minorHAnsi"/>
                <w:b/>
                <w:b/>
                <w:sz w:val="16"/>
                <w:szCs w:val="16"/>
              </w:rPr>
            </w:pPr>
            <w:r>
              <w:rPr>
                <w:rFonts w:cs="Calibri" w:cstheme="minorHAnsi"/>
                <w:b/>
                <w:color w:val="000000"/>
                <w:sz w:val="16"/>
                <w:szCs w:val="16"/>
              </w:rPr>
              <w:t>Sanction</w:t>
            </w:r>
          </w:p>
          <w:p>
            <w:pPr>
              <w:pStyle w:val="Normal"/>
              <w:spacing w:lineRule="auto" w:line="240" w:before="0" w:after="0"/>
              <w:jc w:val="center"/>
              <w:rPr>
                <w:rFonts w:cs="Calibri" w:cstheme="minorHAnsi"/>
                <w:b/>
                <w:b/>
                <w:sz w:val="16"/>
                <w:szCs w:val="16"/>
              </w:rPr>
            </w:pPr>
            <w:r>
              <w:rPr>
                <w:rFonts w:cs="Calibri" w:cstheme="minorHAnsi"/>
                <w:b/>
                <w:color w:val="000000"/>
                <w:sz w:val="16"/>
                <w:szCs w:val="16"/>
              </w:rPr>
              <w:t xml:space="preserve">Contracted </w:t>
            </w:r>
          </w:p>
          <w:p>
            <w:pPr>
              <w:pStyle w:val="Normal"/>
              <w:spacing w:lineRule="auto" w:line="240" w:before="0" w:after="0"/>
              <w:jc w:val="center"/>
              <w:rPr>
                <w:rFonts w:cs="Calibri" w:cstheme="minorHAnsi"/>
                <w:b/>
                <w:b/>
                <w:sz w:val="16"/>
                <w:szCs w:val="16"/>
              </w:rPr>
            </w:pPr>
            <w:r>
              <w:rPr>
                <w:rFonts w:cs="Calibri" w:cstheme="minorHAnsi"/>
                <w:b/>
                <w:color w:val="000000"/>
                <w:sz w:val="16"/>
                <w:szCs w:val="16"/>
              </w:rPr>
              <w:t>Capacity</w:t>
            </w:r>
          </w:p>
          <w:p>
            <w:pPr>
              <w:pStyle w:val="Normal"/>
              <w:spacing w:lineRule="auto" w:line="240" w:before="0" w:after="0"/>
              <w:jc w:val="center"/>
              <w:rPr>
                <w:rFonts w:cs="Calibri" w:cstheme="minorHAnsi"/>
                <w:b/>
                <w:b/>
                <w:sz w:val="16"/>
                <w:szCs w:val="16"/>
              </w:rPr>
            </w:pPr>
            <w:r>
              <w:rPr>
                <w:rFonts w:cs="Calibri" w:cstheme="minorHAnsi"/>
                <w:b/>
                <w:color w:val="000000"/>
                <w:sz w:val="16"/>
                <w:szCs w:val="16"/>
              </w:rPr>
              <w:t>In kW</w:t>
            </w:r>
          </w:p>
        </w:tc>
        <w:tc>
          <w:tcPr>
            <w:tcW w:w="1163" w:type="dxa"/>
            <w:vMerge w:val="restart"/>
            <w:tcBorders/>
            <w:shd w:fill="auto" w:val="clear"/>
            <w:tcMar>
              <w:left w:w="-5" w:type="dxa"/>
            </w:tcMar>
            <w:vAlign w:val="center"/>
          </w:tcPr>
          <w:p>
            <w:pPr>
              <w:pStyle w:val="Normal"/>
              <w:spacing w:lineRule="auto" w:line="240" w:before="0" w:after="0"/>
              <w:jc w:val="center"/>
              <w:rPr>
                <w:rFonts w:cs="Calibri" w:cstheme="minorHAnsi"/>
                <w:b/>
                <w:b/>
                <w:sz w:val="16"/>
                <w:szCs w:val="16"/>
              </w:rPr>
            </w:pPr>
            <w:r>
              <w:rPr>
                <w:rFonts w:cs="Calibri" w:cstheme="minorHAnsi"/>
                <w:b/>
                <w:color w:val="000000"/>
                <w:sz w:val="16"/>
                <w:szCs w:val="16"/>
              </w:rPr>
              <w:t xml:space="preserve">Due date </w:t>
            </w:r>
          </w:p>
        </w:tc>
        <w:tc>
          <w:tcPr>
            <w:tcW w:w="1265" w:type="dxa"/>
            <w:vMerge w:val="restart"/>
            <w:tcBorders/>
            <w:shd w:fill="auto" w:val="clear"/>
            <w:tcMar>
              <w:left w:w="-5" w:type="dxa"/>
            </w:tcMar>
            <w:vAlign w:val="center"/>
          </w:tcPr>
          <w:p>
            <w:pPr>
              <w:pStyle w:val="Normal"/>
              <w:spacing w:lineRule="auto" w:line="240" w:before="0" w:after="0"/>
              <w:jc w:val="center"/>
              <w:rPr>
                <w:rFonts w:cs="Calibri" w:cstheme="minorHAnsi"/>
                <w:b/>
                <w:b/>
                <w:sz w:val="16"/>
                <w:szCs w:val="16"/>
              </w:rPr>
            </w:pPr>
            <w:r>
              <w:rPr>
                <w:rFonts w:cs="Calibri" w:cstheme="minorHAnsi"/>
                <w:b/>
                <w:color w:val="000000"/>
                <w:sz w:val="16"/>
                <w:szCs w:val="16"/>
              </w:rPr>
              <w:t xml:space="preserve">Total Amount </w:t>
            </w:r>
            <w:bookmarkStart w:id="0" w:name="__DdeLink__149_535280446"/>
            <w:bookmarkEnd w:id="0"/>
            <w:r>
              <w:rPr>
                <w:rFonts w:cs="Calibri" w:cstheme="minorHAnsi"/>
                <w:b/>
                <w:color w:val="000000"/>
                <w:sz w:val="16"/>
                <w:szCs w:val="16"/>
              </w:rPr>
              <w:t>(Rs)</w:t>
            </w:r>
          </w:p>
        </w:tc>
        <w:tc>
          <w:tcPr>
            <w:tcW w:w="984" w:type="dxa"/>
            <w:vMerge w:val="restart"/>
            <w:tcBorders/>
            <w:shd w:fill="auto" w:val="clear"/>
            <w:tcMar>
              <w:left w:w="-5" w:type="dxa"/>
            </w:tcMar>
            <w:vAlign w:val="center"/>
          </w:tcPr>
          <w:p>
            <w:pPr>
              <w:pStyle w:val="Normal"/>
              <w:spacing w:lineRule="auto" w:line="240" w:before="0" w:after="0"/>
              <w:jc w:val="center"/>
              <w:rPr>
                <w:rFonts w:cs="Calibri" w:cstheme="minorHAnsi"/>
                <w:b/>
                <w:b/>
                <w:sz w:val="16"/>
                <w:szCs w:val="16"/>
              </w:rPr>
            </w:pPr>
            <w:r>
              <w:rPr>
                <w:rFonts w:cs="Calibri" w:cstheme="minorHAnsi"/>
                <w:b/>
                <w:color w:val="000000"/>
                <w:sz w:val="16"/>
                <w:szCs w:val="16"/>
              </w:rPr>
              <w:t>Excess</w:t>
            </w:r>
          </w:p>
          <w:p>
            <w:pPr>
              <w:pStyle w:val="Normal"/>
              <w:spacing w:lineRule="auto" w:line="240" w:before="0" w:after="0"/>
              <w:jc w:val="center"/>
              <w:rPr>
                <w:rFonts w:cs="Calibri" w:cstheme="minorHAnsi"/>
                <w:b/>
                <w:b/>
                <w:sz w:val="16"/>
                <w:szCs w:val="16"/>
              </w:rPr>
            </w:pPr>
            <w:r>
              <w:rPr>
                <w:rFonts w:cs="Calibri" w:cstheme="minorHAnsi"/>
                <w:b/>
                <w:color w:val="000000"/>
                <w:sz w:val="16"/>
                <w:szCs w:val="16"/>
              </w:rPr>
              <w:t>Payment</w:t>
            </w:r>
          </w:p>
        </w:tc>
        <w:tc>
          <w:tcPr>
            <w:tcW w:w="1536" w:type="dxa"/>
            <w:vMerge w:val="restart"/>
            <w:tcBorders/>
            <w:shd w:fill="auto" w:val="clear"/>
            <w:tcMar>
              <w:left w:w="-5" w:type="dxa"/>
            </w:tcMar>
            <w:vAlign w:val="center"/>
          </w:tcPr>
          <w:p>
            <w:pPr>
              <w:pStyle w:val="Normal"/>
              <w:spacing w:lineRule="auto" w:line="240" w:before="0" w:after="0"/>
              <w:jc w:val="center"/>
              <w:rPr>
                <w:rFonts w:cs="Calibri" w:cstheme="minorHAnsi"/>
                <w:b/>
                <w:b/>
                <w:sz w:val="16"/>
                <w:szCs w:val="16"/>
              </w:rPr>
            </w:pPr>
            <w:r>
              <w:rPr>
                <w:rFonts w:cs="Calibri" w:cstheme="minorHAnsi"/>
                <w:b/>
                <w:color w:val="000000"/>
                <w:sz w:val="16"/>
                <w:szCs w:val="16"/>
              </w:rPr>
              <w:t>Amount</w:t>
            </w:r>
          </w:p>
          <w:p>
            <w:pPr>
              <w:pStyle w:val="Normal"/>
              <w:spacing w:lineRule="auto" w:line="240" w:before="0" w:after="0"/>
              <w:jc w:val="center"/>
              <w:rPr/>
            </w:pPr>
            <w:r>
              <w:rPr>
                <w:rFonts w:cs="Calibri" w:cstheme="minorHAnsi"/>
                <w:b/>
                <w:color w:val="000000"/>
                <w:sz w:val="16"/>
                <w:szCs w:val="16"/>
              </w:rPr>
              <w:t>Payable (Rs)</w:t>
            </w:r>
          </w:p>
        </w:tc>
      </w:tr>
      <w:tr>
        <w:trPr>
          <w:trHeight w:val="431" w:hRule="atLeast"/>
        </w:trPr>
        <w:tc>
          <w:tcPr>
            <w:tcW w:w="510" w:type="dxa"/>
            <w:vMerge w:val="continue"/>
            <w:tcBorders/>
            <w:shd w:fill="auto" w:val="clear"/>
            <w:tcMar>
              <w:left w:w="-5" w:type="dxa"/>
            </w:tcMar>
            <w:vAlign w:val="center"/>
          </w:tcPr>
          <w:p>
            <w:pPr>
              <w:pStyle w:val="Normal"/>
              <w:spacing w:lineRule="auto" w:line="240" w:before="0" w:after="0"/>
              <w:jc w:val="center"/>
              <w:rPr>
                <w:rFonts w:cs="Calibri" w:cstheme="minorHAnsi"/>
                <w:color w:val="000000"/>
                <w:sz w:val="16"/>
                <w:szCs w:val="16"/>
              </w:rPr>
            </w:pPr>
            <w:r>
              <w:rPr>
                <w:rFonts w:cs="Calibri" w:cstheme="minorHAnsi"/>
                <w:color w:val="000000"/>
                <w:sz w:val="16"/>
                <w:szCs w:val="16"/>
              </w:rPr>
            </w:r>
          </w:p>
        </w:tc>
        <w:tc>
          <w:tcPr>
            <w:tcW w:w="740" w:type="dxa"/>
            <w:vMerge w:val="continue"/>
            <w:tcBorders/>
            <w:shd w:fill="auto" w:val="clear"/>
            <w:tcMar>
              <w:left w:w="-5" w:type="dxa"/>
            </w:tcMar>
            <w:vAlign w:val="center"/>
          </w:tcPr>
          <w:p>
            <w:pPr>
              <w:pStyle w:val="Normal"/>
              <w:spacing w:lineRule="auto" w:line="240" w:before="0" w:after="0"/>
              <w:jc w:val="center"/>
              <w:rPr>
                <w:rFonts w:cs="Calibri" w:cstheme="minorHAnsi"/>
                <w:color w:val="000000"/>
                <w:sz w:val="16"/>
                <w:szCs w:val="16"/>
              </w:rPr>
            </w:pPr>
            <w:r>
              <w:rPr>
                <w:rFonts w:cs="Calibri" w:cstheme="minorHAnsi"/>
                <w:color w:val="000000"/>
                <w:sz w:val="16"/>
                <w:szCs w:val="16"/>
              </w:rPr>
            </w:r>
          </w:p>
        </w:tc>
        <w:tc>
          <w:tcPr>
            <w:tcW w:w="1451" w:type="dxa"/>
            <w:tcBorders/>
            <w:shd w:fill="auto" w:val="clear"/>
            <w:tcMar>
              <w:left w:w="-5" w:type="dxa"/>
            </w:tcMar>
            <w:vAlign w:val="center"/>
          </w:tcPr>
          <w:p>
            <w:pPr>
              <w:pStyle w:val="Normal"/>
              <w:spacing w:lineRule="auto" w:line="240" w:before="0" w:after="0"/>
              <w:jc w:val="center"/>
              <w:rPr>
                <w:color w:val="000000"/>
              </w:rPr>
            </w:pPr>
            <w:r>
              <w:rPr>
                <w:rFonts w:cs="Calibri" w:cstheme="minorHAnsi"/>
                <w:color w:val="000000"/>
                <w:sz w:val="16"/>
                <w:szCs w:val="16"/>
              </w:rPr>
              <w:t>SLDC Charges/Transmission charges</w:t>
            </w:r>
          </w:p>
        </w:tc>
        <w:tc>
          <w:tcPr>
            <w:tcW w:w="1076" w:type="dxa"/>
            <w:vMerge w:val="continue"/>
            <w:tcBorders/>
            <w:shd w:fill="auto" w:val="clear"/>
            <w:tcMar>
              <w:left w:w="-5" w:type="dxa"/>
            </w:tcMar>
            <w:vAlign w:val="center"/>
          </w:tcPr>
          <w:p>
            <w:pPr>
              <w:pStyle w:val="Normal"/>
              <w:spacing w:lineRule="auto" w:line="240" w:before="0" w:after="0"/>
              <w:jc w:val="center"/>
              <w:rPr>
                <w:rFonts w:cs="Calibri" w:cstheme="minorHAnsi"/>
                <w:color w:val="000000"/>
                <w:sz w:val="16"/>
                <w:szCs w:val="16"/>
              </w:rPr>
            </w:pPr>
            <w:r>
              <w:rPr>
                <w:rFonts w:cs="Calibri" w:cstheme="minorHAnsi"/>
                <w:color w:val="000000"/>
                <w:sz w:val="16"/>
                <w:szCs w:val="16"/>
              </w:rPr>
            </w:r>
          </w:p>
        </w:tc>
        <w:tc>
          <w:tcPr>
            <w:tcW w:w="1174" w:type="dxa"/>
            <w:vMerge w:val="continue"/>
            <w:tcBorders/>
            <w:shd w:fill="auto" w:val="clear"/>
            <w:tcMar>
              <w:left w:w="-5" w:type="dxa"/>
            </w:tcMar>
            <w:vAlign w:val="center"/>
          </w:tcPr>
          <w:p>
            <w:pPr>
              <w:pStyle w:val="Normal"/>
              <w:spacing w:lineRule="auto" w:line="240" w:before="0" w:after="0"/>
              <w:jc w:val="center"/>
              <w:rPr>
                <w:rFonts w:cs="Calibri" w:cstheme="minorHAnsi"/>
                <w:color w:val="000000"/>
                <w:sz w:val="16"/>
                <w:szCs w:val="16"/>
              </w:rPr>
            </w:pPr>
            <w:r>
              <w:rPr>
                <w:rFonts w:cs="Calibri" w:cstheme="minorHAnsi"/>
                <w:color w:val="000000"/>
                <w:sz w:val="16"/>
                <w:szCs w:val="16"/>
              </w:rPr>
            </w:r>
          </w:p>
        </w:tc>
        <w:tc>
          <w:tcPr>
            <w:tcW w:w="1175" w:type="dxa"/>
            <w:vMerge w:val="continue"/>
            <w:tcBorders/>
            <w:shd w:fill="auto" w:val="clear"/>
            <w:tcMar>
              <w:left w:w="-5" w:type="dxa"/>
            </w:tcMar>
            <w:vAlign w:val="center"/>
          </w:tcPr>
          <w:p>
            <w:pPr>
              <w:pStyle w:val="Normal"/>
              <w:spacing w:lineRule="auto" w:line="240" w:before="0" w:after="0"/>
              <w:jc w:val="center"/>
              <w:rPr>
                <w:rFonts w:cs="Calibri" w:cstheme="minorHAnsi"/>
                <w:color w:val="000000"/>
                <w:sz w:val="16"/>
                <w:szCs w:val="16"/>
              </w:rPr>
            </w:pPr>
            <w:r>
              <w:rPr>
                <w:rFonts w:cs="Calibri" w:cstheme="minorHAnsi"/>
                <w:color w:val="000000"/>
                <w:sz w:val="16"/>
                <w:szCs w:val="16"/>
              </w:rPr>
            </w:r>
          </w:p>
        </w:tc>
        <w:tc>
          <w:tcPr>
            <w:tcW w:w="1163" w:type="dxa"/>
            <w:vMerge w:val="continue"/>
            <w:tcBorders/>
            <w:shd w:fill="auto" w:val="clear"/>
            <w:tcMar>
              <w:left w:w="-5" w:type="dxa"/>
            </w:tcMar>
            <w:vAlign w:val="center"/>
          </w:tcPr>
          <w:p>
            <w:pPr>
              <w:pStyle w:val="Normal"/>
              <w:spacing w:lineRule="auto" w:line="240" w:before="0" w:after="0"/>
              <w:jc w:val="center"/>
              <w:rPr>
                <w:rFonts w:cs="Calibri" w:cstheme="minorHAnsi"/>
                <w:color w:val="000000"/>
                <w:sz w:val="16"/>
                <w:szCs w:val="16"/>
              </w:rPr>
            </w:pPr>
            <w:r>
              <w:rPr>
                <w:rFonts w:cs="Calibri" w:cstheme="minorHAnsi"/>
                <w:color w:val="000000"/>
                <w:sz w:val="16"/>
                <w:szCs w:val="16"/>
              </w:rPr>
            </w:r>
          </w:p>
        </w:tc>
        <w:tc>
          <w:tcPr>
            <w:tcW w:w="1265" w:type="dxa"/>
            <w:vMerge w:val="continue"/>
            <w:tcBorders/>
            <w:shd w:fill="auto" w:val="clear"/>
            <w:tcMar>
              <w:left w:w="-5" w:type="dxa"/>
            </w:tcMar>
            <w:vAlign w:val="center"/>
          </w:tcPr>
          <w:p>
            <w:pPr>
              <w:pStyle w:val="Normal"/>
              <w:spacing w:lineRule="auto" w:line="240" w:before="0" w:after="0"/>
              <w:jc w:val="center"/>
              <w:rPr>
                <w:rFonts w:cs="Calibri" w:cstheme="minorHAnsi"/>
                <w:color w:val="000000"/>
                <w:sz w:val="16"/>
                <w:szCs w:val="16"/>
              </w:rPr>
            </w:pPr>
            <w:r>
              <w:rPr>
                <w:rFonts w:cs="Calibri" w:cstheme="minorHAnsi"/>
                <w:color w:val="000000"/>
                <w:sz w:val="16"/>
                <w:szCs w:val="16"/>
              </w:rPr>
            </w:r>
          </w:p>
        </w:tc>
        <w:tc>
          <w:tcPr>
            <w:tcW w:w="984" w:type="dxa"/>
            <w:vMerge w:val="continue"/>
            <w:tcBorders/>
            <w:shd w:fill="auto" w:val="clear"/>
            <w:tcMar>
              <w:left w:w="-5" w:type="dxa"/>
            </w:tcMar>
            <w:vAlign w:val="center"/>
          </w:tcPr>
          <w:p>
            <w:pPr>
              <w:pStyle w:val="Normal"/>
              <w:spacing w:lineRule="auto" w:line="240" w:before="0" w:after="0"/>
              <w:jc w:val="center"/>
              <w:rPr>
                <w:rFonts w:cs="Calibri" w:cstheme="minorHAnsi"/>
                <w:color w:val="000000"/>
                <w:sz w:val="16"/>
                <w:szCs w:val="16"/>
              </w:rPr>
            </w:pPr>
            <w:r>
              <w:rPr>
                <w:rFonts w:cs="Calibri" w:cstheme="minorHAnsi"/>
                <w:color w:val="000000"/>
                <w:sz w:val="16"/>
                <w:szCs w:val="16"/>
              </w:rPr>
            </w:r>
          </w:p>
        </w:tc>
        <w:tc>
          <w:tcPr>
            <w:tcW w:w="1536" w:type="dxa"/>
            <w:vMerge w:val="continue"/>
            <w:tcBorders/>
            <w:shd w:fill="auto" w:val="clear"/>
            <w:tcMar>
              <w:left w:w="-5" w:type="dxa"/>
            </w:tcMar>
            <w:vAlign w:val="center"/>
          </w:tcPr>
          <w:p>
            <w:pPr>
              <w:pStyle w:val="Normal"/>
              <w:spacing w:lineRule="auto" w:line="240" w:before="0" w:after="0"/>
              <w:jc w:val="center"/>
              <w:rPr>
                <w:rFonts w:cs="Calibri" w:cstheme="minorHAnsi"/>
                <w:color w:val="000000"/>
                <w:sz w:val="16"/>
                <w:szCs w:val="16"/>
              </w:rPr>
            </w:pPr>
            <w:r>
              <w:rPr>
                <w:rFonts w:cs="Calibri" w:cstheme="minorHAnsi"/>
                <w:color w:val="000000"/>
                <w:sz w:val="16"/>
                <w:szCs w:val="16"/>
              </w:rPr>
            </w:r>
          </w:p>
        </w:tc>
      </w:tr>
      <w:tr>
        <w:trPr/>
        <w:tc>
          <w:tcPr>
            <w:tcW w:w="510" w:type="dxa"/>
            <w:tcBorders/>
            <w:shd w:fill="auto" w:val="clear"/>
            <w:tcMar>
              <w:left w:w="-5" w:type="dxa"/>
            </w:tcMar>
            <w:vAlign w:val="center"/>
          </w:tcPr>
          <w:p>
            <w:pPr>
              <w:pStyle w:val="Normal"/>
              <w:spacing w:lineRule="auto" w:line="240" w:before="0" w:after="0"/>
              <w:jc w:val="center"/>
              <w:rPr>
                <w:color w:val="000000"/>
              </w:rPr>
            </w:pPr>
            <w:r>
              <w:rPr>
                <w:rFonts w:cs="Calibri" w:cstheme="minorHAnsi"/>
                <w:color w:val="000000"/>
                <w:sz w:val="16"/>
                <w:szCs w:val="16"/>
              </w:rPr>
              <w:t>{#tableData}{key0}</w:t>
            </w:r>
          </w:p>
        </w:tc>
        <w:tc>
          <w:tcPr>
            <w:tcW w:w="740" w:type="dxa"/>
            <w:tcBorders/>
            <w:shd w:fill="auto" w:val="clear"/>
            <w:tcMar>
              <w:left w:w="-5" w:type="dxa"/>
            </w:tcMar>
            <w:vAlign w:val="center"/>
          </w:tcPr>
          <w:p>
            <w:pPr>
              <w:pStyle w:val="Normal"/>
              <w:spacing w:lineRule="auto" w:line="240" w:before="0" w:after="0"/>
              <w:jc w:val="center"/>
              <w:rPr>
                <w:rFonts w:cs="Calibri" w:cstheme="minorHAnsi"/>
                <w:sz w:val="16"/>
                <w:szCs w:val="16"/>
              </w:rPr>
            </w:pPr>
            <w:r>
              <w:rPr>
                <w:rFonts w:cs="Calibri" w:cstheme="minorHAnsi"/>
                <w:color w:val="000000"/>
                <w:sz w:val="16"/>
                <w:szCs w:val="16"/>
              </w:rPr>
              <w:t>RVPN</w:t>
            </w:r>
          </w:p>
        </w:tc>
        <w:tc>
          <w:tcPr>
            <w:tcW w:w="1451" w:type="dxa"/>
            <w:tcBorders/>
            <w:shd w:fill="auto" w:val="clear"/>
            <w:tcMar>
              <w:left w:w="-5" w:type="dxa"/>
            </w:tcMar>
            <w:vAlign w:val="center"/>
          </w:tcPr>
          <w:p>
            <w:pPr>
              <w:pStyle w:val="Normal"/>
              <w:spacing w:lineRule="auto" w:line="240" w:before="0" w:after="0"/>
              <w:jc w:val="center"/>
              <w:rPr>
                <w:color w:val="000000"/>
              </w:rPr>
            </w:pPr>
            <w:r>
              <w:rPr>
                <w:rFonts w:cs="Calibri" w:cstheme="minorHAnsi"/>
                <w:color w:val="000000"/>
                <w:sz w:val="16"/>
                <w:szCs w:val="16"/>
              </w:rPr>
              <w:t>Transmission Charges</w:t>
            </w:r>
          </w:p>
        </w:tc>
        <w:tc>
          <w:tcPr>
            <w:tcW w:w="1076" w:type="dxa"/>
            <w:tcBorders/>
            <w:shd w:fill="auto" w:val="clear"/>
            <w:tcMar>
              <w:left w:w="-5" w:type="dxa"/>
            </w:tcMar>
            <w:vAlign w:val="center"/>
          </w:tcPr>
          <w:p>
            <w:pPr>
              <w:pStyle w:val="Normal"/>
              <w:spacing w:lineRule="auto" w:line="240" w:before="0" w:after="0"/>
              <w:jc w:val="left"/>
              <w:rPr>
                <w:color w:val="000000"/>
              </w:rPr>
            </w:pPr>
            <w:r>
              <w:rPr>
                <w:rFonts w:cs="Calibri" w:cstheme="minorHAnsi"/>
                <w:color w:val="000000"/>
                <w:sz w:val="16"/>
                <w:szCs w:val="16"/>
              </w:rPr>
              <w:t>{key1}</w:t>
            </w:r>
          </w:p>
          <w:p>
            <w:pPr>
              <w:pStyle w:val="Normal"/>
              <w:spacing w:lineRule="auto" w:line="240" w:before="0" w:after="0"/>
              <w:jc w:val="left"/>
              <w:rPr>
                <w:color w:val="000000"/>
              </w:rPr>
            </w:pPr>
            <w:r>
              <w:rPr>
                <w:rFonts w:cs="Calibri" w:cstheme="minorHAnsi"/>
                <w:color w:val="000000"/>
                <w:sz w:val="16"/>
                <w:szCs w:val="16"/>
              </w:rPr>
              <w:t>dated:</w:t>
            </w:r>
          </w:p>
          <w:p>
            <w:pPr>
              <w:pStyle w:val="Normal"/>
              <w:spacing w:lineRule="auto" w:line="240" w:before="0" w:after="0"/>
              <w:jc w:val="left"/>
              <w:rPr>
                <w:color w:val="000000"/>
              </w:rPr>
            </w:pPr>
            <w:r>
              <w:rPr>
                <w:rFonts w:cs="Calibri" w:cstheme="minorHAnsi"/>
                <w:color w:val="000000"/>
                <w:sz w:val="16"/>
                <w:szCs w:val="16"/>
              </w:rPr>
              <w:t>{key8}</w:t>
            </w:r>
          </w:p>
        </w:tc>
        <w:tc>
          <w:tcPr>
            <w:tcW w:w="1174" w:type="dxa"/>
            <w:tcBorders/>
            <w:shd w:fill="auto" w:val="clear"/>
            <w:tcMar>
              <w:left w:w="-5" w:type="dxa"/>
            </w:tcMar>
            <w:vAlign w:val="center"/>
          </w:tcPr>
          <w:p>
            <w:pPr>
              <w:pStyle w:val="Normal"/>
              <w:spacing w:lineRule="auto" w:line="240" w:before="0" w:after="0"/>
              <w:jc w:val="center"/>
              <w:rPr>
                <w:color w:val="000000"/>
              </w:rPr>
            </w:pPr>
            <w:r>
              <w:rPr>
                <w:rFonts w:cs="Calibri" w:cstheme="minorHAnsi"/>
                <w:color w:val="000000"/>
                <w:sz w:val="16"/>
                <w:szCs w:val="16"/>
              </w:rPr>
              <w:t>{key2}</w:t>
            </w:r>
          </w:p>
        </w:tc>
        <w:tc>
          <w:tcPr>
            <w:tcW w:w="1175" w:type="dxa"/>
            <w:tcBorders/>
            <w:shd w:fill="auto" w:val="clear"/>
            <w:tcMar>
              <w:left w:w="-5" w:type="dxa"/>
            </w:tcMar>
            <w:vAlign w:val="center"/>
          </w:tcPr>
          <w:p>
            <w:pPr>
              <w:pStyle w:val="Normal"/>
              <w:spacing w:lineRule="auto" w:line="240" w:before="57" w:after="0"/>
              <w:jc w:val="center"/>
              <w:rPr>
                <w:color w:val="000000"/>
              </w:rPr>
            </w:pPr>
            <w:r>
              <w:rPr>
                <w:rFonts w:cs="Calibri" w:cstheme="minorHAnsi"/>
                <w:color w:val="000000"/>
                <w:sz w:val="16"/>
                <w:szCs w:val="16"/>
              </w:rPr>
              <w:t>{key3}</w:t>
            </w:r>
          </w:p>
        </w:tc>
        <w:tc>
          <w:tcPr>
            <w:tcW w:w="1163" w:type="dxa"/>
            <w:tcBorders/>
            <w:shd w:fill="auto" w:val="clear"/>
            <w:tcMar>
              <w:left w:w="-5" w:type="dxa"/>
            </w:tcMar>
            <w:vAlign w:val="center"/>
          </w:tcPr>
          <w:p>
            <w:pPr>
              <w:pStyle w:val="Normal"/>
              <w:spacing w:lineRule="auto" w:line="240" w:before="0" w:after="0"/>
              <w:jc w:val="center"/>
              <w:rPr>
                <w:color w:val="000000"/>
              </w:rPr>
            </w:pPr>
            <w:r>
              <w:rPr>
                <w:rFonts w:cs="Calibri" w:cstheme="minorHAnsi"/>
                <w:color w:val="000000"/>
                <w:sz w:val="16"/>
                <w:szCs w:val="16"/>
              </w:rPr>
              <w:t>{key4}</w:t>
            </w:r>
          </w:p>
        </w:tc>
        <w:tc>
          <w:tcPr>
            <w:tcW w:w="1265" w:type="dxa"/>
            <w:tcBorders/>
            <w:shd w:fill="auto" w:val="clear"/>
            <w:tcMar>
              <w:left w:w="-5" w:type="dxa"/>
            </w:tcMar>
            <w:vAlign w:val="center"/>
          </w:tcPr>
          <w:p>
            <w:pPr>
              <w:pStyle w:val="Normal"/>
              <w:spacing w:lineRule="auto" w:line="240" w:before="0" w:after="0"/>
              <w:jc w:val="center"/>
              <w:rPr>
                <w:color w:val="000000"/>
              </w:rPr>
            </w:pPr>
            <w:r>
              <w:rPr>
                <w:rFonts w:cs="Calibri" w:cstheme="minorHAnsi"/>
                <w:color w:val="000000"/>
                <w:sz w:val="16"/>
                <w:szCs w:val="16"/>
              </w:rPr>
              <w:t>{key5}</w:t>
            </w:r>
          </w:p>
        </w:tc>
        <w:tc>
          <w:tcPr>
            <w:tcW w:w="984" w:type="dxa"/>
            <w:tcBorders/>
            <w:shd w:fill="auto" w:val="clear"/>
            <w:tcMar>
              <w:left w:w="-5" w:type="dxa"/>
            </w:tcMar>
            <w:vAlign w:val="center"/>
          </w:tcPr>
          <w:p>
            <w:pPr>
              <w:pStyle w:val="Normal"/>
              <w:spacing w:lineRule="auto" w:line="240" w:before="0" w:after="0"/>
              <w:jc w:val="center"/>
              <w:rPr>
                <w:color w:val="000000"/>
              </w:rPr>
            </w:pPr>
            <w:r>
              <w:rPr>
                <w:rFonts w:cs="Calibri" w:cstheme="minorHAnsi"/>
                <w:color w:val="000000"/>
                <w:sz w:val="16"/>
                <w:szCs w:val="16"/>
              </w:rPr>
              <w:t xml:space="preserve">  </w:t>
            </w:r>
            <w:r>
              <w:rPr>
                <w:rFonts w:cs="Calibri" w:cstheme="minorHAnsi"/>
                <w:color w:val="000000"/>
                <w:sz w:val="16"/>
                <w:szCs w:val="16"/>
              </w:rPr>
              <w:t>{key6}</w:t>
            </w:r>
          </w:p>
        </w:tc>
        <w:tc>
          <w:tcPr>
            <w:tcW w:w="1536" w:type="dxa"/>
            <w:tcBorders/>
            <w:shd w:fill="auto" w:val="clear"/>
            <w:tcMar>
              <w:left w:w="-5" w:type="dxa"/>
            </w:tcMar>
            <w:vAlign w:val="center"/>
          </w:tcPr>
          <w:p>
            <w:pPr>
              <w:pStyle w:val="Normal"/>
              <w:spacing w:lineRule="auto" w:line="240" w:before="0" w:after="0"/>
              <w:jc w:val="center"/>
              <w:rPr>
                <w:color w:val="000000"/>
              </w:rPr>
            </w:pPr>
            <w:r>
              <w:rPr>
                <w:rFonts w:cs="Calibri" w:cstheme="minorHAnsi"/>
                <w:color w:val="000000"/>
                <w:sz w:val="16"/>
                <w:szCs w:val="16"/>
              </w:rPr>
              <w:t>{key7}{/tableData}</w:t>
            </w:r>
          </w:p>
        </w:tc>
      </w:tr>
      <w:tr>
        <w:trPr>
          <w:trHeight w:val="349" w:hRule="atLeast"/>
        </w:trPr>
        <w:tc>
          <w:tcPr>
            <w:tcW w:w="9538" w:type="dxa"/>
            <w:gridSpan w:val="9"/>
            <w:tcBorders>
              <w:top w:val="nil"/>
            </w:tcBorders>
            <w:shd w:fill="auto" w:val="clear"/>
            <w:tcMar>
              <w:left w:w="-5" w:type="dxa"/>
            </w:tcMar>
            <w:vAlign w:val="center"/>
          </w:tcPr>
          <w:p>
            <w:pPr>
              <w:pStyle w:val="Normal"/>
              <w:spacing w:lineRule="auto" w:line="240" w:before="0" w:after="0"/>
              <w:jc w:val="right"/>
              <w:rPr>
                <w:b/>
                <w:b/>
                <w:bCs/>
                <w:sz w:val="16"/>
                <w:szCs w:val="16"/>
              </w:rPr>
            </w:pPr>
            <w:r>
              <w:rPr>
                <w:b/>
                <w:bCs/>
                <w:color w:val="000000"/>
                <w:sz w:val="16"/>
                <w:szCs w:val="16"/>
              </w:rPr>
              <w:t>Total Amount (Rs):</w:t>
            </w:r>
          </w:p>
        </w:tc>
        <w:tc>
          <w:tcPr>
            <w:tcW w:w="1536" w:type="dxa"/>
            <w:tcBorders>
              <w:top w:val="nil"/>
            </w:tcBorders>
            <w:shd w:fill="auto" w:val="clear"/>
            <w:tcMar>
              <w:left w:w="-5" w:type="dxa"/>
            </w:tcMar>
            <w:vAlign w:val="center"/>
          </w:tcPr>
          <w:p>
            <w:pPr>
              <w:pStyle w:val="Normal"/>
              <w:spacing w:lineRule="auto" w:line="240" w:before="0" w:after="0"/>
              <w:jc w:val="center"/>
              <w:rPr>
                <w:b/>
                <w:b/>
                <w:bCs/>
                <w:sz w:val="16"/>
                <w:szCs w:val="16"/>
              </w:rPr>
            </w:pPr>
            <w:r>
              <w:rPr>
                <w:b/>
                <w:bCs/>
                <w:color w:val="000000"/>
                <w:sz w:val="16"/>
                <w:szCs w:val="16"/>
              </w:rPr>
              <w:t>{amountNumber}</w:t>
            </w:r>
          </w:p>
        </w:tc>
      </w:tr>
      <w:tr>
        <w:trPr>
          <w:trHeight w:val="330" w:hRule="atLeast"/>
        </w:trPr>
        <w:tc>
          <w:tcPr>
            <w:tcW w:w="11074" w:type="dxa"/>
            <w:gridSpan w:val="10"/>
            <w:tcBorders>
              <w:top w:val="nil"/>
            </w:tcBorders>
            <w:shd w:fill="auto" w:val="clear"/>
            <w:tcMar>
              <w:left w:w="-5" w:type="dxa"/>
            </w:tcMar>
            <w:vAlign w:val="center"/>
          </w:tcPr>
          <w:p>
            <w:pPr>
              <w:pStyle w:val="Normal"/>
              <w:spacing w:lineRule="auto" w:line="240" w:before="0" w:after="0"/>
              <w:jc w:val="both"/>
              <w:rPr>
                <w:b/>
                <w:b/>
                <w:bCs/>
                <w:sz w:val="16"/>
                <w:szCs w:val="16"/>
              </w:rPr>
            </w:pPr>
            <w:r>
              <w:rPr>
                <w:b/>
                <w:bCs/>
                <w:color w:val="000000"/>
                <w:sz w:val="16"/>
                <w:szCs w:val="16"/>
              </w:rPr>
              <w:t>Amount in (words) : Rupees {amountWords}</w:t>
            </w:r>
          </w:p>
        </w:tc>
      </w:tr>
    </w:tbl>
    <w:p>
      <w:pPr>
        <w:pStyle w:val="Normal"/>
        <w:spacing w:before="0" w:after="0"/>
        <w:jc w:val="both"/>
        <w:rPr>
          <w:rFonts w:cs="Calibri" w:cstheme="minorHAnsi"/>
          <w:color w:val="000000"/>
          <w:sz w:val="16"/>
          <w:szCs w:val="16"/>
        </w:rPr>
      </w:pPr>
      <w:r>
        <w:rPr>
          <w:rFonts w:cs="Calibri" w:cstheme="minorHAnsi"/>
          <w:color w:val="000000"/>
          <w:sz w:val="16"/>
          <w:szCs w:val="16"/>
        </w:rPr>
      </w:r>
    </w:p>
    <w:p>
      <w:pPr>
        <w:pStyle w:val="Normal"/>
        <w:spacing w:before="0" w:after="29"/>
        <w:jc w:val="both"/>
        <w:rPr>
          <w:color w:val="000000"/>
        </w:rPr>
      </w:pPr>
      <w:r>
        <w:rPr>
          <w:rFonts w:cs="Calibri" w:cstheme="minorHAnsi"/>
          <w:color w:val="000000"/>
          <w:sz w:val="16"/>
          <w:szCs w:val="16"/>
        </w:rPr>
        <w:t>5. Above charges as applicable to SECI has been raised to buying utility as per term and conditions of PSA (750 MW JNNSM VGF SCHEME) on {invoiceRaisedDate}</w:t>
      </w:r>
    </w:p>
    <w:p>
      <w:pPr>
        <w:pStyle w:val="Normal"/>
        <w:spacing w:before="0" w:after="86"/>
        <w:jc w:val="both"/>
        <w:rPr>
          <w:color w:val="000000"/>
        </w:rPr>
      </w:pPr>
      <w:r>
        <w:rPr>
          <w:rFonts w:cs="Calibri" w:cstheme="minorHAnsi"/>
          <w:color w:val="000000"/>
          <w:sz w:val="16"/>
          <w:szCs w:val="16"/>
        </w:rPr>
        <w:t>6. Finance may arrange to release this payment to RVPN through RTGS as per the details enclosed in the file.</w:t>
      </w:r>
    </w:p>
    <w:p>
      <w:pPr>
        <w:pStyle w:val="Normal"/>
        <w:spacing w:before="0" w:after="0"/>
        <w:jc w:val="both"/>
        <w:rPr>
          <w:color w:val="000000"/>
        </w:rPr>
      </w:pPr>
      <w:r>
        <w:rPr>
          <w:rFonts w:cs="Calibri" w:cstheme="minorHAnsi"/>
          <w:color w:val="000000"/>
          <w:sz w:val="16"/>
          <w:szCs w:val="16"/>
        </w:rPr>
        <w:t xml:space="preserve">Submitted for approval of payment, please </w:t>
      </w:r>
    </w:p>
    <w:p>
      <w:pPr>
        <w:pStyle w:val="Normal"/>
        <w:spacing w:before="0" w:after="0"/>
        <w:jc w:val="both"/>
        <w:rPr>
          <w:rFonts w:cs="Calibri" w:cstheme="minorHAnsi"/>
          <w:color w:val="000000"/>
          <w:sz w:val="16"/>
          <w:szCs w:val="16"/>
        </w:rPr>
      </w:pPr>
      <w:r>
        <w:rPr>
          <w:rFonts w:cs="Calibri" w:cstheme="minorHAnsi"/>
          <w:color w:val="000000"/>
          <w:sz w:val="16"/>
          <w:szCs w:val="16"/>
        </w:rPr>
      </w:r>
    </w:p>
    <w:p>
      <w:pPr>
        <w:pStyle w:val="Normal"/>
        <w:jc w:val="right"/>
        <w:rPr>
          <w:color w:val="000000"/>
        </w:rPr>
      </w:pPr>
      <w:r>
        <w:rPr>
          <w:rFonts w:cs="Calibri" w:cstheme="minorHAnsi"/>
          <w:b/>
          <w:color w:val="000000"/>
          <w:sz w:val="16"/>
          <w:szCs w:val="16"/>
        </w:rPr>
        <w:t xml:space="preserve">Senior  Engineer </w:t>
      </w:r>
    </w:p>
    <w:p>
      <w:pPr>
        <w:pStyle w:val="Normal"/>
        <w:jc w:val="both"/>
        <w:rPr>
          <w:rFonts w:cs="Calibri" w:cstheme="minorHAnsi"/>
          <w:b/>
          <w:b/>
          <w:color w:val="000000"/>
          <w:sz w:val="16"/>
          <w:szCs w:val="16"/>
        </w:rPr>
      </w:pPr>
      <w:r>
        <w:rPr>
          <w:rFonts w:cs="Calibri" w:cstheme="minorHAnsi"/>
          <w:b/>
          <w:color w:val="000000"/>
          <w:sz w:val="16"/>
          <w:szCs w:val="16"/>
        </w:rPr>
      </w:r>
    </w:p>
    <w:p>
      <w:pPr>
        <w:pStyle w:val="Normal"/>
        <w:jc w:val="both"/>
        <w:rPr>
          <w:color w:val="000000"/>
        </w:rPr>
      </w:pPr>
      <w:r>
        <w:rPr>
          <w:rFonts w:cs="Calibri" w:cstheme="minorHAnsi"/>
          <w:b/>
          <w:color w:val="000000"/>
          <w:sz w:val="16"/>
          <w:szCs w:val="16"/>
        </w:rPr>
        <w:t xml:space="preserve">Manager (PS)   </w:t>
      </w:r>
      <w:r>
        <w:rPr>
          <w:rFonts w:cs="Calibri" w:cstheme="minorHAnsi"/>
          <w:color w:val="000000"/>
          <w:sz w:val="16"/>
          <w:szCs w:val="16"/>
        </w:rPr>
        <w:t xml:space="preserve">                                                                                                                                   </w:t>
      </w:r>
    </w:p>
    <w:p>
      <w:pPr>
        <w:pStyle w:val="Normal"/>
        <w:jc w:val="both"/>
        <w:rPr>
          <w:color w:val="000000"/>
          <w:sz w:val="16"/>
          <w:szCs w:val="16"/>
        </w:rPr>
      </w:pPr>
      <w:r>
        <w:rPr>
          <w:color w:val="000000"/>
          <w:sz w:val="16"/>
          <w:szCs w:val="16"/>
        </w:rPr>
      </w:r>
    </w:p>
    <w:p>
      <w:pPr>
        <w:pStyle w:val="Normal"/>
        <w:jc w:val="both"/>
        <w:rPr>
          <w:color w:val="000000"/>
        </w:rPr>
      </w:pPr>
      <w:r>
        <w:rPr>
          <w:b/>
          <w:color w:val="000000"/>
          <w:sz w:val="16"/>
          <w:szCs w:val="16"/>
        </w:rPr>
        <w:t>AGM(PS)</w:t>
      </w:r>
    </w:p>
    <w:p>
      <w:pPr>
        <w:pStyle w:val="Normal"/>
        <w:jc w:val="both"/>
        <w:rPr>
          <w:b/>
          <w:b/>
          <w:color w:val="000000"/>
          <w:sz w:val="16"/>
          <w:szCs w:val="16"/>
        </w:rPr>
      </w:pPr>
      <w:r>
        <w:rPr>
          <w:b/>
          <w:color w:val="000000"/>
          <w:sz w:val="16"/>
          <w:szCs w:val="16"/>
        </w:rPr>
      </w:r>
    </w:p>
    <w:p>
      <w:pPr>
        <w:pStyle w:val="Normal"/>
        <w:jc w:val="both"/>
        <w:rPr>
          <w:color w:val="000000"/>
        </w:rPr>
      </w:pPr>
      <w:r>
        <w:rPr>
          <w:b/>
          <w:color w:val="000000"/>
          <w:sz w:val="16"/>
          <w:szCs w:val="16"/>
        </w:rPr>
        <w:t>Dir(Fin/Comm-Trading)</w:t>
      </w:r>
    </w:p>
    <w:p>
      <w:pPr>
        <w:pStyle w:val="Normal"/>
        <w:jc w:val="both"/>
        <w:rPr>
          <w:b/>
          <w:b/>
          <w:color w:val="000000"/>
          <w:sz w:val="16"/>
          <w:szCs w:val="16"/>
        </w:rPr>
      </w:pPr>
      <w:r>
        <w:rPr>
          <w:b/>
          <w:color w:val="000000"/>
          <w:sz w:val="16"/>
          <w:szCs w:val="16"/>
        </w:rPr>
      </w:r>
    </w:p>
    <w:p>
      <w:pPr>
        <w:pStyle w:val="Normal"/>
        <w:spacing w:before="0" w:after="200"/>
        <w:jc w:val="both"/>
        <w:rPr/>
      </w:pPr>
      <w:r>
        <w:rPr>
          <w:b/>
          <w:color w:val="000000"/>
          <w:sz w:val="16"/>
          <w:szCs w:val="16"/>
        </w:rPr>
        <w:t>AGM(F)</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71d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93107"/>
    <w:rPr/>
  </w:style>
  <w:style w:type="character" w:styleId="FooterChar" w:customStyle="1">
    <w:name w:val="Footer Char"/>
    <w:basedOn w:val="DefaultParagraphFont"/>
    <w:link w:val="Footer"/>
    <w:uiPriority w:val="99"/>
    <w:qFormat/>
    <w:rsid w:val="0069310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60a90"/>
    <w:pPr>
      <w:spacing w:before="0" w:after="200"/>
      <w:ind w:left="720" w:hanging="0"/>
      <w:contextualSpacing/>
    </w:pPr>
    <w:rPr/>
  </w:style>
  <w:style w:type="paragraph" w:styleId="Header">
    <w:name w:val="Header"/>
    <w:basedOn w:val="Normal"/>
    <w:link w:val="HeaderChar"/>
    <w:uiPriority w:val="99"/>
    <w:unhideWhenUsed/>
    <w:rsid w:val="0069310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9310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3760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Application>LibreOffice/5.1.4.2$Linux_X86_64 LibreOffice_project/10m0$Build-2</Application>
  <Pages>1</Pages>
  <Words>293</Words>
  <CharactersWithSpaces>1592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2016-11-15T07:13:00Z</dcterms:created>
  <dc:creator>india</dc:creator>
  <dc:description/>
  <dc:language>en-US</dc:language>
  <cp:lastModifiedBy/>
  <dcterms:modified xsi:type="dcterms:W3CDTF">2017-12-06T11:03:16Z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